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69"/>
        <w:tblLayout w:type="fixed"/>
        <w:tblLook w:firstRow="1" w:lastRow="0" w:firstColumn="0" w:lastColumn="0" w:noHBand="0" w:noVBand="0" w:val="0020"/>
      </w:tblPr>
      <w:tblGrid>
        <w:gridCol w:w="1558"/>
        <w:gridCol w:w="207"/>
        <w:gridCol w:w="1246"/>
        <w:gridCol w:w="597"/>
        <w:gridCol w:w="207"/>
        <w:gridCol w:w="1246"/>
        <w:gridCol w:w="597"/>
        <w:gridCol w:w="207"/>
        <w:gridCol w:w="1246"/>
        <w:gridCol w:w="597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Abundance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Species Richness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Shannon Diversity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({round(conf.low, 2)}, {round(conf.high, 2)})</w:t>
            </w:r>
          </w:p>
        </w:tc>
        <w:tc>
          <w:tcPr/>
          <w:p>
            <w:pPr>
              <w:pStyle w:val="Compact"/>
            </w:pPr>
            <w:r>
              <w:t xml:space="preserve">{signif(p.value, 1)}</w:t>
            </w: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({round(conf.low, 2)}, {round(conf.high, 2)})</w:t>
            </w:r>
          </w:p>
        </w:tc>
        <w:tc>
          <w:tcPr/>
          <w:p>
            <w:pPr>
              <w:pStyle w:val="Compact"/>
            </w:pPr>
            <w:r>
              <w:t xml:space="preserve">{signif(p.value, 1)}</w:t>
            </w: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({round(conf.low, 2)}, {round(conf.high, 2)})</w:t>
            </w:r>
          </w:p>
        </w:tc>
        <w:tc>
          <w:tcPr/>
          <w:p>
            <w:pPr>
              <w:pStyle w:val="Compact"/>
            </w:pPr>
            <w:r>
              <w:t xml:space="preserve">{signif(p.value, 1)}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22.92</w:t>
            </w:r>
          </w:p>
        </w:tc>
        <w:tc>
          <w:tcPr/>
          <w:p>
            <w:pPr>
              <w:pStyle w:val="Compact"/>
            </w:pPr>
            <w:r>
              <w:t xml:space="preserve">(10.9, 48.9)</w:t>
            </w:r>
          </w:p>
        </w:tc>
        <w:tc>
          <w:tcPr/>
          <w:p>
            <w:pPr>
              <w:pStyle w:val="Compact"/>
            </w:pPr>
            <w:r>
              <w:t xml:space="preserve">2e-16</w:t>
            </w:r>
          </w:p>
        </w:tc>
        <w:tc>
          <w:tcPr/>
          <w:p>
            <w:pPr>
              <w:pStyle w:val="Compact"/>
            </w:pPr>
            <w:r>
              <w:t xml:space="preserve">18.62</w:t>
            </w:r>
          </w:p>
        </w:tc>
        <w:tc>
          <w:tcPr/>
          <w:p>
            <w:pPr>
              <w:pStyle w:val="Compact"/>
            </w:pPr>
            <w:r>
              <w:t xml:space="preserve">(1.08, 319.72)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(0.12, 4.68)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Flowering Plant Species</w:t>
            </w:r>
          </w:p>
        </w:tc>
        <w:tc>
          <w:tcPr/>
          <w:p>
            <w:pPr>
              <w:pStyle w:val="Compact"/>
            </w:pPr>
            <w:r>
              <w:t xml:space="preserve">1.02</w:t>
            </w:r>
          </w:p>
        </w:tc>
        <w:tc>
          <w:tcPr/>
          <w:p>
            <w:pPr>
              <w:pStyle w:val="Compact"/>
            </w:pPr>
            <w:r>
              <w:t xml:space="preserve">(0.99, 1.05)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1.17</w:t>
            </w:r>
          </w:p>
        </w:tc>
        <w:tc>
          <w:tcPr/>
          <w:p>
            <w:pPr>
              <w:pStyle w:val="Compact"/>
            </w:pPr>
            <w:r>
              <w:t xml:space="preserve">(1.04, 1.33)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(0.02, 0.22)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Total Bloom Cover</w:t>
            </w:r>
          </w:p>
        </w:tc>
        <w:tc>
          <w:tcPr/>
          <w:p>
            <w:pPr>
              <w:pStyle w:val="Compact"/>
            </w:pPr>
            <w:r>
              <w:t xml:space="preserve">1.07</w:t>
            </w:r>
          </w:p>
        </w:tc>
        <w:tc>
          <w:tcPr/>
          <w:p>
            <w:pPr>
              <w:pStyle w:val="Compact"/>
            </w:pPr>
            <w:r>
              <w:t xml:space="preserve">(1.03, 1.1)</w:t>
            </w:r>
          </w:p>
        </w:tc>
        <w:tc>
          <w:tcPr/>
          <w:p>
            <w:pPr>
              <w:pStyle w:val="Compact"/>
            </w:pPr>
            <w:r>
              <w:t xml:space="preserve">2e-04</w:t>
            </w:r>
          </w:p>
        </w:tc>
        <w:tc>
          <w:tcPr/>
          <w:p>
            <w:pPr>
              <w:pStyle w:val="Compact"/>
            </w:pPr>
            <w:r>
              <w:t xml:space="preserve">0.83</w:t>
            </w:r>
          </w:p>
        </w:tc>
        <w:tc>
          <w:tcPr/>
          <w:p>
            <w:pPr>
              <w:pStyle w:val="Compact"/>
            </w:pPr>
            <w:r>
              <w:t xml:space="preserve">(0.73, 0.94)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-0.14</w:t>
            </w:r>
          </w:p>
        </w:tc>
        <w:tc>
          <w:tcPr/>
          <w:p>
            <w:pPr>
              <w:pStyle w:val="Compact"/>
            </w:pPr>
            <w:r>
              <w:t xml:space="preserve">(-0.24, -0.03)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Area (units)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(1, 1)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(1, 1)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(0, 0)</w:t>
            </w: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Niche.BreadthSpecialist</w:t>
            </w:r>
          </w:p>
        </w:tc>
        <w:tc>
          <w:tcPr/>
          <w:p>
            <w:pPr>
              <w:pStyle w:val="Compact"/>
            </w:pPr>
            <w:r>
              <w:t xml:space="preserve">2.08</w:t>
            </w:r>
          </w:p>
        </w:tc>
        <w:tc>
          <w:tcPr/>
          <w:p>
            <w:pPr>
              <w:pStyle w:val="Compact"/>
            </w:pPr>
            <w:r>
              <w:t xml:space="preserve">(0.46, 9.1)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0.36</w:t>
            </w:r>
          </w:p>
        </w:tc>
        <w:tc>
          <w:tcPr/>
          <w:p>
            <w:pPr>
              <w:pStyle w:val="Compact"/>
            </w:pPr>
            <w:r>
              <w:t xml:space="preserve">(0, 204.21)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-0.26</w:t>
            </w:r>
          </w:p>
        </w:tc>
        <w:tc>
          <w:tcPr/>
          <w:p>
            <w:pPr>
              <w:pStyle w:val="Compact"/>
            </w:pPr>
            <w:r>
              <w:t xml:space="preserve">(-5.35, 4.83)</w:t>
            </w: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Flowering Plant Species:Niche.BreadthSpecialist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</w:p>
        </w:tc>
        <w:tc>
          <w:tcPr/>
          <w:p>
            <w:pPr>
              <w:pStyle w:val="Compact"/>
            </w:pPr>
            <w:r>
              <w:t xml:space="preserve">(0.93, 1.04)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0.83</w:t>
            </w:r>
          </w:p>
        </w:tc>
        <w:tc>
          <w:tcPr/>
          <w:p>
            <w:pPr>
              <w:pStyle w:val="Compact"/>
            </w:pPr>
            <w:r>
              <w:t xml:space="preserve">(0.64, 1.06)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-0.15</w:t>
            </w:r>
          </w:p>
        </w:tc>
        <w:tc>
          <w:tcPr/>
          <w:p>
            <w:pPr>
              <w:pStyle w:val="Compact"/>
            </w:pPr>
            <w:r>
              <w:t xml:space="preserve">(-0.35, 0.05)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Total Bloom Cover:Niche.BreadthSpecialist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  <w:tc>
          <w:tcPr/>
          <w:p>
            <w:pPr>
              <w:pStyle w:val="Compact"/>
            </w:pPr>
            <w:r>
              <w:t xml:space="preserve">(0.93, 1.04)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1.22</w:t>
            </w:r>
          </w:p>
        </w:tc>
        <w:tc>
          <w:tcPr/>
          <w:p>
            <w:pPr>
              <w:pStyle w:val="Compact"/>
            </w:pPr>
            <w:r>
              <w:t xml:space="preserve">(0.99, 1.49)</w:t>
            </w:r>
          </w:p>
        </w:tc>
        <w:tc>
          <w:tcPr/>
          <w:p>
            <w:pPr>
              <w:pStyle w:val="Compact"/>
            </w:pPr>
            <w:r>
              <w:t xml:space="preserve">0.06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(-0.04, 0.29)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2025-08-29T16:18:36Z</dcterms:created>
  <dcterms:modified xsi:type="dcterms:W3CDTF">2025-08-29T16:18:36Z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