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5.0" w:type="dxa"/>
        <w:jc w:val="center"/>
        <w:tblBorders>
          <w:top w:color="000000" w:space="0" w:sz="4" w:val="single"/>
          <w:left w:color="000000" w:space="0" w:sz="0" w:val="nil"/>
          <w:bottom w:color="000000" w:space="0" w:sz="4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966"/>
        <w:gridCol w:w="5119"/>
        <w:tblGridChange w:id="0">
          <w:tblGrid>
            <w:gridCol w:w="4966"/>
            <w:gridCol w:w="5119"/>
          </w:tblGrid>
        </w:tblGridChange>
      </w:tblGrid>
      <w:tr>
        <w:trPr>
          <w:cantSplit w:val="0"/>
          <w:trHeight w:val="1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Assistência Técnica: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6"/>
                <w:szCs w:val="26"/>
                <w:rtl w:val="0"/>
              </w:rPr>
              <w:t xml:space="preserve"> MORENO LTDA.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CNPJ: 22.245.983/0041-69</w:t>
            </w:r>
          </w:p>
          <w:p w:rsidR="00000000" w:rsidDel="00000000" w:rsidP="00000000" w:rsidRDefault="00000000" w:rsidRPr="00000000" w14:paraId="00000004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ENDEREÇO: Rua Miguel Estefano, 594</w:t>
            </w:r>
          </w:p>
          <w:p w:rsidR="00000000" w:rsidDel="00000000" w:rsidP="00000000" w:rsidRDefault="00000000" w:rsidRPr="00000000" w14:paraId="00000005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CIDADE: São Paulo – SP </w:t>
            </w:r>
          </w:p>
          <w:p w:rsidR="00000000" w:rsidDel="00000000" w:rsidP="00000000" w:rsidRDefault="00000000" w:rsidRPr="00000000" w14:paraId="00000006">
            <w:pPr>
              <w:pBdr>
                <w:top w:color="ffffff" w:space="1" w:sz="4" w:val="single"/>
                <w:left w:color="ffffff" w:space="1" w:sz="4" w:val="single"/>
                <w:bottom w:color="ffffff" w:space="1" w:sz="4" w:val="single"/>
                <w:right w:color="ffffff" w:space="1" w:sz="4" w:val="single"/>
                <w:between w:color="ffffff" w:space="1" w:sz="4" w:val="single"/>
              </w:pBdr>
              <w:spacing w:line="276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6"/>
                <w:szCs w:val="26"/>
                <w:rtl w:val="0"/>
              </w:rPr>
              <w:t xml:space="preserve">CEP: 04301-000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jc w:val="right"/>
              <w:rPr>
                <w:rFonts w:ascii="Helvetica Neue" w:cs="Helvetica Neue" w:eastAsia="Helvetica Neue" w:hAnsi="Helvetica Neue"/>
                <w:sz w:val="30"/>
                <w:szCs w:val="30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30"/>
                <w:szCs w:val="30"/>
                <w:rtl w:val="0"/>
              </w:rPr>
              <w:t xml:space="preserve">Sinistro: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right"/>
              <w:rPr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222222"/>
                <w:sz w:val="38"/>
                <w:szCs w:val="38"/>
                <w:highlight w:val="white"/>
                <w:rtl w:val="0"/>
              </w:rPr>
              <w:t xml:space="preserve">$claim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480" w:firstLine="0"/>
              <w:jc w:val="center"/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38"/>
                <w:szCs w:val="38"/>
                <w:rtl w:val="0"/>
              </w:rPr>
              <w:t xml:space="preserve">Avaliação Técnica</w:t>
            </w:r>
          </w:p>
        </w:tc>
      </w:tr>
    </w:tbl>
    <w:p w:rsidR="00000000" w:rsidDel="00000000" w:rsidP="00000000" w:rsidRDefault="00000000" w:rsidRPr="00000000" w14:paraId="0000000B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São Paulo, $actual_date</w:t>
      </w:r>
    </w:p>
    <w:p w:rsidR="00000000" w:rsidDel="00000000" w:rsidP="00000000" w:rsidRDefault="00000000" w:rsidRPr="00000000" w14:paraId="0000000C">
      <w:pPr>
        <w:ind w:left="1440" w:firstLine="720"/>
        <w:jc w:val="right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Segurado: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 $client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ab/>
        <w:tab/>
        <w:tab/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Marca: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$brand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Descrição: $summary</w:t>
        <w:tab/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3975"/>
        </w:tabs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Técnico: $partner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0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Prezados, informamos que o produto acima citado foi submetido à análise técnica na data de </w:t>
      </w: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$target_date</w:t>
      </w:r>
      <w:r w:rsidDel="00000000" w:rsidR="00000000" w:rsidRPr="00000000">
        <w:rPr>
          <w:rFonts w:ascii="Helvetica Neue" w:cs="Helvetica Neue" w:eastAsia="Helvetica Neue" w:hAnsi="Helvetica Neue"/>
          <w:color w:val="000000"/>
          <w:sz w:val="30"/>
          <w:szCs w:val="30"/>
          <w:rtl w:val="0"/>
        </w:rPr>
        <w:t xml:space="preserve">. Após procedimentos técnicos, foi constatado que: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$content</w:t>
      </w:r>
    </w:p>
    <w:p w:rsidR="00000000" w:rsidDel="00000000" w:rsidP="00000000" w:rsidRDefault="00000000" w:rsidRPr="00000000" w14:paraId="00000014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$image_content</w:t>
      </w:r>
    </w:p>
    <w:p w:rsidR="00000000" w:rsidDel="00000000" w:rsidP="00000000" w:rsidRDefault="00000000" w:rsidRPr="00000000" w14:paraId="00000015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$comments</w:t>
      </w:r>
    </w:p>
    <w:p w:rsidR="00000000" w:rsidDel="00000000" w:rsidP="00000000" w:rsidRDefault="00000000" w:rsidRPr="00000000" w14:paraId="00000016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$image_comment</w:t>
      </w:r>
    </w:p>
    <w:p w:rsidR="00000000" w:rsidDel="00000000" w:rsidP="00000000" w:rsidRDefault="00000000" w:rsidRPr="00000000" w14:paraId="00000017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$resolution</w:t>
      </w:r>
    </w:p>
    <w:p w:rsidR="00000000" w:rsidDel="00000000" w:rsidP="00000000" w:rsidRDefault="00000000" w:rsidRPr="00000000" w14:paraId="00000018">
      <w:pP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sz w:val="26"/>
          <w:szCs w:val="26"/>
        </w:rPr>
      </w:pPr>
      <w:r w:rsidDel="00000000" w:rsidR="00000000" w:rsidRPr="00000000">
        <w:rPr>
          <w:rFonts w:ascii="Helvetica Neue" w:cs="Helvetica Neue" w:eastAsia="Helvetica Neue" w:hAnsi="Helvetica Neue"/>
          <w:sz w:val="26"/>
          <w:szCs w:val="26"/>
          <w:rtl w:val="0"/>
        </w:rPr>
        <w:t xml:space="preserve">$image_resolution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40" w:lineRule="auto"/>
        <w:ind w:left="-450" w:right="-585" w:firstLine="1170"/>
        <w:rPr>
          <w:rFonts w:ascii="Helvetica Neue" w:cs="Helvetica Neue" w:eastAsia="Helvetica Neue" w:hAnsi="Helvetica Neue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60" w:line="259" w:lineRule="auto"/>
        <w:jc w:val="center"/>
        <w:rPr>
          <w:color w:val="000000"/>
        </w:rPr>
        <w:sectPr>
          <w:headerReference r:id="rId6" w:type="default"/>
          <w:pgSz w:h="16834" w:w="11909" w:orient="portrait"/>
          <w:pgMar w:bottom="284" w:top="1440" w:left="1440" w:right="1440" w:header="0" w:footer="720"/>
          <w:pgNumType w:start="1"/>
        </w:sectPr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2770066" cy="11668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0066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3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type w:val="continuous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</w:rPr>
      <w:drawing>
        <wp:inline distB="0" distT="0" distL="0" distR="0">
          <wp:extent cx="2124372" cy="847843"/>
          <wp:effectExtent b="0" l="0" r="0" t="0"/>
          <wp:docPr descr="luiza.png" id="3" name="image3.png"/>
          <a:graphic>
            <a:graphicData uri="http://schemas.openxmlformats.org/drawingml/2006/picture">
              <pic:pic>
                <pic:nvPicPr>
                  <pic:cNvPr descr="luiza.png"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24372" cy="8478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                                                                 Laudo </w:t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before="708" w:line="240" w:lineRule="auto"/>
      <w:ind w:right="-585"/>
      <w:jc w:val="right"/>
      <w:rPr>
        <w:rFonts w:ascii="Calibri" w:cs="Calibri" w:eastAsia="Calibri" w:hAnsi="Calibri"/>
        <w:b w:val="1"/>
        <w:color w:val="000000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Laudo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-428623</wp:posOffset>
          </wp:positionH>
          <wp:positionV relativeFrom="paragraph">
            <wp:posOffset>152400</wp:posOffset>
          </wp:positionV>
          <wp:extent cx="2705100" cy="561975"/>
          <wp:effectExtent b="0" l="0" r="0" t="0"/>
          <wp:wrapSquare wrapText="bothSides" distB="0" distT="0" distL="114300" distR="114300"/>
          <wp:docPr descr="https://www.assurantsolutions.com/assets/img/logo_thread.png" id="1" name="image1.gif"/>
          <a:graphic>
            <a:graphicData uri="http://schemas.openxmlformats.org/drawingml/2006/picture">
              <pic:pic>
                <pic:nvPicPr>
                  <pic:cNvPr descr="https://www.assurantsolutions.com/assets/img/logo_thread.png" id="0" name="image1.gif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05100" cy="5619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right="-585"/>
      <w:jc w:val="right"/>
      <w:rPr>
        <w:color w:val="000000"/>
      </w:rPr>
    </w:pPr>
    <w:r w:rsidDel="00000000" w:rsidR="00000000" w:rsidRPr="00000000">
      <w:rPr>
        <w:rFonts w:ascii="Calibri" w:cs="Calibri" w:eastAsia="Calibri" w:hAnsi="Calibri"/>
        <w:b w:val="1"/>
        <w:color w:val="000000"/>
        <w:sz w:val="36"/>
        <w:szCs w:val="36"/>
        <w:rtl w:val="0"/>
      </w:rPr>
      <w:t xml:space="preserve">Análise Técnica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