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courese</w:t>
      </w:r>
      <w:r>
        <w:t xml:space="preserve"> </w:t>
      </w:r>
      <w:r>
        <w:t xml:space="preserve">project</w:t>
      </w:r>
      <w:r>
        <w:t xml:space="preserve"> </w:t>
      </w:r>
      <w:r>
        <w:t xml:space="preserve">2</w:t>
      </w:r>
    </w:p>
    <w:p>
      <w:pPr>
        <w:pStyle w:val="Heading2"/>
      </w:pPr>
      <w:bookmarkStart w:id="21" w:name="problem-explanation"/>
      <w:bookmarkEnd w:id="21"/>
      <w:r>
        <w:t xml:space="preserve">Problem explanation</w:t>
      </w:r>
    </w:p>
    <w:p>
      <w:r>
        <w:t xml:space="preserve">we're going to analyze the ToothGrowth data in the R datasets package.</w:t>
      </w:r>
    </w:p>
    <w:p>
      <w:pPr>
        <w:pStyle w:val="Heading3"/>
      </w:pPr>
      <w:bookmarkStart w:id="22" w:name="load-the-toothgrowth-data-and-perform-some-basic-exploratory-data-analyses"/>
      <w:bookmarkEnd w:id="22"/>
      <w:r>
        <w:t xml:space="preserve">1. Load the ToothGrowth data and perform some basic exploratory data analyses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br w:type="textWrapping"/>
      </w:r>
      <w:r>
        <w:rPr>
          <w:rStyle w:val="KeywordTok"/>
        </w:rPr>
        <w:t xml:space="preserve">data</w:t>
      </w:r>
      <w:r>
        <w:rPr>
          <w:rStyle w:val="NormalTok"/>
        </w:rPr>
        <w:t xml:space="preserve">(ToothGrowth)</w:t>
      </w:r>
      <w:r>
        <w:br w:type="textWrapping"/>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(dose),</w:t>
      </w:r>
      <w:r>
        <w:rPr>
          <w:rStyle w:val="DataTypeTok"/>
        </w:rPr>
        <w:t xml:space="preserve">y=</w:t>
      </w:r>
      <w:r>
        <w:rPr>
          <w:rStyle w:val="NormalTok"/>
        </w:rPr>
        <w:t xml:space="preserve">len,</w:t>
      </w:r>
      <w:r>
        <w:rPr>
          <w:rStyle w:val="DataTypeTok"/>
        </w:rPr>
        <w:t xml:space="preserve">fill=</w:t>
      </w:r>
      <w:r>
        <w:rPr>
          <w:rStyle w:val="KeywordTok"/>
        </w:rPr>
        <w:t xml:space="preserve">factor</w:t>
      </w:r>
      <w:r>
        <w:rPr>
          <w:rStyle w:val="NormalTok"/>
        </w:rPr>
        <w:t xml:space="preserve">(dose)))</w:t>
      </w:r>
      <w:r>
        <w:br w:type="textWrapping"/>
      </w:r>
      <w:r>
        <w:rPr>
          <w:rStyle w:val="NormalTok"/>
        </w:rPr>
        <w:t xml:space="preserve">g1 +</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NormalTok"/>
        </w:rPr>
        <w:t xml:space="preserve">F) +</w:t>
      </w:r>
      <w:r>
        <w:rPr>
          <w:rStyle w:val="StringTok"/>
        </w:rPr>
        <w:t xml:space="preserve"> </w:t>
      </w:r>
      <w:r>
        <w:rPr>
          <w:rStyle w:val="KeywordTok"/>
        </w:rPr>
        <w:t xml:space="preserve">facet_grid</w:t>
      </w:r>
      <w:r>
        <w:rPr>
          <w:rStyle w:val="NormalTok"/>
        </w:rPr>
        <w:t xml:space="preserve">(.~supp)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"Dosage in mg"</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"Length of Teeth"</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"Exploratory data analyses"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stical_Inference_project_2_files/figure-docx/unnamed-chunk-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1"/>
          <w:ilvl w:val="0"/>
        </w:numPr>
      </w:pPr>
      <w:r>
        <w:t xml:space="preserve">The above diagram reveals that longer teeth tend to use higher dosage.</w:t>
      </w:r>
    </w:p>
    <w:p>
      <w:pPr>
        <w:pStyle w:val="Heading3"/>
      </w:pPr>
      <w:bookmarkStart w:id="24" w:name="provide-a-basic-summary-of-the-data."/>
      <w:bookmarkEnd w:id="24"/>
      <w:r>
        <w:t xml:space="preserve">2. Provide a basic summary of the data.</w:t>
      </w:r>
    </w:p>
    <w:p>
      <w:pPr>
        <w:pStyle w:val="SourceCode"/>
      </w:pPr>
      <w:r>
        <w:rPr>
          <w:rStyle w:val="NormalTok"/>
        </w:rPr>
        <w:t xml:space="preserve">ToothGrowth$dose &lt;-</w:t>
      </w:r>
      <w:r>
        <w:rPr>
          <w:rStyle w:val="StringTok"/>
        </w:rPr>
        <w:t xml:space="preserve"> </w:t>
      </w:r>
      <w:r>
        <w:rPr>
          <w:rStyle w:val="KeywordTok"/>
        </w:rPr>
        <w:t xml:space="preserve">as.factor</w:t>
      </w:r>
      <w:r>
        <w:rPr>
          <w:rStyle w:val="NormalTok"/>
        </w:rPr>
        <w:t xml:space="preserve">(ToothGrowth$dose)</w:t>
      </w:r>
      <w:r>
        <w:br w:type="textWrapping"/>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   OJ:30   0.5:20  </w:t>
      </w:r>
      <w:r>
        <w:br w:type="textWrapping"/>
      </w:r>
      <w:r>
        <w:rPr>
          <w:rStyle w:val="VerbatimChar"/>
        </w:rPr>
        <w:t xml:space="preserve">##  1st Qu.:13.1   VC:30   1  :20  </w:t>
      </w:r>
      <w:r>
        <w:br w:type="textWrapping"/>
      </w:r>
      <w:r>
        <w:rPr>
          <w:rStyle w:val="VerbatimChar"/>
        </w:rPr>
        <w:t xml:space="preserve">##  Median :19.2           2  :20  </w:t>
      </w:r>
      <w:r>
        <w:br w:type="textWrapping"/>
      </w:r>
      <w:r>
        <w:rPr>
          <w:rStyle w:val="VerbatimChar"/>
        </w:rPr>
        <w:t xml:space="preserve">##  Mean   :18.8                   </w:t>
      </w:r>
      <w:r>
        <w:br w:type="textWrapping"/>
      </w:r>
      <w:r>
        <w:rPr>
          <w:rStyle w:val="VerbatimChar"/>
        </w:rPr>
        <w:t xml:space="preserve">##  3rd Qu.:25.3                   </w:t>
      </w:r>
      <w:r>
        <w:br w:type="textWrapping"/>
      </w:r>
      <w:r>
        <w:rPr>
          <w:rStyle w:val="VerbatimChar"/>
        </w:rPr>
        <w:t xml:space="preserve">##  Max.   :33.9</w:t>
      </w:r>
    </w:p>
    <w:p>
      <w:pPr>
        <w:pStyle w:val="SourceCode"/>
      </w:pPr>
      <w:r>
        <w:rPr>
          <w:rStyle w:val="KeywordTok"/>
        </w:rPr>
        <w:t xml:space="preserve">table</w:t>
      </w:r>
      <w:r>
        <w:rPr>
          <w:rStyle w:val="NormalTok"/>
        </w:rPr>
        <w:t xml:space="preserve">(ToothGrowth$supp, 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pPr>
        <w:pStyle w:val="Compact"/>
        <w:numPr>
          <w:numId w:val="1002"/>
          <w:ilvl w:val="0"/>
        </w:numPr>
      </w:pPr>
      <w:r>
        <w:t xml:space="preserve">We can see there are two supplements (OJ and VC) and three kinds of dose (0.5, 1, 2) in this dataset.</w:t>
      </w:r>
    </w:p>
    <w:p>
      <w:pPr>
        <w:pStyle w:val="Heading3"/>
      </w:pPr>
      <w:bookmarkStart w:id="25" w:name="use-confidence-intervals-and-hypothesis-tests-to-compare-tooth-growth-by-supp-and-dose."/>
      <w:bookmarkEnd w:id="25"/>
      <w:r>
        <w:t xml:space="preserve">3. Use confidence intervals and hypothesis tests to compare tooth growth by supp and dose.</w:t>
      </w:r>
    </w:p>
    <w:p>
      <w:pPr>
        <w:pStyle w:val="SourceCode"/>
      </w:pPr>
      <w:r>
        <w:rPr>
          <w:rStyle w:val="NormalTok"/>
        </w:rPr>
        <w:t xml:space="preserve">ttest.t1 &lt;-</w:t>
      </w:r>
      <w:r>
        <w:rPr>
          <w:rStyle w:val="StringTok"/>
        </w:rPr>
        <w:t xml:space="preserve"> </w:t>
      </w:r>
      <w:r>
        <w:rPr>
          <w:rStyle w:val="KeywordTok"/>
        </w:rPr>
        <w:t xml:space="preserve">t.test</w:t>
      </w:r>
      <w:r>
        <w:rPr>
          <w:rStyle w:val="NormalTok"/>
        </w:rPr>
        <w:t xml:space="preserve">(len~supp, </w:t>
      </w:r>
      <w:r>
        <w:rPr>
          <w:rStyle w:val="DataTypeTok"/>
        </w:rPr>
        <w:t xml:space="preserve">paired=</w:t>
      </w:r>
      <w:r>
        <w:rPr>
          <w:rStyle w:val="NormalTok"/>
        </w:rPr>
        <w:t xml:space="preserve">F, </w:t>
      </w:r>
      <w:r>
        <w:rPr>
          <w:rStyle w:val="DataTypeTok"/>
        </w:rPr>
        <w:t xml:space="preserve">var.equal=</w:t>
      </w:r>
      <w:r>
        <w:rPr>
          <w:rStyle w:val="NormalTok"/>
        </w:rPr>
        <w:t xml:space="preserve">T, </w:t>
      </w:r>
      <w:r>
        <w:rPr>
          <w:rStyle w:val="DataTypeTok"/>
        </w:rPr>
        <w:t xml:space="preserve">data=</w:t>
      </w:r>
      <w:r>
        <w:rPr>
          <w:rStyle w:val="NormalTok"/>
        </w:rPr>
        <w:t xml:space="preserve">ToothGrowth)</w:t>
      </w:r>
      <w:r>
        <w:br w:type="textWrapping"/>
      </w:r>
      <w:r>
        <w:rPr>
          <w:rStyle w:val="NormalTok"/>
        </w:rPr>
        <w:t xml:space="preserve">ttest.t2 &lt;-</w:t>
      </w:r>
      <w:r>
        <w:rPr>
          <w:rStyle w:val="StringTok"/>
        </w:rPr>
        <w:t xml:space="preserve"> </w:t>
      </w:r>
      <w:r>
        <w:rPr>
          <w:rStyle w:val="KeywordTok"/>
        </w:rPr>
        <w:t xml:space="preserve">t.test</w:t>
      </w:r>
      <w:r>
        <w:rPr>
          <w:rStyle w:val="NormalTok"/>
        </w:rPr>
        <w:t xml:space="preserve">(len~supp, </w:t>
      </w:r>
      <w:r>
        <w:rPr>
          <w:rStyle w:val="DataTypeTok"/>
        </w:rPr>
        <w:t xml:space="preserve">paired=</w:t>
      </w:r>
      <w:r>
        <w:rPr>
          <w:rStyle w:val="NormalTok"/>
        </w:rPr>
        <w:t xml:space="preserve">F, </w:t>
      </w:r>
      <w:r>
        <w:rPr>
          <w:rStyle w:val="DataTypeTok"/>
        </w:rPr>
        <w:t xml:space="preserve">var.equal=</w:t>
      </w:r>
      <w:r>
        <w:rPr>
          <w:rStyle w:val="NormalTok"/>
        </w:rPr>
        <w:t xml:space="preserve">F, </w:t>
      </w:r>
      <w:r>
        <w:rPr>
          <w:rStyle w:val="DataTypeTok"/>
        </w:rPr>
        <w:t xml:space="preserve">data=</w:t>
      </w:r>
      <w:r>
        <w:rPr>
          <w:rStyle w:val="NormalTok"/>
        </w:rPr>
        <w:t xml:space="preserve">ToothGrowth)</w:t>
      </w:r>
      <w:r>
        <w:br w:type="textWrapping"/>
      </w:r>
      <w:r>
        <w:rPr>
          <w:rStyle w:val="NormalTok"/>
        </w:rPr>
        <w:t xml:space="preserve">ttest.result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(ttest.t1$p.value, ttest.t2$p.value),</w:t>
      </w:r>
      <w:r>
        <w:rPr>
          <w:rStyle w:val="StringTok"/>
        </w:rPr>
        <w:t xml:space="preserve">"Conf-Low"</w:t>
      </w:r>
      <w:r>
        <w:rPr>
          <w:rStyle w:val="NormalTok"/>
        </w:rPr>
        <w:t xml:space="preserve">=</w:t>
      </w:r>
      <w:r>
        <w:rPr>
          <w:rStyle w:val="KeywordTok"/>
        </w:rPr>
        <w:t xml:space="preserve">c</w:t>
      </w:r>
      <w:r>
        <w:rPr>
          <w:rStyle w:val="NormalTok"/>
        </w:rPr>
        <w:t xml:space="preserve">(ttest.t1$conf[</w:t>
      </w:r>
      <w:r>
        <w:rPr>
          <w:rStyle w:val="DecValTok"/>
        </w:rPr>
        <w:t xml:space="preserve">1</w:t>
      </w:r>
      <w:r>
        <w:rPr>
          <w:rStyle w:val="NormalTok"/>
        </w:rPr>
        <w:t xml:space="preserve">],ttest.t2$conf[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"Conf-High"</w:t>
      </w:r>
      <w:r>
        <w:rPr>
          <w:rStyle w:val="NormalTok"/>
        </w:rPr>
        <w:t xml:space="preserve">=</w:t>
      </w:r>
      <w:r>
        <w:rPr>
          <w:rStyle w:val="KeywordTok"/>
        </w:rPr>
        <w:t xml:space="preserve">c</w:t>
      </w:r>
      <w:r>
        <w:rPr>
          <w:rStyle w:val="NormalTok"/>
        </w:rPr>
        <w:t xml:space="preserve">(ttest.t1$conf[</w:t>
      </w:r>
      <w:r>
        <w:rPr>
          <w:rStyle w:val="DecValTok"/>
        </w:rPr>
        <w:t xml:space="preserve">2</w:t>
      </w:r>
      <w:r>
        <w:rPr>
          <w:rStyle w:val="NormalTok"/>
        </w:rPr>
        <w:t xml:space="preserve">],ttest.t2$conf[</w:t>
      </w:r>
      <w:r>
        <w:rPr>
          <w:rStyle w:val="DecValTok"/>
        </w:rPr>
        <w:t xml:space="preserve">2</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w:t>
      </w:r>
      <w:r>
        <w:br w:type="textWrapping"/>
      </w:r>
      <w:r>
        <w:rPr>
          <w:rStyle w:val="NormalTok"/>
        </w:rPr>
        <w:t xml:space="preserve">ttest.result</w:t>
      </w:r>
    </w:p>
    <w:p>
      <w:pPr>
        <w:pStyle w:val="SourceCode"/>
      </w:pPr>
      <w:r>
        <w:rPr>
          <w:rStyle w:val="VerbatimChar"/>
        </w:rPr>
        <w:t xml:space="preserve">##             p.value Conf.Low Conf.High</w:t>
      </w:r>
      <w:r>
        <w:br w:type="textWrapping"/>
      </w:r>
      <w:r>
        <w:rPr>
          <w:rStyle w:val="VerbatimChar"/>
        </w:rPr>
        <w:t xml:space="preserve">## Equal Var   0.06039   -0.167     7.567</w:t>
      </w:r>
      <w:r>
        <w:br w:type="textWrapping"/>
      </w:r>
      <w:r>
        <w:rPr>
          <w:rStyle w:val="VerbatimChar"/>
        </w:rPr>
        <w:t xml:space="preserve">## Unequal Var 0.06063   -0.171     7.571</w:t>
      </w:r>
    </w:p>
    <w:p>
      <w:pPr>
        <w:pStyle w:val="Compact"/>
        <w:numPr>
          <w:numId w:val="1003"/>
          <w:ilvl w:val="0"/>
        </w:numPr>
      </w:pPr>
      <w:r>
        <w:t xml:space="preserve">We can see that, in terms of supplements (Orange Juice &amp; Vitamin C), the p values of both equal variance and unequal variance t tests are larger than 5 percent and the confidence intervals of both t tests contain 0. So we cannot deny null hypothesis.</w:t>
      </w:r>
      <w:r>
        <w:t xml:space="preserve"> </w:t>
      </w:r>
      <w:r>
        <w:rPr>
          <w:b/>
        </w:rPr>
        <w:t xml:space="preserve">So we cannot conclude that there are differences between OJ and VC groups</w:t>
      </w:r>
      <w:r>
        <w:t xml:space="preserve">.</w:t>
      </w:r>
    </w:p>
    <w:p>
      <w:pPr>
        <w:pStyle w:val="SourceCode"/>
      </w:pPr>
      <w:r>
        <w:rPr>
          <w:rStyle w:val="NormalTok"/>
        </w:rPr>
        <w:t xml:space="preserve">dose</w:t>
      </w:r>
      <w:r>
        <w:rPr>
          <w:rStyle w:val="FloatTok"/>
        </w:rPr>
        <w:t xml:space="preserve">.05</w:t>
      </w:r>
      <w:r>
        <w:rPr>
          <w:rStyle w:val="NormalTok"/>
        </w:rPr>
        <w:t xml:space="preserve"> </w:t>
      </w:r>
      <w:r>
        <w:rPr>
          <w:rStyle w:val="NormalTok"/>
        </w:rPr>
        <w:t xml:space="preserve">&lt;-</w:t>
      </w:r>
      <w:r>
        <w:rPr>
          <w:rStyle w:val="StringTok"/>
        </w:rPr>
        <w:t xml:space="preserve"> </w:t>
      </w:r>
      <w:r>
        <w:rPr>
          <w:rStyle w:val="NormalTok"/>
        </w:rPr>
        <w:t xml:space="preserve">ToothGrowth[</w:t>
      </w:r>
      <w:r>
        <w:rPr>
          <w:rStyle w:val="KeywordTok"/>
        </w:rPr>
        <w:t xml:space="preserve">which</w:t>
      </w:r>
      <w:r>
        <w:rPr>
          <w:rStyle w:val="NormalTok"/>
        </w:rPr>
        <w:t xml:space="preserve">(ToothGrowth$dose==.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dose</w:t>
      </w:r>
      <w:r>
        <w:rPr>
          <w:rStyle w:val="FloatTok"/>
        </w:rPr>
        <w:t xml:space="preserve">.10</w:t>
      </w:r>
      <w:r>
        <w:rPr>
          <w:rStyle w:val="NormalTok"/>
        </w:rPr>
        <w:t xml:space="preserve"> </w:t>
      </w:r>
      <w:r>
        <w:rPr>
          <w:rStyle w:val="NormalTok"/>
        </w:rPr>
        <w:t xml:space="preserve">&lt;-</w:t>
      </w:r>
      <w:r>
        <w:rPr>
          <w:rStyle w:val="StringTok"/>
        </w:rPr>
        <w:t xml:space="preserve"> </w:t>
      </w:r>
      <w:r>
        <w:rPr>
          <w:rStyle w:val="NormalTok"/>
        </w:rPr>
        <w:t xml:space="preserve">ToothGrowth[</w:t>
      </w:r>
      <w:r>
        <w:rPr>
          <w:rStyle w:val="KeywordTok"/>
        </w:rPr>
        <w:t xml:space="preserve">which</w:t>
      </w:r>
      <w:r>
        <w:rPr>
          <w:rStyle w:val="NormalTok"/>
        </w:rPr>
        <w:t xml:space="preserve">(ToothGrowth$dose==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dose</w:t>
      </w:r>
      <w:r>
        <w:rPr>
          <w:rStyle w:val="FloatTok"/>
        </w:rPr>
        <w:t xml:space="preserve">.20</w:t>
      </w:r>
      <w:r>
        <w:rPr>
          <w:rStyle w:val="NormalTok"/>
        </w:rPr>
        <w:t xml:space="preserve"> </w:t>
      </w:r>
      <w:r>
        <w:rPr>
          <w:rStyle w:val="NormalTok"/>
        </w:rPr>
        <w:t xml:space="preserve">&lt;-</w:t>
      </w:r>
      <w:r>
        <w:rPr>
          <w:rStyle w:val="StringTok"/>
        </w:rPr>
        <w:t xml:space="preserve"> </w:t>
      </w:r>
      <w:r>
        <w:rPr>
          <w:rStyle w:val="NormalTok"/>
        </w:rPr>
        <w:t xml:space="preserve">ToothGrowth[</w:t>
      </w:r>
      <w:r>
        <w:rPr>
          <w:rStyle w:val="KeywordTok"/>
        </w:rPr>
        <w:t xml:space="preserve">which</w:t>
      </w:r>
      <w:r>
        <w:rPr>
          <w:rStyle w:val="NormalTok"/>
        </w:rPr>
        <w:t xml:space="preserve">(ToothGrowth$dose==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dose0510.t1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.10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T)</w:t>
      </w:r>
      <w:r>
        <w:br w:type="textWrapping"/>
      </w:r>
      <w:r>
        <w:rPr>
          <w:rStyle w:val="NormalTok"/>
        </w:rPr>
        <w:t xml:space="preserve">dose0510.t2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.10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dose0510.result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(dose0510.t1$p.value, dose0510.t2$p.value),</w:t>
      </w:r>
      <w:r>
        <w:rPr>
          <w:rStyle w:val="StringTok"/>
        </w:rPr>
        <w:t xml:space="preserve">"Conf-Low"</w:t>
      </w:r>
      <w:r>
        <w:rPr>
          <w:rStyle w:val="NormalTok"/>
        </w:rPr>
        <w:t xml:space="preserve">=</w:t>
      </w:r>
      <w:r>
        <w:rPr>
          <w:rStyle w:val="KeywordTok"/>
        </w:rPr>
        <w:t xml:space="preserve">c</w:t>
      </w:r>
      <w:r>
        <w:rPr>
          <w:rStyle w:val="NormalTok"/>
        </w:rPr>
        <w:t xml:space="preserve">(dose0510.t1$conf[</w:t>
      </w:r>
      <w:r>
        <w:rPr>
          <w:rStyle w:val="DecValTok"/>
        </w:rPr>
        <w:t xml:space="preserve">1</w:t>
      </w:r>
      <w:r>
        <w:rPr>
          <w:rStyle w:val="NormalTok"/>
        </w:rPr>
        <w:t xml:space="preserve">],dose0510.t2$conf[</w:t>
      </w:r>
      <w:r>
        <w:rPr>
          <w:rStyle w:val="DecValTok"/>
        </w:rPr>
        <w:t xml:space="preserve">1</w:t>
      </w:r>
      <w:r>
        <w:rPr>
          <w:rStyle w:val="NormalTok"/>
        </w:rPr>
        <w:t xml:space="preserve">]),</w:t>
      </w:r>
      <w:r>
        <w:rPr>
          <w:rStyle w:val="StringTok"/>
        </w:rPr>
        <w:t xml:space="preserve">"Conf-High"</w:t>
      </w:r>
      <w:r>
        <w:rPr>
          <w:rStyle w:val="NormalTok"/>
        </w:rPr>
        <w:t xml:space="preserve">=</w:t>
      </w:r>
      <w:r>
        <w:rPr>
          <w:rStyle w:val="KeywordTok"/>
        </w:rPr>
        <w:t xml:space="preserve">c</w:t>
      </w:r>
      <w:r>
        <w:rPr>
          <w:rStyle w:val="NormalTok"/>
        </w:rPr>
        <w:t xml:space="preserve">(dose0510.t1$conf[</w:t>
      </w:r>
      <w:r>
        <w:rPr>
          <w:rStyle w:val="DecValTok"/>
        </w:rPr>
        <w:t xml:space="preserve">2</w:t>
      </w:r>
      <w:r>
        <w:rPr>
          <w:rStyle w:val="NormalTok"/>
        </w:rPr>
        <w:t xml:space="preserve">],dose0510.t2$conf[</w:t>
      </w:r>
      <w:r>
        <w:rPr>
          <w:rStyle w:val="DecValTok"/>
        </w:rPr>
        <w:t xml:space="preserve">2</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 </w:t>
      </w:r>
      <w:r>
        <w:rPr>
          <w:rStyle w:val="StringTok"/>
        </w:rPr>
        <w:t xml:space="preserve">"Dose"</w:t>
      </w:r>
      <w:r>
        <w:rPr>
          <w:rStyle w:val="NormalTok"/>
        </w:rPr>
        <w:t xml:space="preserve">=</w:t>
      </w:r>
      <w:r>
        <w:rPr>
          <w:rStyle w:val="StringTok"/>
        </w:rPr>
        <w:t xml:space="preserve">"0.5 to 1"</w:t>
      </w:r>
      <w:r>
        <w:rPr>
          <w:rStyle w:val="NormalTok"/>
        </w:rPr>
        <w:t xml:space="preserve">)</w:t>
      </w:r>
      <w:r>
        <w:br w:type="textWrapping"/>
      </w:r>
      <w:r>
        <w:rPr>
          <w:rStyle w:val="NormalTok"/>
        </w:rPr>
        <w:t xml:space="preserve">dose0520.t1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T)</w:t>
      </w:r>
      <w:r>
        <w:br w:type="textWrapping"/>
      </w:r>
      <w:r>
        <w:rPr>
          <w:rStyle w:val="NormalTok"/>
        </w:rPr>
        <w:t xml:space="preserve">dose0520.t2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dose0520.result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(dose0520.t1$p.value, dose0520.t2$p.value),</w:t>
      </w:r>
      <w:r>
        <w:rPr>
          <w:rStyle w:val="StringTok"/>
        </w:rPr>
        <w:t xml:space="preserve">"Conf-Low"</w:t>
      </w:r>
      <w:r>
        <w:rPr>
          <w:rStyle w:val="NormalTok"/>
        </w:rPr>
        <w:t xml:space="preserve">=</w:t>
      </w:r>
      <w:r>
        <w:rPr>
          <w:rStyle w:val="KeywordTok"/>
        </w:rPr>
        <w:t xml:space="preserve">c</w:t>
      </w:r>
      <w:r>
        <w:rPr>
          <w:rStyle w:val="NormalTok"/>
        </w:rPr>
        <w:t xml:space="preserve">(dose0520.t1$conf[</w:t>
      </w:r>
      <w:r>
        <w:rPr>
          <w:rStyle w:val="DecValTok"/>
        </w:rPr>
        <w:t xml:space="preserve">1</w:t>
      </w:r>
      <w:r>
        <w:rPr>
          <w:rStyle w:val="NormalTok"/>
        </w:rPr>
        <w:t xml:space="preserve">],dose0520.t2$conf[</w:t>
      </w:r>
      <w:r>
        <w:rPr>
          <w:rStyle w:val="DecValTok"/>
        </w:rPr>
        <w:t xml:space="preserve">1</w:t>
      </w:r>
      <w:r>
        <w:rPr>
          <w:rStyle w:val="NormalTok"/>
        </w:rPr>
        <w:t xml:space="preserve">]),</w:t>
      </w:r>
      <w:r>
        <w:rPr>
          <w:rStyle w:val="StringTok"/>
        </w:rPr>
        <w:t xml:space="preserve">"Conf-High"</w:t>
      </w:r>
      <w:r>
        <w:rPr>
          <w:rStyle w:val="NormalTok"/>
        </w:rPr>
        <w:t xml:space="preserve">=</w:t>
      </w:r>
      <w:r>
        <w:rPr>
          <w:rStyle w:val="KeywordTok"/>
        </w:rPr>
        <w:t xml:space="preserve">c</w:t>
      </w:r>
      <w:r>
        <w:rPr>
          <w:rStyle w:val="NormalTok"/>
        </w:rPr>
        <w:t xml:space="preserve">(dose0520.t1$conf[</w:t>
      </w:r>
      <w:r>
        <w:rPr>
          <w:rStyle w:val="DecValTok"/>
        </w:rPr>
        <w:t xml:space="preserve">2</w:t>
      </w:r>
      <w:r>
        <w:rPr>
          <w:rStyle w:val="NormalTok"/>
        </w:rPr>
        <w:t xml:space="preserve">],dose0520.t2$conf[</w:t>
      </w:r>
      <w:r>
        <w:rPr>
          <w:rStyle w:val="DecValTok"/>
        </w:rPr>
        <w:t xml:space="preserve">2</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 </w:t>
      </w:r>
      <w:r>
        <w:rPr>
          <w:rStyle w:val="StringTok"/>
        </w:rPr>
        <w:t xml:space="preserve">"Dose"</w:t>
      </w:r>
      <w:r>
        <w:rPr>
          <w:rStyle w:val="NormalTok"/>
        </w:rPr>
        <w:t xml:space="preserve">=</w:t>
      </w:r>
      <w:r>
        <w:rPr>
          <w:rStyle w:val="StringTok"/>
        </w:rPr>
        <w:t xml:space="preserve">"0.5 to 2"</w:t>
      </w:r>
      <w:r>
        <w:rPr>
          <w:rStyle w:val="NormalTok"/>
        </w:rPr>
        <w:t xml:space="preserve">)</w:t>
      </w:r>
      <w:r>
        <w:br w:type="textWrapping"/>
      </w:r>
      <w:r>
        <w:rPr>
          <w:rStyle w:val="NormalTok"/>
        </w:rPr>
        <w:t xml:space="preserve">dose1020.t1 &lt;-</w:t>
      </w:r>
      <w:r>
        <w:rPr>
          <w:rStyle w:val="StringTok"/>
        </w:rPr>
        <w:t xml:space="preserve"> </w:t>
      </w:r>
      <w:r>
        <w:rPr>
          <w:rStyle w:val="KeywordTok"/>
        </w:rPr>
        <w:t xml:space="preserve">t.test</w:t>
      </w:r>
      <w:r>
        <w:rPr>
          <w:rStyle w:val="NormalTok"/>
        </w:rPr>
        <w:t xml:space="preserve">(dose</w:t>
      </w:r>
      <w:r>
        <w:rPr>
          <w:rStyle w:val="FloatTok"/>
        </w:rPr>
        <w:t xml:space="preserve">.10</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T)</w:t>
      </w:r>
      <w:r>
        <w:br w:type="textWrapping"/>
      </w:r>
      <w:r>
        <w:rPr>
          <w:rStyle w:val="NormalTok"/>
        </w:rPr>
        <w:t xml:space="preserve">dose1020.t2 &lt;-</w:t>
      </w:r>
      <w:r>
        <w:rPr>
          <w:rStyle w:val="StringTok"/>
        </w:rPr>
        <w:t xml:space="preserve"> </w:t>
      </w:r>
      <w:r>
        <w:rPr>
          <w:rStyle w:val="KeywordTok"/>
        </w:rPr>
        <w:t xml:space="preserve">t.test</w:t>
      </w:r>
      <w:r>
        <w:rPr>
          <w:rStyle w:val="NormalTok"/>
        </w:rPr>
        <w:t xml:space="preserve">(dose</w:t>
      </w:r>
      <w:r>
        <w:rPr>
          <w:rStyle w:val="FloatTok"/>
        </w:rPr>
        <w:t xml:space="preserve">.10</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dose1020.result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(dose1020.t1$p.value, dose1020.t2$p.value),</w:t>
      </w:r>
      <w:r>
        <w:rPr>
          <w:rStyle w:val="StringTok"/>
        </w:rPr>
        <w:t xml:space="preserve">"Conf-Low"</w:t>
      </w:r>
      <w:r>
        <w:rPr>
          <w:rStyle w:val="NormalTok"/>
        </w:rPr>
        <w:t xml:space="preserve">=</w:t>
      </w:r>
      <w:r>
        <w:rPr>
          <w:rStyle w:val="KeywordTok"/>
        </w:rPr>
        <w:t xml:space="preserve">c</w:t>
      </w:r>
      <w:r>
        <w:rPr>
          <w:rStyle w:val="NormalTok"/>
        </w:rPr>
        <w:t xml:space="preserve">(dose1020.t1$conf[</w:t>
      </w:r>
      <w:r>
        <w:rPr>
          <w:rStyle w:val="DecValTok"/>
        </w:rPr>
        <w:t xml:space="preserve">1</w:t>
      </w:r>
      <w:r>
        <w:rPr>
          <w:rStyle w:val="NormalTok"/>
        </w:rPr>
        <w:t xml:space="preserve">],dose1020.t2$conf[</w:t>
      </w:r>
      <w:r>
        <w:rPr>
          <w:rStyle w:val="DecValTok"/>
        </w:rPr>
        <w:t xml:space="preserve">1</w:t>
      </w:r>
      <w:r>
        <w:rPr>
          <w:rStyle w:val="NormalTok"/>
        </w:rPr>
        <w:t xml:space="preserve">]),</w:t>
      </w:r>
      <w:r>
        <w:rPr>
          <w:rStyle w:val="StringTok"/>
        </w:rPr>
        <w:t xml:space="preserve">"Conf-High"</w:t>
      </w:r>
      <w:r>
        <w:rPr>
          <w:rStyle w:val="NormalTok"/>
        </w:rPr>
        <w:t xml:space="preserve">=</w:t>
      </w:r>
      <w:r>
        <w:rPr>
          <w:rStyle w:val="KeywordTok"/>
        </w:rPr>
        <w:t xml:space="preserve">c</w:t>
      </w:r>
      <w:r>
        <w:rPr>
          <w:rStyle w:val="NormalTok"/>
        </w:rPr>
        <w:t xml:space="preserve">(dose1020.t1$conf[</w:t>
      </w:r>
      <w:r>
        <w:rPr>
          <w:rStyle w:val="DecValTok"/>
        </w:rPr>
        <w:t xml:space="preserve">2</w:t>
      </w:r>
      <w:r>
        <w:rPr>
          <w:rStyle w:val="NormalTok"/>
        </w:rPr>
        <w:t xml:space="preserve">],dose1020.t2$conf[</w:t>
      </w:r>
      <w:r>
        <w:rPr>
          <w:rStyle w:val="DecValTok"/>
        </w:rPr>
        <w:t xml:space="preserve">2</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 </w:t>
      </w:r>
      <w:r>
        <w:rPr>
          <w:rStyle w:val="StringTok"/>
        </w:rPr>
        <w:t xml:space="preserve">"Dose"</w:t>
      </w:r>
      <w:r>
        <w:rPr>
          <w:rStyle w:val="NormalTok"/>
        </w:rPr>
        <w:t xml:space="preserve">=</w:t>
      </w:r>
      <w:r>
        <w:rPr>
          <w:rStyle w:val="StringTok"/>
        </w:rPr>
        <w:t xml:space="preserve">"1 to 2"</w:t>
      </w:r>
      <w:r>
        <w:rPr>
          <w:rStyle w:val="NormalTok"/>
        </w:rPr>
        <w:t xml:space="preserve">)</w:t>
      </w:r>
      <w:r>
        <w:br w:type="textWrapping"/>
      </w:r>
      <w:r>
        <w:rPr>
          <w:rStyle w:val="NormalTok"/>
        </w:rPr>
        <w:t xml:space="preserve">dose.result &lt;-</w:t>
      </w:r>
      <w:r>
        <w:rPr>
          <w:rStyle w:val="StringTok"/>
        </w:rPr>
        <w:t xml:space="preserve"> </w:t>
      </w:r>
      <w:r>
        <w:rPr>
          <w:rStyle w:val="KeywordTok"/>
        </w:rPr>
        <w:t xml:space="preserve">rbind</w:t>
      </w:r>
      <w:r>
        <w:rPr>
          <w:rStyle w:val="NormalTok"/>
        </w:rPr>
        <w:t xml:space="preserve">(dose0510.result,dose0520.result,dose1020.result)</w:t>
      </w:r>
      <w:r>
        <w:br w:type="textWrapping"/>
      </w:r>
      <w:r>
        <w:rPr>
          <w:rStyle w:val="NormalTok"/>
        </w:rPr>
        <w:t xml:space="preserve">dose.result</w:t>
      </w:r>
    </w:p>
    <w:p>
      <w:pPr>
        <w:pStyle w:val="SourceCode"/>
      </w:pPr>
      <w:r>
        <w:rPr>
          <w:rStyle w:val="VerbatimChar"/>
        </w:rPr>
        <w:t xml:space="preserve">##                p.value Conf.Low Conf.High     Dose</w:t>
      </w:r>
      <w:r>
        <w:br w:type="textWrapping"/>
      </w:r>
      <w:r>
        <w:rPr>
          <w:rStyle w:val="VerbatimChar"/>
        </w:rPr>
        <w:t xml:space="preserve">## Equal Var    1.266e-07  -11.984    -6.276 0.5 to 1</w:t>
      </w:r>
      <w:r>
        <w:br w:type="textWrapping"/>
      </w:r>
      <w:r>
        <w:rPr>
          <w:rStyle w:val="VerbatimChar"/>
        </w:rPr>
        <w:t xml:space="preserve">## Unequal Var  1.268e-07  -11.984    -6.276 0.5 to 1</w:t>
      </w:r>
      <w:r>
        <w:br w:type="textWrapping"/>
      </w:r>
      <w:r>
        <w:rPr>
          <w:rStyle w:val="VerbatimChar"/>
        </w:rPr>
        <w:t xml:space="preserve">## Equal Var1   2.838e-14  -18.154   -12.836 0.5 to 2</w:t>
      </w:r>
      <w:r>
        <w:br w:type="textWrapping"/>
      </w:r>
      <w:r>
        <w:rPr>
          <w:rStyle w:val="VerbatimChar"/>
        </w:rPr>
        <w:t xml:space="preserve">## Unequal Var1 4.398e-14  -18.156   -12.834 0.5 to 2</w:t>
      </w:r>
      <w:r>
        <w:br w:type="textWrapping"/>
      </w:r>
      <w:r>
        <w:rPr>
          <w:rStyle w:val="VerbatimChar"/>
        </w:rPr>
        <w:t xml:space="preserve">## Equal Var2   1.811e-05   -8.994    -3.736   1 to 2</w:t>
      </w:r>
      <w:r>
        <w:br w:type="textWrapping"/>
      </w:r>
      <w:r>
        <w:rPr>
          <w:rStyle w:val="VerbatimChar"/>
        </w:rPr>
        <w:t xml:space="preserve">## Unequal Var2 1.906e-05   -8.996    -3.734   1 to 2</w:t>
      </w:r>
    </w:p>
    <w:p>
      <w:pPr>
        <w:pStyle w:val="Compact"/>
        <w:numPr>
          <w:numId w:val="1004"/>
          <w:ilvl w:val="0"/>
        </w:numPr>
      </w:pPr>
      <w:r>
        <w:t xml:space="preserve">From table above, we can see that the dosages do have impact on tooth growth. All of p values are very small and the confidence intervals do not contain zero. So we can deny the null hypthesis and conclude that true difference in means is not equal to 0 among the groups with different dosages. It is clear to see that higher dosage tends to result in higher tooth length.</w:t>
      </w:r>
    </w:p>
    <w:p>
      <w:pPr>
        <w:pStyle w:val="Heading3"/>
      </w:pPr>
      <w:bookmarkStart w:id="26" w:name="state-your-conclusions-and-the-assumptions-needed-for-your-conclusions."/>
      <w:bookmarkEnd w:id="26"/>
      <w:r>
        <w:t xml:space="preserve">4. State your conclusions and the assumptions needed for your conclusions.</w:t>
      </w:r>
    </w:p>
    <w:p>
      <w:pPr>
        <w:pStyle w:val="Compact"/>
        <w:numPr>
          <w:numId w:val="1005"/>
          <w:ilvl w:val="0"/>
        </w:numPr>
      </w:pPr>
      <w:r>
        <w:t xml:space="preserve">To summarize, based on the analysis above, we can conclude that across supplements for each dose, 2mg dose has larger impact on tooth growth than 1mg and 0.5mg, and 1mg dose has more impact than 0.5mg dose. While we cannot say that orange juice and vitamin C have obvious different impact on tooth growth.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b6b6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addf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courese project 2</dc:title>
  <dc:creator/>
</cp:coreProperties>
</file>