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60"/>
      </w:pPr>
    </w:p>
    <w:p>
      <w:pPr>
        <w:jc w:val="left"/>
      </w:pPr>
      <w:r>
        <w:rPr>
          <w:rFonts w:ascii="Aptos" w:hAnsi="Aptos"/>
          <w:b/>
          <w:color w:val="007C6C"/>
          <w:sz w:val="20"/>
        </w:rPr>
        <w:t>SHAREPOINT FRAMEWORK • SPFX</w:t>
      </w:r>
    </w:p>
    <w:p>
      <w:pPr>
        <w:pStyle w:val="Title"/>
      </w:pPr>
      <w:r>
        <w:t>Documentação Técnica</w:t>
        <w:br/>
        <w:t>de Sustentação</w:t>
      </w:r>
    </w:p>
    <w:p>
      <w:r>
        <w:rPr>
          <w:rFonts w:ascii="Aptos Display" w:hAnsi="Aptos Display"/>
          <w:color w:val="075E54"/>
          <w:sz w:val="34"/>
        </w:rPr>
        <w:t>Importador Inteligente de Listas SharePoint</w:t>
      </w:r>
    </w:p>
    <w:p>
      <w:pPr>
        <w:spacing w:after="640"/>
      </w:pPr>
    </w:p>
    <w:tbl>
      <w:tblPr>
        <w:tblW w:type="auto" w:w="0"/>
        <w:jc w:val="center"/>
        <w:tblLook w:firstColumn="1" w:firstRow="1" w:lastColumn="0" w:lastRow="0" w:noHBand="0" w:noVBand="1" w:val="04A0"/>
      </w:tblPr>
      <w:tblGrid>
        <w:gridCol w:w="9752"/>
      </w:tblGrid>
      <w:tr>
        <w:trPr>
          <w:cantSplit/>
        </w:trPr>
        <w:tc>
          <w:tcPr>
            <w:tcW w:type="dxa" w:w="9752"/>
            <w:shd w:fill="DDEFEA"/>
            <w:tcBorders>
              <w:top w:val="single" w:sz="8" w:color="075E54"/>
              <w:left w:val="single" w:sz="8" w:color="075E54"/>
              <w:bottom w:val="single" w:sz="8" w:color="075E54"/>
              <w:right w:val="single" w:sz="8" w:color="075E54"/>
              <w:insideH w:val="single" w:sz="8" w:color="075E54"/>
              <w:insideV w:val="single" w:sz="8" w:color="075E54"/>
            </w:tcBorders>
          </w:tcPr>
          <w:p>
            <w:pPr>
              <w:spacing w:after="60"/>
            </w:pPr>
            <w:r/>
            <w:r>
              <w:rPr>
                <w:rFonts w:ascii="Aptos" w:hAnsi="Aptos"/>
                <w:b/>
                <w:color w:val="111111"/>
                <w:sz w:val="20"/>
              </w:rPr>
              <w:t>Finalidade</w:t>
            </w:r>
          </w:p>
          <w:p>
            <w:pPr>
              <w:spacing w:after="0"/>
            </w:pPr>
            <w:r>
              <w:rPr>
                <w:rFonts w:ascii="Aptos" w:hAnsi="Aptos"/>
                <w:sz w:val="18"/>
              </w:rPr>
              <w:t>Transferir ao desenvolvedor responsável pela sustentação a arquitetura, os contratos, os fluxos, os procedimentos de publicação e diagnóstico e o estado real de homologação da solução.</w:t>
            </w:r>
          </w:p>
        </w:tc>
      </w:tr>
    </w:tbl>
    <w:p>
      <w:pPr>
        <w:spacing w:after="20"/>
      </w:pPr>
    </w:p>
    <w:tbl>
      <w:tblPr>
        <w:tblW w:type="auto" w:w="0"/>
        <w:jc w:val="center"/>
        <w:tblLayout w:type="fixed"/>
        <w:tblLook w:firstColumn="1" w:firstRow="1" w:lastColumn="0" w:lastRow="0" w:noHBand="0" w:noVBand="1" w:val="04A0"/>
      </w:tblPr>
      <w:tblGrid>
        <w:gridCol w:w="4876"/>
        <w:gridCol w:w="4876"/>
      </w:tblGrid>
      <w:tr>
        <w:trPr>
          <w:tblHeader/>
          <w:cantSplit/>
        </w:trPr>
        <w:tc>
          <w:tcPr>
            <w:tcW w:type="dxa" w:w="2835"/>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7"/>
              </w:rPr>
              <w:t>Documento</w:t>
            </w:r>
          </w:p>
        </w:tc>
        <w:tc>
          <w:tcPr>
            <w:tcW w:type="dxa" w:w="6520"/>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7"/>
              </w:rPr>
              <w:t>Valor</w:t>
            </w:r>
          </w:p>
        </w:tc>
      </w:tr>
      <w:tr>
        <w:trPr>
          <w:cantSplit/>
        </w:trPr>
        <w:tc>
          <w:tcPr>
            <w:tcW w:type="dxa" w:w="2835"/>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7"/>
              </w:rPr>
              <w:t>Versão da solução</w:t>
            </w:r>
          </w:p>
        </w:tc>
        <w:tc>
          <w:tcPr>
            <w:tcW w:type="dxa" w:w="6520"/>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7"/>
              </w:rPr>
              <w:t>1.0.0.10</w:t>
            </w:r>
          </w:p>
        </w:tc>
      </w:tr>
      <w:tr>
        <w:trPr>
          <w:cantSplit/>
        </w:trPr>
        <w:tc>
          <w:tcPr>
            <w:tcW w:type="dxa" w:w="2835"/>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7"/>
              </w:rPr>
              <w:t>Data de referência</w:t>
            </w:r>
          </w:p>
        </w:tc>
        <w:tc>
          <w:tcPr>
            <w:tcW w:type="dxa" w:w="6520"/>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7"/>
              </w:rPr>
              <w:t>13 de setembro de 2026</w:t>
            </w:r>
          </w:p>
        </w:tc>
      </w:tr>
      <w:tr>
        <w:trPr>
          <w:cantSplit/>
        </w:trPr>
        <w:tc>
          <w:tcPr>
            <w:tcW w:type="dxa" w:w="2835"/>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7"/>
              </w:rPr>
              <w:t>Tecnologia</w:t>
            </w:r>
          </w:p>
        </w:tc>
        <w:tc>
          <w:tcPr>
            <w:tcW w:type="dxa" w:w="6520"/>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7"/>
              </w:rPr>
              <w:t>SharePoint Framework 1.23.2 / React 17 / TypeScript 5.8</w:t>
            </w:r>
          </w:p>
        </w:tc>
      </w:tr>
      <w:tr>
        <w:trPr>
          <w:cantSplit/>
        </w:trPr>
        <w:tc>
          <w:tcPr>
            <w:tcW w:type="dxa" w:w="2835"/>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7"/>
              </w:rPr>
              <w:t>Pacote</w:t>
            </w:r>
          </w:p>
        </w:tc>
        <w:tc>
          <w:tcPr>
            <w:tcW w:type="dxa" w:w="6520"/>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7"/>
              </w:rPr>
              <w:t>sharepoint/solution/importador-spfx.sppkg</w:t>
            </w:r>
          </w:p>
        </w:tc>
      </w:tr>
      <w:tr>
        <w:trPr>
          <w:cantSplit/>
        </w:trPr>
        <w:tc>
          <w:tcPr>
            <w:tcW w:type="dxa" w:w="2835"/>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7"/>
              </w:rPr>
              <w:t>Classificação</w:t>
            </w:r>
          </w:p>
        </w:tc>
        <w:tc>
          <w:tcPr>
            <w:tcW w:type="dxa" w:w="6520"/>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7"/>
              </w:rPr>
              <w:t>Uso interno — manutenção e sustentação</w:t>
            </w:r>
          </w:p>
        </w:tc>
      </w:tr>
    </w:tbl>
    <w:p>
      <w:pPr>
        <w:spacing w:after="20"/>
      </w:pPr>
    </w:p>
    <w:p>
      <w:r>
        <w:t>Este documento descreve o código disponível no repositório na data de referência. Qualquer divergência futura deve ser resolvida pela versão do código-fonte e pelo histórico de releases.</w:t>
      </w:r>
    </w:p>
    <w:p>
      <w:r>
        <w:br w:type="page"/>
      </w:r>
    </w:p>
    <w:p>
      <w:pPr>
        <w:pStyle w:val="Heading1"/>
      </w:pPr>
      <w:r>
        <w:t>Sumário</w:t>
      </w:r>
    </w:p>
    <w:p>
      <w:r>
        <w:t>A numeração abaixo corresponde à versão 1.1 deste documento.</w:t>
      </w:r>
    </w:p>
    <w:tbl>
      <w:tblPr>
        <w:tblW w:type="auto" w:w="0"/>
        <w:jc w:val="center"/>
        <w:tblLayout w:type="fixed"/>
        <w:tblLook w:firstColumn="1" w:firstRow="1" w:lastColumn="0" w:lastRow="0" w:noHBand="0" w:noVBand="1" w:val="04A0"/>
      </w:tblPr>
      <w:tblGrid>
        <w:gridCol w:w="3251"/>
        <w:gridCol w:w="3251"/>
        <w:gridCol w:w="3251"/>
      </w:tblGrid>
      <w:tr>
        <w:trPr>
          <w:tblHeader/>
          <w:cantSplit/>
        </w:trPr>
        <w:tc>
          <w:tcPr>
            <w:tcW w:type="dxa" w:w="1134"/>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6"/>
              </w:rPr>
              <w:t>Seção</w:t>
            </w:r>
          </w:p>
        </w:tc>
        <w:tc>
          <w:tcPr>
            <w:tcW w:type="dxa" w:w="7087"/>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6"/>
              </w:rPr>
              <w:t>Assunto</w:t>
            </w:r>
          </w:p>
        </w:tc>
        <w:tc>
          <w:tcPr>
            <w:tcW w:type="dxa" w:w="1134"/>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6"/>
              </w:rPr>
              <w:t>Página</w:t>
            </w:r>
          </w:p>
        </w:tc>
      </w:tr>
      <w:tr>
        <w:trPr>
          <w:cantSplit/>
        </w:trPr>
        <w:tc>
          <w:tcPr>
            <w:tcW w:type="dxa" w:w="1134"/>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1</w:t>
            </w:r>
          </w:p>
        </w:tc>
        <w:tc>
          <w:tcPr>
            <w:tcW w:type="dxa" w:w="7087"/>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Estado da solução e ponto de partida</w:t>
            </w:r>
          </w:p>
        </w:tc>
        <w:tc>
          <w:tcPr>
            <w:tcW w:type="dxa" w:w="1134"/>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3</w:t>
            </w:r>
          </w:p>
        </w:tc>
      </w:tr>
      <w:tr>
        <w:trPr>
          <w:cantSplit/>
        </w:trPr>
        <w:tc>
          <w:tcPr>
            <w:tcW w:type="dxa" w:w="1134"/>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2</w:t>
            </w:r>
          </w:p>
        </w:tc>
        <w:tc>
          <w:tcPr>
            <w:tcW w:type="dxa" w:w="7087"/>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Arquitetura lógica</w:t>
            </w:r>
          </w:p>
        </w:tc>
        <w:tc>
          <w:tcPr>
            <w:tcW w:type="dxa" w:w="1134"/>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4</w:t>
            </w:r>
          </w:p>
        </w:tc>
      </w:tr>
      <w:tr>
        <w:trPr>
          <w:cantSplit/>
        </w:trPr>
        <w:tc>
          <w:tcPr>
            <w:tcW w:type="dxa" w:w="1134"/>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3</w:t>
            </w:r>
          </w:p>
        </w:tc>
        <w:tc>
          <w:tcPr>
            <w:tcW w:type="dxa" w:w="7087"/>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Estrutura do repositório</w:t>
            </w:r>
          </w:p>
        </w:tc>
        <w:tc>
          <w:tcPr>
            <w:tcW w:type="dxa" w:w="1134"/>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5</w:t>
            </w:r>
          </w:p>
        </w:tc>
      </w:tr>
      <w:tr>
        <w:trPr>
          <w:cantSplit/>
        </w:trPr>
        <w:tc>
          <w:tcPr>
            <w:tcW w:type="dxa" w:w="1134"/>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4</w:t>
            </w:r>
          </w:p>
        </w:tc>
        <w:tc>
          <w:tcPr>
            <w:tcW w:type="dxa" w:w="7087"/>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Modelos e contratos internos</w:t>
            </w:r>
          </w:p>
        </w:tc>
        <w:tc>
          <w:tcPr>
            <w:tcW w:type="dxa" w:w="1134"/>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6</w:t>
            </w:r>
          </w:p>
        </w:tc>
      </w:tr>
      <w:tr>
        <w:trPr>
          <w:cantSplit/>
        </w:trPr>
        <w:tc>
          <w:tcPr>
            <w:tcW w:type="dxa" w:w="1134"/>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5</w:t>
            </w:r>
          </w:p>
        </w:tc>
        <w:tc>
          <w:tcPr>
            <w:tcW w:type="dxa" w:w="7087"/>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Integração com SharePoint</w:t>
            </w:r>
          </w:p>
        </w:tc>
        <w:tc>
          <w:tcPr>
            <w:tcW w:type="dxa" w:w="1134"/>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7</w:t>
            </w:r>
          </w:p>
        </w:tc>
      </w:tr>
      <w:tr>
        <w:trPr>
          <w:cantSplit/>
        </w:trPr>
        <w:tc>
          <w:tcPr>
            <w:tcW w:type="dxa" w:w="1134"/>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6</w:t>
            </w:r>
          </w:p>
        </w:tc>
        <w:tc>
          <w:tcPr>
            <w:tcW w:type="dxa" w:w="7087"/>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Leitura, mapeamento e validação</w:t>
            </w:r>
          </w:p>
        </w:tc>
        <w:tc>
          <w:tcPr>
            <w:tcW w:type="dxa" w:w="1134"/>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8</w:t>
            </w:r>
          </w:p>
        </w:tc>
      </w:tr>
      <w:tr>
        <w:trPr>
          <w:cantSplit/>
        </w:trPr>
        <w:tc>
          <w:tcPr>
            <w:tcW w:type="dxa" w:w="1134"/>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7</w:t>
            </w:r>
          </w:p>
        </w:tc>
        <w:tc>
          <w:tcPr>
            <w:tcW w:type="dxa" w:w="7087"/>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Resolução de referências</w:t>
            </w:r>
          </w:p>
        </w:tc>
        <w:tc>
          <w:tcPr>
            <w:tcW w:type="dxa" w:w="1134"/>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9</w:t>
            </w:r>
          </w:p>
        </w:tc>
      </w:tr>
      <w:tr>
        <w:trPr>
          <w:cantSplit/>
        </w:trPr>
        <w:tc>
          <w:tcPr>
            <w:tcW w:type="dxa" w:w="1134"/>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8</w:t>
            </w:r>
          </w:p>
        </w:tc>
        <w:tc>
          <w:tcPr>
            <w:tcW w:type="dxa" w:w="7087"/>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Transporte e semântica de importação</w:t>
            </w:r>
          </w:p>
        </w:tc>
        <w:tc>
          <w:tcPr>
            <w:tcW w:type="dxa" w:w="1134"/>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10</w:t>
            </w:r>
          </w:p>
        </w:tc>
      </w:tr>
      <w:tr>
        <w:trPr>
          <w:cantSplit/>
        </w:trPr>
        <w:tc>
          <w:tcPr>
            <w:tcW w:type="dxa" w:w="1134"/>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9</w:t>
            </w:r>
          </w:p>
        </w:tc>
        <w:tc>
          <w:tcPr>
            <w:tcW w:type="dxa" w:w="7087"/>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Configuração administrativa</w:t>
            </w:r>
          </w:p>
        </w:tc>
        <w:tc>
          <w:tcPr>
            <w:tcW w:type="dxa" w:w="1134"/>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11</w:t>
            </w:r>
          </w:p>
        </w:tc>
      </w:tr>
      <w:tr>
        <w:trPr>
          <w:cantSplit/>
        </w:trPr>
        <w:tc>
          <w:tcPr>
            <w:tcW w:type="dxa" w:w="1134"/>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10</w:t>
            </w:r>
          </w:p>
        </w:tc>
        <w:tc>
          <w:tcPr>
            <w:tcW w:type="dxa" w:w="7087"/>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Ambiente de desenvolvimento</w:t>
            </w:r>
          </w:p>
        </w:tc>
        <w:tc>
          <w:tcPr>
            <w:tcW w:type="dxa" w:w="1134"/>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12</w:t>
            </w:r>
          </w:p>
        </w:tc>
      </w:tr>
      <w:tr>
        <w:trPr>
          <w:cantSplit/>
        </w:trPr>
        <w:tc>
          <w:tcPr>
            <w:tcW w:type="dxa" w:w="1134"/>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11</w:t>
            </w:r>
          </w:p>
        </w:tc>
        <w:tc>
          <w:tcPr>
            <w:tcW w:type="dxa" w:w="7087"/>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Testes e critérios de aceite</w:t>
            </w:r>
          </w:p>
        </w:tc>
        <w:tc>
          <w:tcPr>
            <w:tcW w:type="dxa" w:w="1134"/>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13</w:t>
            </w:r>
          </w:p>
        </w:tc>
      </w:tr>
      <w:tr>
        <w:trPr>
          <w:cantSplit/>
        </w:trPr>
        <w:tc>
          <w:tcPr>
            <w:tcW w:type="dxa" w:w="1134"/>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12</w:t>
            </w:r>
          </w:p>
        </w:tc>
        <w:tc>
          <w:tcPr>
            <w:tcW w:type="dxa" w:w="7087"/>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Publicação, atualização e reversão</w:t>
            </w:r>
          </w:p>
        </w:tc>
        <w:tc>
          <w:tcPr>
            <w:tcW w:type="dxa" w:w="1134"/>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14</w:t>
            </w:r>
          </w:p>
        </w:tc>
      </w:tr>
      <w:tr>
        <w:trPr>
          <w:cantSplit/>
        </w:trPr>
        <w:tc>
          <w:tcPr>
            <w:tcW w:type="dxa" w:w="1134"/>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13</w:t>
            </w:r>
          </w:p>
        </w:tc>
        <w:tc>
          <w:tcPr>
            <w:tcW w:type="dxa" w:w="7087"/>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Runbook de diagnóstico</w:t>
            </w:r>
          </w:p>
        </w:tc>
        <w:tc>
          <w:tcPr>
            <w:tcW w:type="dxa" w:w="1134"/>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15</w:t>
            </w:r>
          </w:p>
        </w:tc>
      </w:tr>
      <w:tr>
        <w:trPr>
          <w:cantSplit/>
        </w:trPr>
        <w:tc>
          <w:tcPr>
            <w:tcW w:type="dxa" w:w="1134"/>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14</w:t>
            </w:r>
          </w:p>
        </w:tc>
        <w:tc>
          <w:tcPr>
            <w:tcW w:type="dxa" w:w="7087"/>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Segurança, privacidade e confiabilidade</w:t>
            </w:r>
          </w:p>
        </w:tc>
        <w:tc>
          <w:tcPr>
            <w:tcW w:type="dxa" w:w="1134"/>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16</w:t>
            </w:r>
          </w:p>
        </w:tc>
      </w:tr>
      <w:tr>
        <w:trPr>
          <w:cantSplit/>
        </w:trPr>
        <w:tc>
          <w:tcPr>
            <w:tcW w:type="dxa" w:w="1134"/>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15</w:t>
            </w:r>
          </w:p>
        </w:tc>
        <w:tc>
          <w:tcPr>
            <w:tcW w:type="dxa" w:w="7087"/>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Manutenção e evolução</w:t>
            </w:r>
          </w:p>
        </w:tc>
        <w:tc>
          <w:tcPr>
            <w:tcW w:type="dxa" w:w="1134"/>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17</w:t>
            </w:r>
          </w:p>
        </w:tc>
      </w:tr>
      <w:tr>
        <w:trPr>
          <w:cantSplit/>
        </w:trPr>
        <w:tc>
          <w:tcPr>
            <w:tcW w:type="dxa" w:w="1134"/>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16</w:t>
            </w:r>
          </w:p>
        </w:tc>
        <w:tc>
          <w:tcPr>
            <w:tcW w:type="dxa" w:w="7087"/>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Referências internas e entrega</w:t>
            </w:r>
          </w:p>
        </w:tc>
        <w:tc>
          <w:tcPr>
            <w:tcW w:type="dxa" w:w="1134"/>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18</w:t>
            </w:r>
          </w:p>
        </w:tc>
      </w:tr>
      <w:tr>
        <w:tc>
          <w:tcPr>
            <w:tcW w:type="dxa" w:w="1134"/>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17</w:t>
            </w:r>
          </w:p>
        </w:tc>
        <w:tc>
          <w:tcPr>
            <w:tcW w:type="dxa" w:w="7087"/>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Leitura guiada do código-fonte</w:t>
            </w:r>
          </w:p>
        </w:tc>
        <w:tc>
          <w:tcPr>
            <w:tcW w:type="dxa" w:w="1134"/>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19</w:t>
            </w:r>
          </w:p>
        </w:tc>
      </w:tr>
      <w:tr>
        <w:tc>
          <w:tcPr>
            <w:tcW w:type="dxa" w:w="1134"/>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18</w:t>
            </w:r>
          </w:p>
        </w:tc>
        <w:tc>
          <w:tcPr>
            <w:tcW w:type="dxa" w:w="7087"/>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Edição do projeto no Visual Studio Code</w:t>
            </w:r>
          </w:p>
        </w:tc>
        <w:tc>
          <w:tcPr>
            <w:tcW w:type="dxa" w:w="1134"/>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22</w:t>
            </w:r>
          </w:p>
        </w:tc>
      </w:tr>
    </w:tbl>
    <w:p>
      <w:pPr>
        <w:spacing w:after="20"/>
      </w:pPr>
    </w:p>
    <w:tbl>
      <w:tblPr>
        <w:tblW w:type="auto" w:w="0"/>
        <w:jc w:val="center"/>
        <w:tblLook w:firstColumn="1" w:firstRow="1" w:lastColumn="0" w:lastRow="0" w:noHBand="0" w:noVBand="1" w:val="04A0"/>
      </w:tblPr>
      <w:tblGrid>
        <w:gridCol w:w="9752"/>
      </w:tblGrid>
      <w:tr>
        <w:trPr>
          <w:cantSplit/>
        </w:trPr>
        <w:tc>
          <w:tcPr>
            <w:tcW w:type="dxa" w:w="9752"/>
            <w:shd w:fill="DDEFEA"/>
            <w:tcBorders>
              <w:top w:val="single" w:sz="8" w:color="075E54"/>
              <w:left w:val="single" w:sz="8" w:color="075E54"/>
              <w:bottom w:val="single" w:sz="8" w:color="075E54"/>
              <w:right w:val="single" w:sz="8" w:color="075E54"/>
              <w:insideH w:val="single" w:sz="8" w:color="075E54"/>
              <w:insideV w:val="single" w:sz="8" w:color="075E54"/>
            </w:tcBorders>
          </w:tcPr>
          <w:p>
            <w:pPr>
              <w:spacing w:after="60"/>
            </w:pPr>
            <w:r/>
            <w:r>
              <w:rPr>
                <w:rFonts w:ascii="Aptos" w:hAnsi="Aptos"/>
                <w:b/>
                <w:color w:val="111111"/>
                <w:sz w:val="20"/>
              </w:rPr>
              <w:t>Leitura recomendada</w:t>
            </w:r>
          </w:p>
          <w:p>
            <w:pPr>
              <w:spacing w:after="0"/>
            </w:pPr>
            <w:r>
              <w:rPr>
                <w:rFonts w:ascii="Aptos" w:hAnsi="Aptos"/>
                <w:sz w:val="18"/>
              </w:rPr>
              <w:t>Para assumir a sustentação, leia primeiro as seções 1, 2, 8, 11, 13 e 15. Elas concentram estado, arquitetura, semântica de gravação, testes, diagnóstico e regras de manutenção.</w:t>
            </w:r>
          </w:p>
        </w:tc>
      </w:tr>
    </w:tbl>
    <w:p>
      <w:pPr>
        <w:spacing w:after="20"/>
      </w:pPr>
    </w:p>
    <w:p>
      <w:r>
        <w:br w:type="page"/>
      </w:r>
    </w:p>
    <w:p>
      <w:pPr>
        <w:pStyle w:val="Heading1"/>
      </w:pPr>
      <w:r>
        <w:t>1. Estado da solução e ponto de partida</w:t>
      </w:r>
    </w:p>
    <w:p>
      <w:r>
        <w:t>O Importador Inteligente é uma web part SPFx que pesquisa listas permitidas ao usuário, lê a estrutura da lista, processa planilhas no navegador, valida os dados e cria novos itens com a identidade Microsoft 365 já autenticada. A solução não armazena credenciais e não depende de Power Apps.</w:t>
      </w:r>
    </w:p>
    <w:tbl>
      <w:tblPr>
        <w:tblW w:type="auto" w:w="0"/>
        <w:jc w:val="center"/>
        <w:tblLook w:firstColumn="1" w:firstRow="1" w:lastColumn="0" w:lastRow="0" w:noHBand="0" w:noVBand="1" w:val="04A0"/>
      </w:tblPr>
      <w:tblGrid>
        <w:gridCol w:w="9752"/>
      </w:tblGrid>
      <w:tr>
        <w:trPr>
          <w:cantSplit/>
        </w:trPr>
        <w:tc>
          <w:tcPr>
            <w:tcW w:type="dxa" w:w="9752"/>
            <w:shd w:fill="DDEFEA"/>
            <w:tcBorders>
              <w:top w:val="single" w:sz="8" w:color="075E54"/>
              <w:left w:val="single" w:sz="8" w:color="075E54"/>
              <w:bottom w:val="single" w:sz="8" w:color="075E54"/>
              <w:right w:val="single" w:sz="8" w:color="075E54"/>
              <w:insideH w:val="single" w:sz="8" w:color="075E54"/>
              <w:insideV w:val="single" w:sz="8" w:color="075E54"/>
            </w:tcBorders>
          </w:tcPr>
          <w:p>
            <w:pPr>
              <w:spacing w:after="60"/>
            </w:pPr>
            <w:r/>
            <w:r>
              <w:rPr>
                <w:rFonts w:ascii="Aptos" w:hAnsi="Aptos"/>
                <w:b/>
                <w:color w:val="111111"/>
                <w:sz w:val="20"/>
              </w:rPr>
              <w:t>Situação de homologação</w:t>
            </w:r>
          </w:p>
          <w:p>
            <w:pPr>
              <w:spacing w:after="0"/>
            </w:pPr>
            <w:r>
              <w:rPr>
                <w:rFonts w:ascii="Aptos" w:hAnsi="Aptos"/>
                <w:sz w:val="18"/>
              </w:rPr>
              <w:t>A versão 1.0.0.10 foi compilada, testada, empacotada e teve a importação funcional confirmada no tenant pelo solicitante. Essa versão ampliou a leitura da resposta direta e incluiu log de erro na tela. O responsável pela sustentação deve conservar a evidência da homologação e repetir os cenários críticos após qualquer alteração no transporte ou nas permissões.</w:t>
            </w:r>
          </w:p>
        </w:tc>
      </w:tr>
    </w:tbl>
    <w:p>
      <w:pPr>
        <w:spacing w:after="20"/>
      </w:pPr>
    </w:p>
    <w:p>
      <w:pPr>
        <w:pStyle w:val="Heading2"/>
      </w:pPr>
      <w:r>
        <w:t>1.1 Evidências disponíveis</w:t>
      </w:r>
    </w:p>
    <w:tbl>
      <w:tblPr>
        <w:tblW w:type="auto" w:w="0"/>
        <w:jc w:val="center"/>
        <w:tblLayout w:type="fixed"/>
        <w:tblLook w:firstColumn="1" w:firstRow="1" w:lastColumn="0" w:lastRow="0" w:noHBand="0" w:noVBand="1" w:val="04A0"/>
      </w:tblPr>
      <w:tblGrid>
        <w:gridCol w:w="3251"/>
        <w:gridCol w:w="3251"/>
        <w:gridCol w:w="3251"/>
      </w:tblGrid>
      <w:tr>
        <w:trPr>
          <w:tblHeader/>
          <w:cantSplit/>
        </w:trPr>
        <w:tc>
          <w:tcPr>
            <w:tcW w:type="dxa" w:w="2268"/>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6"/>
              </w:rPr>
              <w:t>Verificação</w:t>
            </w:r>
          </w:p>
        </w:tc>
        <w:tc>
          <w:tcPr>
            <w:tcW w:type="dxa" w:w="1814"/>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6"/>
              </w:rPr>
              <w:t>Situação</w:t>
            </w:r>
          </w:p>
        </w:tc>
        <w:tc>
          <w:tcPr>
            <w:tcW w:type="dxa" w:w="5272"/>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6"/>
              </w:rPr>
              <w:t>Observação</w:t>
            </w:r>
          </w:p>
        </w:tc>
      </w:tr>
      <w:tr>
        <w:trPr>
          <w:cantSplit/>
        </w:trPr>
        <w:tc>
          <w:tcPr>
            <w:tcW w:type="dxa" w:w="2268"/>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TypeScript</w:t>
            </w:r>
          </w:p>
        </w:tc>
        <w:tc>
          <w:tcPr>
            <w:tcW w:type="dxa" w:w="1814"/>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Aprovado</w:t>
            </w:r>
          </w:p>
        </w:tc>
        <w:tc>
          <w:tcPr>
            <w:tcW w:type="dxa" w:w="5272"/>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tsc --noEmit</w:t>
            </w:r>
          </w:p>
        </w:tc>
      </w:tr>
      <w:tr>
        <w:trPr>
          <w:cantSplit/>
        </w:trPr>
        <w:tc>
          <w:tcPr>
            <w:tcW w:type="dxa" w:w="2268"/>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Testes automatizados</w:t>
            </w:r>
          </w:p>
        </w:tc>
        <w:tc>
          <w:tcPr>
            <w:tcW w:type="dxa" w:w="1814"/>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32 aprovados</w:t>
            </w:r>
          </w:p>
        </w:tc>
        <w:tc>
          <w:tcPr>
            <w:tcW w:type="dxa" w:w="5272"/>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Nenhuma falha na rodada final</w:t>
            </w:r>
          </w:p>
        </w:tc>
      </w:tr>
      <w:tr>
        <w:trPr>
          <w:cantSplit/>
        </w:trPr>
        <w:tc>
          <w:tcPr>
            <w:tcW w:type="dxa" w:w="2268"/>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Build de produção</w:t>
            </w:r>
          </w:p>
        </w:tc>
        <w:tc>
          <w:tcPr>
            <w:tcW w:type="dxa" w:w="1814"/>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Aprovado</w:t>
            </w:r>
          </w:p>
        </w:tc>
        <w:tc>
          <w:tcPr>
            <w:tcW w:type="dxa" w:w="5272"/>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SPFx/Heft</w:t>
            </w:r>
          </w:p>
        </w:tc>
      </w:tr>
      <w:tr>
        <w:trPr>
          <w:cantSplit/>
        </w:trPr>
        <w:tc>
          <w:tcPr>
            <w:tcW w:type="dxa" w:w="2268"/>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Empacotamento</w:t>
            </w:r>
          </w:p>
        </w:tc>
        <w:tc>
          <w:tcPr>
            <w:tcW w:type="dxa" w:w="1814"/>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Aprovado</w:t>
            </w:r>
          </w:p>
        </w:tc>
        <w:tc>
          <w:tcPr>
            <w:tcW w:type="dxa" w:w="5272"/>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Pacote .sppkg gerado</w:t>
            </w:r>
          </w:p>
        </w:tc>
      </w:tr>
      <w:tr>
        <w:trPr>
          <w:cantSplit/>
        </w:trPr>
        <w:tc>
          <w:tcPr>
            <w:tcW w:type="dxa" w:w="2268"/>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Integração no tenant</w:t>
            </w:r>
          </w:p>
        </w:tc>
        <w:tc>
          <w:tcPr>
            <w:tcW w:type="dxa" w:w="1814"/>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Homologada</w:t>
            </w:r>
          </w:p>
        </w:tc>
        <w:tc>
          <w:tcPr>
            <w:tcW w:type="dxa" w:w="5272"/>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Importação funcional confirmada pelo solicitante na versão 1.0.0.10</w:t>
            </w:r>
          </w:p>
        </w:tc>
      </w:tr>
    </w:tbl>
    <w:p>
      <w:pPr>
        <w:spacing w:after="20"/>
      </w:pPr>
    </w:p>
    <w:p>
      <w:pPr>
        <w:pStyle w:val="Heading2"/>
      </w:pPr>
      <w:r>
        <w:t>1.2 Identificação do artefato</w:t>
      </w:r>
    </w:p>
    <w:tbl>
      <w:tblPr>
        <w:tblW w:type="auto" w:w="0"/>
        <w:jc w:val="center"/>
        <w:tblLayout w:type="fixed"/>
        <w:tblLook w:firstColumn="1" w:firstRow="1" w:lastColumn="0" w:lastRow="0" w:noHBand="0" w:noVBand="1" w:val="04A0"/>
      </w:tblPr>
      <w:tblGrid>
        <w:gridCol w:w="4876"/>
        <w:gridCol w:w="4876"/>
      </w:tblGrid>
      <w:tr>
        <w:trPr>
          <w:tblHeader/>
          <w:cantSplit/>
        </w:trPr>
        <w:tc>
          <w:tcPr>
            <w:tcW w:type="dxa" w:w="2268"/>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6"/>
              </w:rPr>
              <w:t>Item</w:t>
            </w:r>
          </w:p>
        </w:tc>
        <w:tc>
          <w:tcPr>
            <w:tcW w:type="dxa" w:w="7087"/>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6"/>
              </w:rPr>
              <w:t>Valor</w:t>
            </w:r>
          </w:p>
        </w:tc>
      </w:tr>
      <w:tr>
        <w:trPr>
          <w:cantSplit/>
        </w:trPr>
        <w:tc>
          <w:tcPr>
            <w:tcW w:type="dxa" w:w="2268"/>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Solution ID</w:t>
            </w:r>
          </w:p>
        </w:tc>
        <w:tc>
          <w:tcPr>
            <w:tcW w:type="dxa" w:w="7087"/>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c5393fa6-268a-45f5-9b23-64a08c9ee37d</w:t>
            </w:r>
          </w:p>
        </w:tc>
      </w:tr>
      <w:tr>
        <w:trPr>
          <w:cantSplit/>
        </w:trPr>
        <w:tc>
          <w:tcPr>
            <w:tcW w:type="dxa" w:w="2268"/>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Feature ID</w:t>
            </w:r>
          </w:p>
        </w:tc>
        <w:tc>
          <w:tcPr>
            <w:tcW w:type="dxa" w:w="7087"/>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f4a71409-33d1-4d9b-a32f-3739431970fe</w:t>
            </w:r>
          </w:p>
        </w:tc>
      </w:tr>
      <w:tr>
        <w:trPr>
          <w:cantSplit/>
        </w:trPr>
        <w:tc>
          <w:tcPr>
            <w:tcW w:type="dxa" w:w="2268"/>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Versão</w:t>
            </w:r>
          </w:p>
        </w:tc>
        <w:tc>
          <w:tcPr>
            <w:tcW w:type="dxa" w:w="7087"/>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1.0.0.10</w:t>
            </w:r>
          </w:p>
        </w:tc>
      </w:tr>
      <w:tr>
        <w:trPr>
          <w:cantSplit/>
        </w:trPr>
        <w:tc>
          <w:tcPr>
            <w:tcW w:type="dxa" w:w="2268"/>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SHA-256</w:t>
            </w:r>
          </w:p>
        </w:tc>
        <w:tc>
          <w:tcPr>
            <w:tcW w:type="dxa" w:w="7087"/>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9E386488430066E0482725023C26DDCD0D32D9062908CC706BD06A8F5F32FEFF</w:t>
            </w:r>
          </w:p>
        </w:tc>
      </w:tr>
      <w:tr>
        <w:trPr>
          <w:cantSplit/>
        </w:trPr>
        <w:tc>
          <w:tcPr>
            <w:tcW w:type="dxa" w:w="2268"/>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Implantação</w:t>
            </w:r>
          </w:p>
        </w:tc>
        <w:tc>
          <w:tcPr>
            <w:tcW w:type="dxa" w:w="7087"/>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Tenant-wide disponível; decisão final no App Catalog</w:t>
            </w:r>
          </w:p>
        </w:tc>
      </w:tr>
    </w:tbl>
    <w:p>
      <w:pPr>
        <w:spacing w:after="20"/>
      </w:pPr>
    </w:p>
    <w:p>
      <w:pPr>
        <w:pStyle w:val="Heading2"/>
      </w:pPr>
      <w:r>
        <w:t>1.3 Escopo funcional</w:t>
      </w:r>
    </w:p>
    <w:p>
      <w:pPr>
        <w:pStyle w:val="ListBullet"/>
        <w:spacing w:after="40"/>
      </w:pPr>
      <w:r>
        <w:t>Pesquisar listas genéricas do SharePoint acessíveis ao usuário.</w:t>
      </w:r>
    </w:p>
    <w:p>
      <w:pPr>
        <w:pStyle w:val="ListBullet"/>
        <w:spacing w:after="40"/>
      </w:pPr>
      <w:r>
        <w:t>Selecionar tipo de conteúdo e carregar todas as colunas editáveis; obrigatórias recebem a marca *.</w:t>
      </w:r>
    </w:p>
    <w:p>
      <w:pPr>
        <w:pStyle w:val="ListBullet"/>
        <w:spacing w:after="40"/>
      </w:pPr>
      <w:r>
        <w:t>Gerar template XLSX, ler XLSX/XLS, selecionar aba e cultura pt-BR ou en-US.</w:t>
      </w:r>
    </w:p>
    <w:p>
      <w:pPr>
        <w:pStyle w:val="ListBullet"/>
        <w:spacing w:after="40"/>
      </w:pPr>
      <w:r>
        <w:t>Mapear uma coluna do Excel para um ou mais campos de destino.</w:t>
      </w:r>
    </w:p>
    <w:p>
      <w:pPr>
        <w:pStyle w:val="ListBullet"/>
        <w:spacing w:after="40"/>
      </w:pPr>
      <w:r>
        <w:t>Validar estrutura, tipos, escolhas, pessoas, grupos, lookups, unicidade no arquivo e datas.</w:t>
      </w:r>
    </w:p>
    <w:p>
      <w:pPr>
        <w:pStyle w:val="ListBullet"/>
        <w:spacing w:after="40"/>
      </w:pPr>
      <w:r>
        <w:t>Importar todos os registros válidos ou, quando permitido, somente as linhas válidas.</w:t>
      </w:r>
    </w:p>
    <w:p>
      <w:pPr>
        <w:pStyle w:val="ListBullet"/>
        <w:spacing w:after="40"/>
      </w:pPr>
      <w:r>
        <w:t>Exibir progresso, permitir parada após o lote atual e exportar erros e resultados em XLSX.</w:t>
      </w:r>
    </w:p>
    <w:p>
      <w:r>
        <w:br w:type="page"/>
      </w:r>
    </w:p>
    <w:p>
      <w:pPr>
        <w:pStyle w:val="Heading1"/>
      </w:pPr>
      <w:r>
        <w:t>2. Arquitetura lógica</w:t>
      </w:r>
    </w:p>
    <w:p>
      <w:r>
        <w:t>A web part organiza a interface e trabalha contra um contrato Gateway. Em produção, SharePointGateway compõe serviços especializados. No modo de demonstração, DemoGateway substitui a integração por dados fictícios em memória.</w:t>
      </w:r>
    </w:p>
    <w:tbl>
      <w:tblPr>
        <w:tblW w:type="auto" w:w="0"/>
        <w:jc w:val="center"/>
        <w:tblLayout w:type="fixed"/>
        <w:tblLook w:firstColumn="1" w:firstRow="1" w:lastColumn="0" w:lastRow="0" w:noHBand="0" w:noVBand="1" w:val="04A0"/>
      </w:tblPr>
      <w:tblGrid>
        <w:gridCol w:w="3251"/>
        <w:gridCol w:w="3251"/>
        <w:gridCol w:w="3251"/>
      </w:tblGrid>
      <w:tr>
        <w:trPr>
          <w:tblHeader/>
          <w:cantSplit/>
        </w:trPr>
        <w:tc>
          <w:tcPr>
            <w:tcW w:type="dxa" w:w="1701"/>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6"/>
              </w:rPr>
              <w:t>Camada</w:t>
            </w:r>
          </w:p>
        </w:tc>
        <w:tc>
          <w:tcPr>
            <w:tcW w:type="dxa" w:w="2835"/>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6"/>
              </w:rPr>
              <w:t>Componentes</w:t>
            </w:r>
          </w:p>
        </w:tc>
        <w:tc>
          <w:tcPr>
            <w:tcW w:type="dxa" w:w="4819"/>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6"/>
              </w:rPr>
              <w:t>Responsabilidade</w:t>
            </w:r>
          </w:p>
        </w:tc>
      </w:tr>
      <w:tr>
        <w:trPr>
          <w:cantSplit/>
        </w:trPr>
        <w:tc>
          <w:tcPr>
            <w:tcW w:type="dxa" w:w="1701"/>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Apresentação</w:t>
            </w:r>
          </w:p>
        </w:tc>
        <w:tc>
          <w:tcPr>
            <w:tcW w:type="dxa" w:w="2835"/>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ImportadorWebPart e componentes React</w:t>
            </w:r>
          </w:p>
        </w:tc>
        <w:tc>
          <w:tcPr>
            <w:tcW w:type="dxa" w:w="4819"/>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Estado das três etapas, mensagens, mapeamento, validação, progresso e exportações</w:t>
            </w:r>
          </w:p>
        </w:tc>
      </w:tr>
      <w:tr>
        <w:trPr>
          <w:cantSplit/>
        </w:trPr>
        <w:tc>
          <w:tcPr>
            <w:tcW w:type="dxa" w:w="1701"/>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Aplicação</w:t>
            </w:r>
          </w:p>
        </w:tc>
        <w:tc>
          <w:tcPr>
            <w:tcW w:type="dxa" w:w="2835"/>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ValidationService e ImportService</w:t>
            </w:r>
          </w:p>
        </w:tc>
        <w:tc>
          <w:tcPr>
            <w:tcW w:type="dxa" w:w="4819"/>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Regras de negócio, revalidação, divisão em lotes e consolidação do resultado</w:t>
            </w:r>
          </w:p>
        </w:tc>
      </w:tr>
      <w:tr>
        <w:trPr>
          <w:cantSplit/>
        </w:trPr>
        <w:tc>
          <w:tcPr>
            <w:tcW w:type="dxa" w:w="1701"/>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Integração</w:t>
            </w:r>
          </w:p>
        </w:tc>
        <w:tc>
          <w:tcPr>
            <w:tcW w:type="dxa" w:w="2835"/>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SharePointGateway</w:t>
            </w:r>
          </w:p>
        </w:tc>
        <w:tc>
          <w:tcPr>
            <w:tcW w:type="dxa" w:w="4819"/>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Fachada do contrato Gateway e composição dos serviços reais</w:t>
            </w:r>
          </w:p>
        </w:tc>
      </w:tr>
      <w:tr>
        <w:trPr>
          <w:cantSplit/>
        </w:trPr>
        <w:tc>
          <w:tcPr>
            <w:tcW w:type="dxa" w:w="1701"/>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SharePoint</w:t>
            </w:r>
          </w:p>
        </w:tc>
        <w:tc>
          <w:tcPr>
            <w:tcW w:type="dxa" w:w="2835"/>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Search, Schema, Reference, Batch, Audit, RestClient</w:t>
            </w:r>
          </w:p>
        </w:tc>
        <w:tc>
          <w:tcPr>
            <w:tcW w:type="dxa" w:w="4819"/>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Pesquisa, metadados, referências, REST, $batch e auditoria opcional</w:t>
            </w:r>
          </w:p>
        </w:tc>
      </w:tr>
      <w:tr>
        <w:trPr>
          <w:cantSplit/>
        </w:trPr>
        <w:tc>
          <w:tcPr>
            <w:tcW w:type="dxa" w:w="1701"/>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Arquivo</w:t>
            </w:r>
          </w:p>
        </w:tc>
        <w:tc>
          <w:tcPr>
            <w:tcW w:type="dxa" w:w="2835"/>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ExcelParserService e conversions</w:t>
            </w:r>
          </w:p>
        </w:tc>
        <w:tc>
          <w:tcPr>
            <w:tcW w:type="dxa" w:w="4819"/>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Leitura local, normalização, templates e relatórios XLSX</w:t>
            </w:r>
          </w:p>
        </w:tc>
      </w:tr>
    </w:tbl>
    <w:p>
      <w:pPr>
        <w:spacing w:after="20"/>
      </w:pPr>
    </w:p>
    <w:p>
      <w:pPr>
        <w:pStyle w:val="Heading2"/>
      </w:pPr>
      <w:r>
        <w:t>2.1 Fluxo principal</w:t>
      </w:r>
    </w:p>
    <w:p>
      <w:pPr>
        <w:spacing w:after="40"/>
        <w:ind w:left="312" w:hanging="255"/>
      </w:pPr>
      <w:r>
        <w:rPr>
          <w:b/>
        </w:rPr>
        <w:t xml:space="preserve">1. </w:t>
      </w:r>
      <w:r>
        <w:t>A interface recebe a consulta e SearchService retorna apenas listas genéricas que o usuário consegue ler.</w:t>
      </w:r>
    </w:p>
    <w:p>
      <w:pPr>
        <w:spacing w:after="40"/>
        <w:ind w:left="312" w:hanging="255"/>
      </w:pPr>
      <w:r>
        <w:rPr>
          <w:b/>
        </w:rPr>
        <w:t xml:space="preserve">2. </w:t>
      </w:r>
      <w:r>
        <w:t>SharePointSchemaService carrega permissões, campos, tipo de conteúdo, ordenação, validação e fuso do site da própria lista.</w:t>
      </w:r>
    </w:p>
    <w:p>
      <w:pPr>
        <w:spacing w:after="40"/>
        <w:ind w:left="312" w:hanging="255"/>
      </w:pPr>
      <w:r>
        <w:rPr>
          <w:b/>
        </w:rPr>
        <w:t xml:space="preserve">3. </w:t>
      </w:r>
      <w:r>
        <w:t>ExcelParserService lê a planilha em memória, preserva a linha física e calcula uma impressão digital do conteúdo.</w:t>
      </w:r>
    </w:p>
    <w:p>
      <w:pPr>
        <w:spacing w:after="40"/>
        <w:ind w:left="312" w:hanging="255"/>
      </w:pPr>
      <w:r>
        <w:rPr>
          <w:b/>
        </w:rPr>
        <w:t xml:space="preserve">4. </w:t>
      </w:r>
      <w:r>
        <w:t>ValidationService converte os valores, resolve referências distintas e produz payloads prontos para gravação.</w:t>
      </w:r>
    </w:p>
    <w:p>
      <w:pPr>
        <w:spacing w:after="40"/>
        <w:ind w:left="312" w:hanging="255"/>
      </w:pPr>
      <w:r>
        <w:rPr>
          <w:b/>
        </w:rPr>
        <w:t xml:space="preserve">5. </w:t>
      </w:r>
      <w:r>
        <w:t>ImportService recarrega o schema, confirma permissão de inclusão e rejeita validação obsoleta.</w:t>
      </w:r>
    </w:p>
    <w:p>
      <w:pPr>
        <w:spacing w:after="40"/>
        <w:ind w:left="312" w:hanging="255"/>
      </w:pPr>
      <w:r>
        <w:rPr>
          <w:b/>
        </w:rPr>
        <w:t xml:space="preserve">6. </w:t>
      </w:r>
      <w:r>
        <w:t>BatchTransport envia uma linha por POST direto ou várias linhas por $batch, correlacionando cada resposta à linha do Excel.</w:t>
      </w:r>
    </w:p>
    <w:p>
      <w:pPr>
        <w:spacing w:after="40"/>
        <w:ind w:left="312" w:hanging="255"/>
      </w:pPr>
      <w:r>
        <w:rPr>
          <w:b/>
        </w:rPr>
        <w:t xml:space="preserve">7. </w:t>
      </w:r>
      <w:r>
        <w:t>A interface apresenta o resultado e permite exportar todas as ocorrências. AuditService só é chamado quando há URL de auditoria configurada.</w:t>
      </w:r>
    </w:p>
    <w:p>
      <w:pPr>
        <w:pStyle w:val="Heading2"/>
      </w:pPr>
      <w:r>
        <w:t>2.2 Diagrama de dependências</w:t>
      </w:r>
    </w:p>
    <w:p>
      <w:pPr>
        <w:spacing w:before="40" w:after="80"/>
        <w:ind w:left="198" w:right="198"/>
        <w:shd w:fill="EEF1F4"/>
      </w:pPr>
      <w:r>
        <w:rPr>
          <w:rFonts w:ascii="Cascadia Mono" w:hAnsi="Cascadia Mono"/>
          <w:sz w:val="16"/>
        </w:rPr>
        <w:t>ImportadorWebPart</w:t>
        <w:br/>
        <w:t xml:space="preserve">  └─ Importador (React)</w:t>
        <w:br/>
        <w:t xml:space="preserve">      ├─ ExcelParserService</w:t>
        <w:br/>
        <w:t xml:space="preserve">      ├─ ValidationService ── Gateway.resolve / localToUtc</w:t>
        <w:br/>
        <w:t xml:space="preserve">      └─ ImportService ────── Gateway.schema / batch / audit</w:t>
        <w:br/>
        <w:br/>
        <w:t>Gateway</w:t>
        <w:br/>
        <w:t xml:space="preserve">  ├─ SharePointGateway ─ SearchService / SchemaService / ReferenceService</w:t>
        <w:br/>
        <w:t xml:space="preserve">  │                      BatchTransport / AuditService / RestClient</w:t>
        <w:br/>
        <w:t xml:space="preserve">  └─ DemoGateway ─────── dados fictícios em memória</w:t>
      </w:r>
    </w:p>
    <w:p>
      <w:pPr>
        <w:pStyle w:val="Heading2"/>
      </w:pPr>
      <w:r>
        <w:t>2.3 Princípios de desenho</w:t>
      </w:r>
    </w:p>
    <w:p>
      <w:pPr>
        <w:pStyle w:val="ListBullet"/>
        <w:spacing w:after="40"/>
      </w:pPr>
      <w:r>
        <w:t>O Excel permanece no navegador; a aplicação envia ao SharePoint somente os payloads mapeados.</w:t>
      </w:r>
    </w:p>
    <w:p>
      <w:pPr>
        <w:pStyle w:val="ListBullet"/>
        <w:spacing w:after="40"/>
      </w:pPr>
      <w:r>
        <w:t>O site da lista selecionada acompanha o ListReference e é usado nas leituras e gravações; não é necessário configurar o destino manualmente.</w:t>
      </w:r>
    </w:p>
    <w:p>
      <w:pPr>
        <w:pStyle w:val="ListBullet"/>
        <w:spacing w:after="40"/>
      </w:pPr>
      <w:r>
        <w:t>A validação é invalidada quando lista, tipo de conteúdo, arquivo, aba, cultura ou mapeamento muda.</w:t>
      </w:r>
    </w:p>
    <w:p>
      <w:pPr>
        <w:pStyle w:val="ListBullet"/>
        <w:spacing w:after="40"/>
      </w:pPr>
      <w:r>
        <w:t>Uma resposta de gravação sem confirmação é classificada como desconhecida e não é repetida automaticamente.</w:t>
      </w:r>
    </w:p>
    <w:p>
      <w:r>
        <w:br w:type="page"/>
      </w:r>
    </w:p>
    <w:p>
      <w:pPr>
        <w:pStyle w:val="Heading1"/>
      </w:pPr>
      <w:r>
        <w:t>3. Estrutura do repositório</w:t>
      </w:r>
    </w:p>
    <w:tbl>
      <w:tblPr>
        <w:tblW w:type="auto" w:w="0"/>
        <w:jc w:val="center"/>
        <w:tblLayout w:type="fixed"/>
        <w:tblLook w:firstColumn="1" w:firstRow="1" w:lastColumn="0" w:lastRow="0" w:noHBand="0" w:noVBand="1" w:val="04A0"/>
      </w:tblPr>
      <w:tblGrid>
        <w:gridCol w:w="4876"/>
        <w:gridCol w:w="4876"/>
      </w:tblGrid>
      <w:tr>
        <w:trPr>
          <w:tblHeader/>
          <w:cantSplit/>
        </w:trPr>
        <w:tc>
          <w:tcPr>
            <w:tcW w:type="dxa" w:w="2835"/>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6"/>
              </w:rPr>
              <w:t>Caminho</w:t>
            </w:r>
          </w:p>
        </w:tc>
        <w:tc>
          <w:tcPr>
            <w:tcW w:type="dxa" w:w="6520"/>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6"/>
              </w:rPr>
              <w:t>Conteúdo e uso na sustentação</w:t>
            </w:r>
          </w:p>
        </w:tc>
      </w:tr>
      <w:tr>
        <w:trPr>
          <w:cantSplit/>
        </w:trPr>
        <w:tc>
          <w:tcPr>
            <w:tcW w:type="dxa" w:w="2835"/>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src/models</w:t>
            </w:r>
          </w:p>
        </w:tc>
        <w:tc>
          <w:tcPr>
            <w:tcW w:type="dxa" w:w="6520"/>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Contratos de domínio: lista, coluna, planilha, validação, importação e configuração.</w:t>
            </w:r>
          </w:p>
        </w:tc>
      </w:tr>
      <w:tr>
        <w:trPr>
          <w:cantSplit/>
        </w:trPr>
        <w:tc>
          <w:tcPr>
            <w:tcW w:type="dxa" w:w="2835"/>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src/services</w:t>
            </w:r>
          </w:p>
        </w:tc>
        <w:tc>
          <w:tcPr>
            <w:tcW w:type="dxa" w:w="6520"/>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Integrações e regras de negócio. É o núcleo da solução.</w:t>
            </w:r>
          </w:p>
        </w:tc>
      </w:tr>
      <w:tr>
        <w:trPr>
          <w:cantSplit/>
        </w:trPr>
        <w:tc>
          <w:tcPr>
            <w:tcW w:type="dxa" w:w="2835"/>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src/webparts/importador</w:t>
            </w:r>
          </w:p>
        </w:tc>
        <w:tc>
          <w:tcPr>
            <w:tcW w:type="dxa" w:w="6520"/>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Web part, propriedade administrativa, componentes React, estilos e manifesto.</w:t>
            </w:r>
          </w:p>
        </w:tc>
      </w:tr>
      <w:tr>
        <w:trPr>
          <w:cantSplit/>
        </w:trPr>
        <w:tc>
          <w:tcPr>
            <w:tcW w:type="dxa" w:w="2835"/>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tests</w:t>
            </w:r>
          </w:p>
        </w:tc>
        <w:tc>
          <w:tcPr>
            <w:tcW w:type="dxa" w:w="6520"/>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Testes unitários de conversão, Excel, validação, referências, busca, lote e importação.</w:t>
            </w:r>
          </w:p>
        </w:tc>
      </w:tr>
      <w:tr>
        <w:trPr>
          <w:cantSplit/>
        </w:trPr>
        <w:tc>
          <w:tcPr>
            <w:tcW w:type="dxa" w:w="2835"/>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config</w:t>
            </w:r>
          </w:p>
        </w:tc>
        <w:tc>
          <w:tcPr>
            <w:tcW w:type="dxa" w:w="6520"/>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Empacotamento SPFx, serve.json e configurações de build.</w:t>
            </w:r>
          </w:p>
        </w:tc>
      </w:tr>
      <w:tr>
        <w:trPr>
          <w:cantSplit/>
        </w:trPr>
        <w:tc>
          <w:tcPr>
            <w:tcW w:type="dxa" w:w="2835"/>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sharepoint/solution</w:t>
            </w:r>
          </w:p>
        </w:tc>
        <w:tc>
          <w:tcPr>
            <w:tcW w:type="dxa" w:w="6520"/>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Saída publicável no App Catalog.</w:t>
            </w:r>
          </w:p>
        </w:tc>
      </w:tr>
      <w:tr>
        <w:trPr>
          <w:cantSplit/>
        </w:trPr>
        <w:tc>
          <w:tcPr>
            <w:tcW w:type="dxa" w:w="2835"/>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scripts</w:t>
            </w:r>
          </w:p>
        </w:tc>
        <w:tc>
          <w:tcPr>
            <w:tcW w:type="dxa" w:w="6520"/>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Atalhos PowerShell para dependências e execução local.</w:t>
            </w:r>
          </w:p>
        </w:tc>
      </w:tr>
      <w:tr>
        <w:trPr>
          <w:cantSplit/>
        </w:trPr>
        <w:tc>
          <w:tcPr>
            <w:tcW w:type="dxa" w:w="2835"/>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provision</w:t>
            </w:r>
          </w:p>
        </w:tc>
        <w:tc>
          <w:tcPr>
            <w:tcW w:type="dxa" w:w="6520"/>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Provisionamento opcional da lista central de auditoria.</w:t>
            </w:r>
          </w:p>
        </w:tc>
      </w:tr>
      <w:tr>
        <w:trPr>
          <w:cantSplit/>
        </w:trPr>
        <w:tc>
          <w:tcPr>
            <w:tcW w:type="dxa" w:w="2835"/>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docs</w:t>
            </w:r>
          </w:p>
        </w:tc>
        <w:tc>
          <w:tcPr>
            <w:tcW w:type="dxa" w:w="6520"/>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Guias, decisões, evidências, publicação e esta documentação.</w:t>
            </w:r>
          </w:p>
        </w:tc>
      </w:tr>
    </w:tbl>
    <w:p>
      <w:pPr>
        <w:spacing w:after="20"/>
      </w:pPr>
    </w:p>
    <w:p>
      <w:pPr>
        <w:pStyle w:val="Heading2"/>
      </w:pPr>
      <w:r>
        <w:t>3.1 Catálogo de serviços</w:t>
      </w:r>
    </w:p>
    <w:tbl>
      <w:tblPr>
        <w:tblW w:type="auto" w:w="0"/>
        <w:jc w:val="center"/>
        <w:tblLayout w:type="fixed"/>
        <w:tblLook w:firstColumn="1" w:firstRow="1" w:lastColumn="0" w:lastRow="0" w:noHBand="0" w:noVBand="1" w:val="04A0"/>
      </w:tblPr>
      <w:tblGrid>
        <w:gridCol w:w="3251"/>
        <w:gridCol w:w="3251"/>
        <w:gridCol w:w="3251"/>
      </w:tblGrid>
      <w:tr>
        <w:trPr>
          <w:tblHeader/>
          <w:cantSplit/>
        </w:trPr>
        <w:tc>
          <w:tcPr>
            <w:tcW w:type="dxa" w:w="2381"/>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5"/>
              </w:rPr>
              <w:t>Arquivo</w:t>
            </w:r>
          </w:p>
        </w:tc>
        <w:tc>
          <w:tcPr>
            <w:tcW w:type="dxa" w:w="3402"/>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5"/>
              </w:rPr>
              <w:t>Responsabilidade</w:t>
            </w:r>
          </w:p>
        </w:tc>
        <w:tc>
          <w:tcPr>
            <w:tcW w:type="dxa" w:w="3572"/>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5"/>
              </w:rPr>
              <w:t>Ponto de atenção</w:t>
            </w:r>
          </w:p>
        </w:tc>
      </w:tr>
      <w:tr>
        <w:trPr>
          <w:cantSplit/>
        </w:trPr>
        <w:tc>
          <w:tcPr>
            <w:tcW w:type="dxa" w:w="2381"/>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SharePointGateway.ts</w:t>
            </w:r>
          </w:p>
        </w:tc>
        <w:tc>
          <w:tcPr>
            <w:tcW w:type="dxa" w:w="3402"/>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Implementa Gateway e reúne os serviços reais.</w:t>
            </w:r>
          </w:p>
        </w:tc>
        <w:tc>
          <w:tcPr>
            <w:tcW w:type="dxa" w:w="3572"/>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Mantenha o contrato compatível com DemoGateway e testes.</w:t>
            </w:r>
          </w:p>
        </w:tc>
      </w:tr>
      <w:tr>
        <w:trPr>
          <w:cantSplit/>
        </w:trPr>
        <w:tc>
          <w:tcPr>
            <w:tcW w:type="dxa" w:w="2381"/>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RestClient.ts</w:t>
            </w:r>
          </w:p>
        </w:tc>
        <w:tc>
          <w:tcPr>
            <w:tcW w:type="dxa" w:w="3402"/>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Valida origem, monta URLs, digest, paginação, timeout e JSON.</w:t>
            </w:r>
          </w:p>
        </w:tc>
        <w:tc>
          <w:tcPr>
            <w:tcW w:type="dxa" w:w="3572"/>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Gravações não podem ganhar repetição cega.</w:t>
            </w:r>
          </w:p>
        </w:tc>
      </w:tr>
      <w:tr>
        <w:trPr>
          <w:cantSplit/>
        </w:trPr>
        <w:tc>
          <w:tcPr>
            <w:tcW w:type="dxa" w:w="2381"/>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SearchService.ts</w:t>
            </w:r>
          </w:p>
        </w:tc>
        <w:tc>
          <w:tcPr>
            <w:tcW w:type="dxa" w:w="3402"/>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Busca no site atual, sites adicionais e índice do SharePoint.</w:t>
            </w:r>
          </w:p>
        </w:tc>
        <w:tc>
          <w:tcPr>
            <w:tcW w:type="dxa" w:w="3572"/>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O índice pode atrasar; resultados são revalidados.</w:t>
            </w:r>
          </w:p>
        </w:tc>
      </w:tr>
      <w:tr>
        <w:trPr>
          <w:cantSplit/>
        </w:trPr>
        <w:tc>
          <w:tcPr>
            <w:tcW w:type="dxa" w:w="2381"/>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SharePointSchemaService.ts</w:t>
            </w:r>
          </w:p>
        </w:tc>
        <w:tc>
          <w:tcPr>
            <w:tcW w:type="dxa" w:w="3402"/>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Campos, tipos de conteúdo, permissões e fuso.</w:t>
            </w:r>
          </w:p>
        </w:tc>
        <w:tc>
          <w:tcPr>
            <w:tcW w:type="dxa" w:w="3572"/>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Required pode vir do FieldLink do tipo de conteúdo.</w:t>
            </w:r>
          </w:p>
        </w:tc>
      </w:tr>
      <w:tr>
        <w:trPr>
          <w:cantSplit/>
        </w:trPr>
        <w:tc>
          <w:tcPr>
            <w:tcW w:type="dxa" w:w="2381"/>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ReferenceService.ts</w:t>
            </w:r>
          </w:p>
        </w:tc>
        <w:tc>
          <w:tcPr>
            <w:tcW w:type="dxa" w:w="3402"/>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Pessoa, grupo, lookup e data local para UTC.</w:t>
            </w:r>
          </w:p>
        </w:tc>
        <w:tc>
          <w:tcPr>
            <w:tcW w:type="dxa" w:w="3572"/>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Nomes ambíguos exigem e-mail/UPN ou ID explícito.</w:t>
            </w:r>
          </w:p>
        </w:tc>
      </w:tr>
      <w:tr>
        <w:trPr>
          <w:cantSplit/>
        </w:trPr>
        <w:tc>
          <w:tcPr>
            <w:tcW w:type="dxa" w:w="2381"/>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ValidationService.ts</w:t>
            </w:r>
          </w:p>
        </w:tc>
        <w:tc>
          <w:tcPr>
            <w:tcW w:type="dxa" w:w="3402"/>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Mapeamento, conversão e erros por linha/estrutura.</w:t>
            </w:r>
          </w:p>
        </w:tc>
        <w:tc>
          <w:tcPr>
            <w:tcW w:type="dxa" w:w="3572"/>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Preserve linha física e total de linhas inválidas.</w:t>
            </w:r>
          </w:p>
        </w:tc>
      </w:tr>
      <w:tr>
        <w:trPr>
          <w:cantSplit/>
        </w:trPr>
        <w:tc>
          <w:tcPr>
            <w:tcW w:type="dxa" w:w="2381"/>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BatchTransport.ts</w:t>
            </w:r>
          </w:p>
        </w:tc>
        <w:tc>
          <w:tcPr>
            <w:tcW w:type="dxa" w:w="3402"/>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POST direto e multipart $batch.</w:t>
            </w:r>
          </w:p>
        </w:tc>
        <w:tc>
          <w:tcPr>
            <w:tcW w:type="dxa" w:w="3572"/>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Correlacione por Content-ID; ausência = desconhecido.</w:t>
            </w:r>
          </w:p>
        </w:tc>
      </w:tr>
      <w:tr>
        <w:trPr>
          <w:cantSplit/>
        </w:trPr>
        <w:tc>
          <w:tcPr>
            <w:tcW w:type="dxa" w:w="2381"/>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ImportService.ts</w:t>
            </w:r>
          </w:p>
        </w:tc>
        <w:tc>
          <w:tcPr>
            <w:tcW w:type="dxa" w:w="3402"/>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Revalida, importa, interrompe e audita.</w:t>
            </w:r>
          </w:p>
        </w:tc>
        <w:tc>
          <w:tcPr>
            <w:tcW w:type="dxa" w:w="3572"/>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Bloqueia execução concorrente no mesmo serviço.</w:t>
            </w:r>
          </w:p>
        </w:tc>
      </w:tr>
      <w:tr>
        <w:trPr>
          <w:cantSplit/>
        </w:trPr>
        <w:tc>
          <w:tcPr>
            <w:tcW w:type="dxa" w:w="2381"/>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ExcelParserService.ts</w:t>
            </w:r>
          </w:p>
        </w:tc>
        <w:tc>
          <w:tcPr>
            <w:tcW w:type="dxa" w:w="3402"/>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Lê, gera template e exporta relatórios.</w:t>
            </w:r>
          </w:p>
        </w:tc>
        <w:tc>
          <w:tcPr>
            <w:tcW w:type="dxa" w:w="3572"/>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Limites de arquivo, linhas e colunas vêm da configuração.</w:t>
            </w:r>
          </w:p>
        </w:tc>
      </w:tr>
      <w:tr>
        <w:trPr>
          <w:cantSplit/>
        </w:trPr>
        <w:tc>
          <w:tcPr>
            <w:tcW w:type="dxa" w:w="2381"/>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AuditService.ts</w:t>
            </w:r>
          </w:p>
        </w:tc>
        <w:tc>
          <w:tcPr>
            <w:tcW w:type="dxa" w:w="3402"/>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Registra execução em lista opcional.</w:t>
            </w:r>
          </w:p>
        </w:tc>
        <w:tc>
          <w:tcPr>
            <w:tcW w:type="dxa" w:w="3572"/>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Não pode impedir a importação quando desconfigurado.</w:t>
            </w:r>
          </w:p>
        </w:tc>
      </w:tr>
    </w:tbl>
    <w:p>
      <w:pPr>
        <w:spacing w:after="20"/>
      </w:pPr>
    </w:p>
    <w:p>
      <w:pPr>
        <w:pStyle w:val="Heading2"/>
      </w:pPr>
      <w:r>
        <w:t>3.2 Componentes de interface</w:t>
      </w:r>
    </w:p>
    <w:tbl>
      <w:tblPr>
        <w:tblW w:type="auto" w:w="0"/>
        <w:jc w:val="center"/>
        <w:tblLayout w:type="fixed"/>
        <w:tblLook w:firstColumn="1" w:firstRow="1" w:lastColumn="0" w:lastRow="0" w:noHBand="0" w:noVBand="1" w:val="04A0"/>
      </w:tblPr>
      <w:tblGrid>
        <w:gridCol w:w="4876"/>
        <w:gridCol w:w="4876"/>
      </w:tblGrid>
      <w:tr>
        <w:trPr>
          <w:tblHeader/>
          <w:cantSplit/>
        </w:trPr>
        <w:tc>
          <w:tcPr>
            <w:tcW w:type="dxa" w:w="3118"/>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6"/>
              </w:rPr>
              <w:t>Componente</w:t>
            </w:r>
          </w:p>
        </w:tc>
        <w:tc>
          <w:tcPr>
            <w:tcW w:type="dxa" w:w="6236"/>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6"/>
              </w:rPr>
              <w:t>Função</w:t>
            </w:r>
          </w:p>
        </w:tc>
      </w:tr>
      <w:tr>
        <w:trPr>
          <w:cantSplit/>
        </w:trPr>
        <w:tc>
          <w:tcPr>
            <w:tcW w:type="dxa" w:w="3118"/>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Importador.tsx</w:t>
            </w:r>
          </w:p>
        </w:tc>
        <w:tc>
          <w:tcPr>
            <w:tcW w:type="dxa" w:w="6236"/>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Orquestra estado, invalidação, comandos, regras de habilitação e log de importação.</w:t>
            </w:r>
          </w:p>
        </w:tc>
      </w:tr>
      <w:tr>
        <w:trPr>
          <w:cantSplit/>
        </w:trPr>
        <w:tc>
          <w:tcPr>
            <w:tcW w:type="dxa" w:w="3118"/>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ListSearch / ListSelector</w:t>
            </w:r>
          </w:p>
        </w:tc>
        <w:tc>
          <w:tcPr>
            <w:tcW w:type="dxa" w:w="6236"/>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Pesquisa, escolha da lista e do tipo de conteúdo.</w:t>
            </w:r>
          </w:p>
        </w:tc>
      </w:tr>
      <w:tr>
        <w:trPr>
          <w:cantSplit/>
        </w:trPr>
        <w:tc>
          <w:tcPr>
            <w:tcW w:type="dxa" w:w="3118"/>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FileUploader</w:t>
            </w:r>
          </w:p>
        </w:tc>
        <w:tc>
          <w:tcPr>
            <w:tcW w:type="dxa" w:w="6236"/>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Arquivo, aba e cultura regional.</w:t>
            </w:r>
          </w:p>
        </w:tc>
      </w:tr>
      <w:tr>
        <w:trPr>
          <w:cantSplit/>
        </w:trPr>
        <w:tc>
          <w:tcPr>
            <w:tcW w:type="dxa" w:w="3118"/>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TemplateGenerator</w:t>
            </w:r>
          </w:p>
        </w:tc>
        <w:tc>
          <w:tcPr>
            <w:tcW w:type="dxa" w:w="6236"/>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Baixa template baseado no schema.</w:t>
            </w:r>
          </w:p>
        </w:tc>
      </w:tr>
      <w:tr>
        <w:trPr>
          <w:cantSplit/>
        </w:trPr>
        <w:tc>
          <w:tcPr>
            <w:tcW w:type="dxa" w:w="3118"/>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ValidationDashboard / ErrorGrid</w:t>
            </w:r>
          </w:p>
        </w:tc>
        <w:tc>
          <w:tcPr>
            <w:tcW w:type="dxa" w:w="6236"/>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Totais por linha, erros paginados e exportação.</w:t>
            </w:r>
          </w:p>
        </w:tc>
      </w:tr>
      <w:tr>
        <w:trPr>
          <w:cantSplit/>
        </w:trPr>
        <w:tc>
          <w:tcPr>
            <w:tcW w:type="dxa" w:w="3118"/>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ImportProgress</w:t>
            </w:r>
          </w:p>
        </w:tc>
        <w:tc>
          <w:tcPr>
            <w:tcW w:type="dxa" w:w="6236"/>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Percentual, contagens e previsão; interrupção ocorre após o lote atual.</w:t>
            </w:r>
          </w:p>
        </w:tc>
      </w:tr>
    </w:tbl>
    <w:p>
      <w:pPr>
        <w:spacing w:after="20"/>
      </w:pPr>
    </w:p>
    <w:p>
      <w:r>
        <w:br w:type="page"/>
      </w:r>
    </w:p>
    <w:p>
      <w:pPr>
        <w:pStyle w:val="Heading1"/>
      </w:pPr>
      <w:r>
        <w:t>4. Modelos e contratos internos</w:t>
      </w:r>
    </w:p>
    <w:p>
      <w:r>
        <w:t>Os tipos centrais ficam em src/models/index.ts. Alterações nesses contratos exigem revisão dos serviços, componentes e testes.</w:t>
      </w:r>
    </w:p>
    <w:tbl>
      <w:tblPr>
        <w:tblW w:type="auto" w:w="0"/>
        <w:jc w:val="center"/>
        <w:tblLayout w:type="fixed"/>
        <w:tblLook w:firstColumn="1" w:firstRow="1" w:lastColumn="0" w:lastRow="0" w:noHBand="0" w:noVBand="1" w:val="04A0"/>
      </w:tblPr>
      <w:tblGrid>
        <w:gridCol w:w="3251"/>
        <w:gridCol w:w="3251"/>
        <w:gridCol w:w="3251"/>
      </w:tblGrid>
      <w:tr>
        <w:trPr>
          <w:tblHeader/>
          <w:cantSplit/>
        </w:trPr>
        <w:tc>
          <w:tcPr>
            <w:tcW w:type="dxa" w:w="1928"/>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5"/>
              </w:rPr>
              <w:t>Tipo</w:t>
            </w:r>
          </w:p>
        </w:tc>
        <w:tc>
          <w:tcPr>
            <w:tcW w:type="dxa" w:w="4025"/>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5"/>
              </w:rPr>
              <w:t>Campos relevantes</w:t>
            </w:r>
          </w:p>
        </w:tc>
        <w:tc>
          <w:tcPr>
            <w:tcW w:type="dxa" w:w="3402"/>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5"/>
              </w:rPr>
              <w:t>Uso</w:t>
            </w:r>
          </w:p>
        </w:tc>
      </w:tr>
      <w:tr>
        <w:trPr>
          <w:cantSplit/>
        </w:trPr>
        <w:tc>
          <w:tcPr>
            <w:tcW w:type="dxa" w:w="1928"/>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ColumnDefinition</w:t>
            </w:r>
          </w:p>
        </w:tc>
        <w:tc>
          <w:tcPr>
            <w:tcW w:type="dxa" w:w="4025"/>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internalName, kind, required, readOnly, hidden, unique, choices, lookup*, dateOnly</w:t>
            </w:r>
          </w:p>
        </w:tc>
        <w:tc>
          <w:tcPr>
            <w:tcW w:type="dxa" w:w="3402"/>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Representa as regras reais de cada campo.</w:t>
            </w:r>
          </w:p>
        </w:tc>
      </w:tr>
      <w:tr>
        <w:trPr>
          <w:cantSplit/>
        </w:trPr>
        <w:tc>
          <w:tcPr>
            <w:tcW w:type="dxa" w:w="1928"/>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ListReference</w:t>
            </w:r>
          </w:p>
        </w:tc>
        <w:tc>
          <w:tcPr>
            <w:tcW w:type="dxa" w:w="4025"/>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id, title, siteUrl, siteTitle</w:t>
            </w:r>
          </w:p>
        </w:tc>
        <w:tc>
          <w:tcPr>
            <w:tcW w:type="dxa" w:w="3402"/>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Identidade suficiente para recuperar a lista e seu site.</w:t>
            </w:r>
          </w:p>
        </w:tc>
      </w:tr>
      <w:tr>
        <w:trPr>
          <w:cantSplit/>
        </w:trPr>
        <w:tc>
          <w:tcPr>
            <w:tcW w:type="dxa" w:w="1928"/>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ListDefinition</w:t>
            </w:r>
          </w:p>
        </w:tc>
        <w:tc>
          <w:tcPr>
            <w:tcW w:type="dxa" w:w="4025"/>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columns, canAdd, contentTypes, schemaVersion, timeZoneId</w:t>
            </w:r>
          </w:p>
        </w:tc>
        <w:tc>
          <w:tcPr>
            <w:tcW w:type="dxa" w:w="3402"/>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Snapshot completo usado na validação e importação.</w:t>
            </w:r>
          </w:p>
        </w:tc>
      </w:tr>
      <w:tr>
        <w:trPr>
          <w:cantSplit/>
        </w:trPr>
        <w:tc>
          <w:tcPr>
            <w:tcW w:type="dxa" w:w="1928"/>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ParsedSheet</w:t>
            </w:r>
          </w:p>
        </w:tc>
        <w:tc>
          <w:tcPr>
            <w:tcW w:type="dxa" w:w="4025"/>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headers, rows, date1904, fingerprint</w:t>
            </w:r>
          </w:p>
        </w:tc>
        <w:tc>
          <w:tcPr>
            <w:tcW w:type="dxa" w:w="3402"/>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Conteúdo normalizado e identidade do arquivo/aba.</w:t>
            </w:r>
          </w:p>
        </w:tc>
      </w:tr>
      <w:tr>
        <w:trPr>
          <w:cantSplit/>
        </w:trPr>
        <w:tc>
          <w:tcPr>
            <w:tcW w:type="dxa" w:w="1928"/>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ValidationResult</w:t>
            </w:r>
          </w:p>
        </w:tc>
        <w:tc>
          <w:tcPr>
            <w:tcW w:type="dxa" w:w="4025"/>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total, valid, invalid, errors, rows, schemaVersion, fingerprint</w:t>
            </w:r>
          </w:p>
        </w:tc>
        <w:tc>
          <w:tcPr>
            <w:tcW w:type="dxa" w:w="3402"/>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Evidência usada para habilitar a gravação.</w:t>
            </w:r>
          </w:p>
        </w:tc>
      </w:tr>
      <w:tr>
        <w:trPr>
          <w:cantSplit/>
        </w:trPr>
        <w:tc>
          <w:tcPr>
            <w:tcW w:type="dxa" w:w="1928"/>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ImportRowResult</w:t>
            </w:r>
          </w:p>
        </w:tc>
        <w:tc>
          <w:tcPr>
            <w:tcW w:type="dxa" w:w="4025"/>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line, status, id, message, httpStatus</w:t>
            </w:r>
          </w:p>
        </w:tc>
        <w:tc>
          <w:tcPr>
            <w:tcW w:type="dxa" w:w="3402"/>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Resultado individual ligado à linha original do Excel.</w:t>
            </w:r>
          </w:p>
        </w:tc>
      </w:tr>
      <w:tr>
        <w:trPr>
          <w:cantSplit/>
        </w:trPr>
        <w:tc>
          <w:tcPr>
            <w:tcW w:type="dxa" w:w="1928"/>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ImportResult</w:t>
            </w:r>
          </w:p>
        </w:tc>
        <w:tc>
          <w:tcPr>
            <w:tcW w:type="dxa" w:w="4025"/>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executionId, status, imported, failed, unknown, skipped</w:t>
            </w:r>
          </w:p>
        </w:tc>
        <w:tc>
          <w:tcPr>
            <w:tcW w:type="dxa" w:w="3402"/>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Resumo final e base do arquivo de resultado.</w:t>
            </w:r>
          </w:p>
        </w:tc>
      </w:tr>
      <w:tr>
        <w:trPr>
          <w:cantSplit/>
        </w:trPr>
        <w:tc>
          <w:tcPr>
            <w:tcW w:type="dxa" w:w="1928"/>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AppConfiguration</w:t>
            </w:r>
          </w:p>
        </w:tc>
        <w:tc>
          <w:tcPr>
            <w:tcW w:type="dxa" w:w="4025"/>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sites, auditSiteUrl, limites, batchSize, retries, concurrency</w:t>
            </w:r>
          </w:p>
        </w:tc>
        <w:tc>
          <w:tcPr>
            <w:tcW w:type="dxa" w:w="3402"/>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Parâmetros administrativos e limites técnicos.</w:t>
            </w:r>
          </w:p>
        </w:tc>
      </w:tr>
    </w:tbl>
    <w:p>
      <w:pPr>
        <w:spacing w:after="20"/>
      </w:pPr>
    </w:p>
    <w:p>
      <w:pPr>
        <w:pStyle w:val="Heading2"/>
      </w:pPr>
      <w:r>
        <w:t>4.1 Contrato Gateway</w:t>
      </w:r>
    </w:p>
    <w:tbl>
      <w:tblPr>
        <w:tblW w:type="auto" w:w="0"/>
        <w:jc w:val="center"/>
        <w:tblLayout w:type="fixed"/>
        <w:tblLook w:firstColumn="1" w:firstRow="1" w:lastColumn="0" w:lastRow="0" w:noHBand="0" w:noVBand="1" w:val="04A0"/>
      </w:tblPr>
      <w:tblGrid>
        <w:gridCol w:w="3251"/>
        <w:gridCol w:w="3251"/>
        <w:gridCol w:w="3251"/>
      </w:tblGrid>
      <w:tr>
        <w:trPr>
          <w:tblHeader/>
          <w:cantSplit/>
        </w:trPr>
        <w:tc>
          <w:tcPr>
            <w:tcW w:type="dxa" w:w="2551"/>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6"/>
              </w:rPr>
              <w:t>Método</w:t>
            </w:r>
          </w:p>
        </w:tc>
        <w:tc>
          <w:tcPr>
            <w:tcW w:type="dxa" w:w="2268"/>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6"/>
              </w:rPr>
              <w:t>Retorno</w:t>
            </w:r>
          </w:p>
        </w:tc>
        <w:tc>
          <w:tcPr>
            <w:tcW w:type="dxa" w:w="4535"/>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6"/>
              </w:rPr>
              <w:t>Responsabilidade</w:t>
            </w:r>
          </w:p>
        </w:tc>
      </w:tr>
      <w:tr>
        <w:trPr>
          <w:cantSplit/>
        </w:trPr>
        <w:tc>
          <w:tcPr>
            <w:tcW w:type="dxa" w:w="2551"/>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search(query)</w:t>
            </w:r>
          </w:p>
        </w:tc>
        <w:tc>
          <w:tcPr>
            <w:tcW w:type="dxa" w:w="2268"/>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SearchResult</w:t>
            </w:r>
          </w:p>
        </w:tc>
        <w:tc>
          <w:tcPr>
            <w:tcW w:type="dxa" w:w="4535"/>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Descobrir listas permitidas.</w:t>
            </w:r>
          </w:p>
        </w:tc>
      </w:tr>
      <w:tr>
        <w:trPr>
          <w:cantSplit/>
        </w:trPr>
        <w:tc>
          <w:tcPr>
            <w:tcW w:type="dxa" w:w="2551"/>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schema(list, contentTypeId?)</w:t>
            </w:r>
          </w:p>
        </w:tc>
        <w:tc>
          <w:tcPr>
            <w:tcW w:type="dxa" w:w="2268"/>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ListDefinition</w:t>
            </w:r>
          </w:p>
        </w:tc>
        <w:tc>
          <w:tcPr>
            <w:tcW w:type="dxa" w:w="4535"/>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Carregar schema e permissões atuais.</w:t>
            </w:r>
          </w:p>
        </w:tc>
      </w:tr>
      <w:tr>
        <w:trPr>
          <w:cantSplit/>
        </w:trPr>
        <w:tc>
          <w:tcPr>
            <w:tcW w:type="dxa" w:w="2551"/>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resolve(list, field, value)</w:t>
            </w:r>
          </w:p>
        </w:tc>
        <w:tc>
          <w:tcPr>
            <w:tcW w:type="dxa" w:w="2268"/>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ReferenceResolution</w:t>
            </w:r>
          </w:p>
        </w:tc>
        <w:tc>
          <w:tcPr>
            <w:tcW w:type="dxa" w:w="4535"/>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Resolver lookup, pessoa ou grupo.</w:t>
            </w:r>
          </w:p>
        </w:tc>
      </w:tr>
      <w:tr>
        <w:trPr>
          <w:cantSplit/>
        </w:trPr>
        <w:tc>
          <w:tcPr>
            <w:tcW w:type="dxa" w:w="2551"/>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lookupOptions(...)</w:t>
            </w:r>
          </w:p>
        </w:tc>
        <w:tc>
          <w:tcPr>
            <w:tcW w:type="dxa" w:w="2268"/>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values + truncated</w:t>
            </w:r>
          </w:p>
        </w:tc>
        <w:tc>
          <w:tcPr>
            <w:tcW w:type="dxa" w:w="4535"/>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Popular catálogos do template.</w:t>
            </w:r>
          </w:p>
        </w:tc>
      </w:tr>
      <w:tr>
        <w:trPr>
          <w:cantSplit/>
        </w:trPr>
        <w:tc>
          <w:tcPr>
            <w:tcW w:type="dxa" w:w="2551"/>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localToUtc(...)</w:t>
            </w:r>
          </w:p>
        </w:tc>
        <w:tc>
          <w:tcPr>
            <w:tcW w:type="dxa" w:w="2268"/>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ISO UTC</w:t>
            </w:r>
          </w:p>
        </w:tc>
        <w:tc>
          <w:tcPr>
            <w:tcW w:type="dxa" w:w="4535"/>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Converter data/hora pelo fuso do site.</w:t>
            </w:r>
          </w:p>
        </w:tc>
      </w:tr>
      <w:tr>
        <w:trPr>
          <w:cantSplit/>
        </w:trPr>
        <w:tc>
          <w:tcPr>
            <w:tcW w:type="dxa" w:w="2551"/>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checkAudit() / audit()</w:t>
            </w:r>
          </w:p>
        </w:tc>
        <w:tc>
          <w:tcPr>
            <w:tcW w:type="dxa" w:w="2268"/>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void</w:t>
            </w:r>
          </w:p>
        </w:tc>
        <w:tc>
          <w:tcPr>
            <w:tcW w:type="dxa" w:w="4535"/>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Validar e gravar auditoria opcional.</w:t>
            </w:r>
          </w:p>
        </w:tc>
      </w:tr>
      <w:tr>
        <w:trPr>
          <w:cantSplit/>
        </w:trPr>
        <w:tc>
          <w:tcPr>
            <w:tcW w:type="dxa" w:w="2551"/>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batch(list, rows)</w:t>
            </w:r>
          </w:p>
        </w:tc>
        <w:tc>
          <w:tcPr>
            <w:tcW w:type="dxa" w:w="2268"/>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ImportRowResult[]</w:t>
            </w:r>
          </w:p>
        </w:tc>
        <w:tc>
          <w:tcPr>
            <w:tcW w:type="dxa" w:w="4535"/>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Criar itens e preservar o resultado por linha.</w:t>
            </w:r>
          </w:p>
        </w:tc>
      </w:tr>
    </w:tbl>
    <w:p>
      <w:pPr>
        <w:spacing w:after="20"/>
      </w:pPr>
    </w:p>
    <w:p>
      <w:pPr>
        <w:pStyle w:val="Heading2"/>
      </w:pPr>
      <w:r>
        <w:t>4.2 Status de importação</w:t>
      </w:r>
    </w:p>
    <w:tbl>
      <w:tblPr>
        <w:tblW w:type="auto" w:w="0"/>
        <w:jc w:val="center"/>
        <w:tblLayout w:type="fixed"/>
        <w:tblLook w:firstColumn="1" w:firstRow="1" w:lastColumn="0" w:lastRow="0" w:noHBand="0" w:noVBand="1" w:val="04A0"/>
      </w:tblPr>
      <w:tblGrid>
        <w:gridCol w:w="3251"/>
        <w:gridCol w:w="3251"/>
        <w:gridCol w:w="3251"/>
      </w:tblGrid>
      <w:tr>
        <w:trPr>
          <w:tblHeader/>
          <w:cantSplit/>
        </w:trPr>
        <w:tc>
          <w:tcPr>
            <w:tcW w:type="dxa" w:w="1984"/>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6"/>
              </w:rPr>
              <w:t>Status por linha</w:t>
            </w:r>
          </w:p>
        </w:tc>
        <w:tc>
          <w:tcPr>
            <w:tcW w:type="dxa" w:w="3402"/>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6"/>
              </w:rPr>
              <w:t>Significado</w:t>
            </w:r>
          </w:p>
        </w:tc>
        <w:tc>
          <w:tcPr>
            <w:tcW w:type="dxa" w:w="3969"/>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6"/>
              </w:rPr>
              <w:t>Ação recomendada</w:t>
            </w:r>
          </w:p>
        </w:tc>
      </w:tr>
      <w:tr>
        <w:trPr>
          <w:cantSplit/>
        </w:trPr>
        <w:tc>
          <w:tcPr>
            <w:tcW w:type="dxa" w:w="1984"/>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imported</w:t>
            </w:r>
          </w:p>
        </w:tc>
        <w:tc>
          <w:tcPr>
            <w:tcW w:type="dxa" w:w="3402"/>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SharePoint confirmou sucesso.</w:t>
            </w:r>
          </w:p>
        </w:tc>
        <w:tc>
          <w:tcPr>
            <w:tcW w:type="dxa" w:w="3969"/>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Registrar o ID quando disponível.</w:t>
            </w:r>
          </w:p>
        </w:tc>
      </w:tr>
      <w:tr>
        <w:trPr>
          <w:cantSplit/>
        </w:trPr>
        <w:tc>
          <w:tcPr>
            <w:tcW w:type="dxa" w:w="1984"/>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failed</w:t>
            </w:r>
          </w:p>
        </w:tc>
        <w:tc>
          <w:tcPr>
            <w:tcW w:type="dxa" w:w="3402"/>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SharePoint confirmou rejeição.</w:t>
            </w:r>
          </w:p>
        </w:tc>
        <w:tc>
          <w:tcPr>
            <w:tcW w:type="dxa" w:w="3969"/>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Corrigir dado/regra e reenviar a linha.</w:t>
            </w:r>
          </w:p>
        </w:tc>
      </w:tr>
      <w:tr>
        <w:trPr>
          <w:cantSplit/>
        </w:trPr>
        <w:tc>
          <w:tcPr>
            <w:tcW w:type="dxa" w:w="1984"/>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unknown</w:t>
            </w:r>
          </w:p>
        </w:tc>
        <w:tc>
          <w:tcPr>
            <w:tcW w:type="dxa" w:w="3402"/>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Não foi possível confirmar o resultado.</w:t>
            </w:r>
          </w:p>
        </w:tc>
        <w:tc>
          <w:tcPr>
            <w:tcW w:type="dxa" w:w="3969"/>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Conferir a lista antes de qualquer nova tentativa.</w:t>
            </w:r>
          </w:p>
        </w:tc>
      </w:tr>
      <w:tr>
        <w:trPr>
          <w:cantSplit/>
        </w:trPr>
        <w:tc>
          <w:tcPr>
            <w:tcW w:type="dxa" w:w="1984"/>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pending</w:t>
            </w:r>
          </w:p>
        </w:tc>
        <w:tc>
          <w:tcPr>
            <w:tcW w:type="dxa" w:w="3402"/>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Linha ainda não enviada, normalmente por interrupção.</w:t>
            </w:r>
          </w:p>
        </w:tc>
        <w:tc>
          <w:tcPr>
            <w:tcW w:type="dxa" w:w="3969"/>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Pode ser submetida em nova execução.</w:t>
            </w:r>
          </w:p>
        </w:tc>
      </w:tr>
    </w:tbl>
    <w:p>
      <w:pPr>
        <w:spacing w:after="20"/>
      </w:pPr>
    </w:p>
    <w:p>
      <w:r>
        <w:br w:type="page"/>
      </w:r>
    </w:p>
    <w:p>
      <w:pPr>
        <w:pStyle w:val="Heading1"/>
      </w:pPr>
      <w:r>
        <w:t>5. Integração com SharePoint</w:t>
      </w:r>
    </w:p>
    <w:p>
      <w:pPr>
        <w:pStyle w:val="Heading2"/>
      </w:pPr>
      <w:r>
        <w:t>5.1 Identidade e permissões</w:t>
      </w:r>
    </w:p>
    <w:p>
      <w:r>
        <w:t>A solução usa o contexto SPFx e a identidade do usuário autenticado. O pacote não solicita permissões adicionais de API no Entra ID. A pesquisa exige leitura; a importação exige AddListItems, e o SharePoint reaplica permissões e regras no momento do POST.</w:t>
      </w:r>
    </w:p>
    <w:tbl>
      <w:tblPr>
        <w:tblW w:type="auto" w:w="0"/>
        <w:jc w:val="center"/>
        <w:tblLayout w:type="fixed"/>
        <w:tblLook w:firstColumn="1" w:firstRow="1" w:lastColumn="0" w:lastRow="0" w:noHBand="0" w:noVBand="1" w:val="04A0"/>
      </w:tblPr>
      <w:tblGrid>
        <w:gridCol w:w="4876"/>
        <w:gridCol w:w="4876"/>
      </w:tblGrid>
      <w:tr>
        <w:trPr>
          <w:tblHeader/>
          <w:cantSplit/>
        </w:trPr>
        <w:tc>
          <w:tcPr>
            <w:tcW w:type="dxa" w:w="2835"/>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6"/>
              </w:rPr>
              <w:t>Operação</w:t>
            </w:r>
          </w:p>
        </w:tc>
        <w:tc>
          <w:tcPr>
            <w:tcW w:type="dxa" w:w="6520"/>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6"/>
              </w:rPr>
              <w:t>Controle aplicado</w:t>
            </w:r>
          </w:p>
        </w:tc>
      </w:tr>
      <w:tr>
        <w:trPr>
          <w:cantSplit/>
        </w:trPr>
        <w:tc>
          <w:tcPr>
            <w:tcW w:type="dxa" w:w="2835"/>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Pesquisa</w:t>
            </w:r>
          </w:p>
        </w:tc>
        <w:tc>
          <w:tcPr>
            <w:tcW w:type="dxa" w:w="6520"/>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Security trimming do índice e verificação de EffectiveBasePermissions.</w:t>
            </w:r>
          </w:p>
        </w:tc>
      </w:tr>
      <w:tr>
        <w:trPr>
          <w:cantSplit/>
        </w:trPr>
        <w:tc>
          <w:tcPr>
            <w:tcW w:type="dxa" w:w="2835"/>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Leitura do schema</w:t>
            </w:r>
          </w:p>
        </w:tc>
        <w:tc>
          <w:tcPr>
            <w:tcW w:type="dxa" w:w="6520"/>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Acesso à lista e metadados do site selecionado.</w:t>
            </w:r>
          </w:p>
        </w:tc>
      </w:tr>
      <w:tr>
        <w:trPr>
          <w:cantSplit/>
        </w:trPr>
        <w:tc>
          <w:tcPr>
            <w:tcW w:type="dxa" w:w="2835"/>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Pessoa/grupo/lookup</w:t>
            </w:r>
          </w:p>
        </w:tc>
        <w:tc>
          <w:tcPr>
            <w:tcW w:type="dxa" w:w="6520"/>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Acesso às coleções e listas relacionadas segundo a identidade atual.</w:t>
            </w:r>
          </w:p>
        </w:tc>
      </w:tr>
      <w:tr>
        <w:trPr>
          <w:cantSplit/>
        </w:trPr>
        <w:tc>
          <w:tcPr>
            <w:tcW w:type="dxa" w:w="2835"/>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Gravação</w:t>
            </w:r>
          </w:p>
        </w:tc>
        <w:tc>
          <w:tcPr>
            <w:tcW w:type="dxa" w:w="6520"/>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Digest do site, permissões, tipos, unicidade e validações do SharePoint.</w:t>
            </w:r>
          </w:p>
        </w:tc>
      </w:tr>
      <w:tr>
        <w:trPr>
          <w:cantSplit/>
        </w:trPr>
        <w:tc>
          <w:tcPr>
            <w:tcW w:type="dxa" w:w="2835"/>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Auditoria</w:t>
            </w:r>
          </w:p>
        </w:tc>
        <w:tc>
          <w:tcPr>
            <w:tcW w:type="dxa" w:w="6520"/>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Permissão de inclusão na lista opcional ImportacoesSharePoint.</w:t>
            </w:r>
          </w:p>
        </w:tc>
      </w:tr>
    </w:tbl>
    <w:p>
      <w:pPr>
        <w:spacing w:after="20"/>
      </w:pPr>
    </w:p>
    <w:p>
      <w:pPr>
        <w:pStyle w:val="Heading2"/>
      </w:pPr>
      <w:r>
        <w:t>5.2 Endpoints principais</w:t>
      </w:r>
    </w:p>
    <w:tbl>
      <w:tblPr>
        <w:tblW w:type="auto" w:w="0"/>
        <w:jc w:val="center"/>
        <w:tblLayout w:type="fixed"/>
        <w:tblLook w:firstColumn="1" w:firstRow="1" w:lastColumn="0" w:lastRow="0" w:noHBand="0" w:noVBand="1" w:val="04A0"/>
      </w:tblPr>
      <w:tblGrid>
        <w:gridCol w:w="4876"/>
        <w:gridCol w:w="4876"/>
      </w:tblGrid>
      <w:tr>
        <w:trPr>
          <w:tblHeader/>
          <w:cantSplit/>
        </w:trPr>
        <w:tc>
          <w:tcPr>
            <w:tcW w:type="dxa" w:w="2608"/>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5"/>
              </w:rPr>
              <w:t>Área</w:t>
            </w:r>
          </w:p>
        </w:tc>
        <w:tc>
          <w:tcPr>
            <w:tcW w:type="dxa" w:w="6746"/>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5"/>
              </w:rPr>
              <w:t>Endpoint REST/PnPjs</w:t>
            </w:r>
          </w:p>
        </w:tc>
      </w:tr>
      <w:tr>
        <w:trPr>
          <w:cantSplit/>
        </w:trPr>
        <w:tc>
          <w:tcPr>
            <w:tcW w:type="dxa" w:w="2608"/>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Listas do site</w:t>
            </w:r>
          </w:p>
        </w:tc>
        <w:tc>
          <w:tcPr>
            <w:tcW w:type="dxa" w:w="6746"/>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web/lists?$select=...EffectiveBasePermissions</w:t>
            </w:r>
          </w:p>
        </w:tc>
      </w:tr>
      <w:tr>
        <w:trPr>
          <w:cantSplit/>
        </w:trPr>
        <w:tc>
          <w:tcPr>
            <w:tcW w:type="dxa" w:w="2608"/>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Busca indexada</w:t>
            </w:r>
          </w:p>
        </w:tc>
        <w:tc>
          <w:tcPr>
            <w:tcW w:type="dxa" w:w="6746"/>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search/query?querytext=contentclass:STS_List_GenericList...</w:t>
            </w:r>
          </w:p>
        </w:tc>
      </w:tr>
      <w:tr>
        <w:trPr>
          <w:cantSplit/>
        </w:trPr>
        <w:tc>
          <w:tcPr>
            <w:tcW w:type="dxa" w:w="2608"/>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Schema</w:t>
            </w:r>
          </w:p>
        </w:tc>
        <w:tc>
          <w:tcPr>
            <w:tcW w:type="dxa" w:w="6746"/>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web/lists(guid'...')/fields, /contenttypes e /fieldlinks</w:t>
            </w:r>
          </w:p>
        </w:tc>
      </w:tr>
      <w:tr>
        <w:trPr>
          <w:cantSplit/>
        </w:trPr>
        <w:tc>
          <w:tcPr>
            <w:tcW w:type="dxa" w:w="2608"/>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Fuso</w:t>
            </w:r>
          </w:p>
        </w:tc>
        <w:tc>
          <w:tcPr>
            <w:tcW w:type="dxa" w:w="6746"/>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web/RegionalSettings/TimeZone e funções localTimeToUTC/utcToLocalTime</w:t>
            </w:r>
          </w:p>
        </w:tc>
      </w:tr>
      <w:tr>
        <w:trPr>
          <w:cantSplit/>
        </w:trPr>
        <w:tc>
          <w:tcPr>
            <w:tcW w:type="dxa" w:w="2608"/>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Pessoas</w:t>
            </w:r>
          </w:p>
        </w:tc>
        <w:tc>
          <w:tcPr>
            <w:tcW w:type="dxa" w:w="6746"/>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web/ensureuser, web/siteusers e grupos do site</w:t>
            </w:r>
          </w:p>
        </w:tc>
      </w:tr>
      <w:tr>
        <w:trPr>
          <w:cantSplit/>
        </w:trPr>
        <w:tc>
          <w:tcPr>
            <w:tcW w:type="dxa" w:w="2608"/>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Lookups</w:t>
            </w:r>
          </w:p>
        </w:tc>
        <w:tc>
          <w:tcPr>
            <w:tcW w:type="dxa" w:w="6746"/>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web/lists(guid'...')/items; suporta WebId relacionado</w:t>
            </w:r>
          </w:p>
        </w:tc>
      </w:tr>
      <w:tr>
        <w:trPr>
          <w:cantSplit/>
        </w:trPr>
        <w:tc>
          <w:tcPr>
            <w:tcW w:type="dxa" w:w="2608"/>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Digest</w:t>
            </w:r>
          </w:p>
        </w:tc>
        <w:tc>
          <w:tcPr>
            <w:tcW w:type="dxa" w:w="6746"/>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contextinfo</w:t>
            </w:r>
          </w:p>
        </w:tc>
      </w:tr>
      <w:tr>
        <w:trPr>
          <w:cantSplit/>
        </w:trPr>
        <w:tc>
          <w:tcPr>
            <w:tcW w:type="dxa" w:w="2608"/>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Uma linha</w:t>
            </w:r>
          </w:p>
        </w:tc>
        <w:tc>
          <w:tcPr>
            <w:tcW w:type="dxa" w:w="6746"/>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POST web/lists(guid'...')/items</w:t>
            </w:r>
          </w:p>
        </w:tc>
      </w:tr>
      <w:tr>
        <w:trPr>
          <w:cantSplit/>
        </w:trPr>
        <w:tc>
          <w:tcPr>
            <w:tcW w:type="dxa" w:w="2608"/>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Múltiplas linhas</w:t>
            </w:r>
          </w:p>
        </w:tc>
        <w:tc>
          <w:tcPr>
            <w:tcW w:type="dxa" w:w="6746"/>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POST $batch, com um changeset por item</w:t>
            </w:r>
          </w:p>
        </w:tc>
      </w:tr>
    </w:tbl>
    <w:p>
      <w:pPr>
        <w:spacing w:after="20"/>
      </w:pPr>
    </w:p>
    <w:p>
      <w:pPr>
        <w:pStyle w:val="Heading2"/>
      </w:pPr>
      <w:r>
        <w:t>5.3 Pesquisa de listas</w:t>
      </w:r>
    </w:p>
    <w:p>
      <w:pPr>
        <w:pStyle w:val="ListBullet"/>
        <w:spacing w:after="40"/>
      </w:pPr>
      <w:r>
        <w:t>O site onde a web part está aberta sempre participa da pesquisa.</w:t>
      </w:r>
    </w:p>
    <w:p>
      <w:pPr>
        <w:pStyle w:val="ListBullet"/>
        <w:spacing w:after="40"/>
      </w:pPr>
      <w:r>
        <w:t>Sites adicionais são uma ajuda para listas ainda não indexadas; não definem onde a gravação ocorrerá.</w:t>
      </w:r>
    </w:p>
    <w:p>
      <w:pPr>
        <w:pStyle w:val="ListBullet"/>
        <w:spacing w:after="40"/>
      </w:pPr>
      <w:r>
        <w:t>O índice é consultado em até 1.000 resultados e cada candidato é revalidado por ID, tipo e permissão.</w:t>
      </w:r>
    </w:p>
    <w:p>
      <w:pPr>
        <w:pStyle w:val="ListBullet"/>
        <w:spacing w:after="40"/>
      </w:pPr>
      <w:r>
        <w:t>Somente listas genéricas visíveis (BaseTemplate 100) entram no resultado.</w:t>
      </w:r>
    </w:p>
    <w:p>
      <w:pPr>
        <w:pStyle w:val="ListBullet"/>
        <w:spacing w:after="40"/>
      </w:pPr>
      <w:r>
        <w:t>A URL do site acompanha a lista selecionada e é reutilizada no schema, referências e importação.</w:t>
      </w:r>
    </w:p>
    <w:p>
      <w:pPr>
        <w:pStyle w:val="Heading2"/>
      </w:pPr>
      <w:r>
        <w:t>5.4 Carregamento do schema</w:t>
      </w:r>
    </w:p>
    <w:p>
      <w:r>
        <w:t>A ordenação segue a visualização padrão quando possível. Campos ocultos e somente leitura permanecem no snapshot para consistência, mas não aparecem no mapeamento. Campos do sistema, como ID, Created, Modified, Author e Editor, são explicitamente não graváveis. Quando há tipo de conteúdo, os FieldLinks determinam visibilidade e obrigatoriedade.</w:t>
      </w:r>
    </w:p>
    <w:p>
      <w:r>
        <w:br w:type="page"/>
      </w:r>
    </w:p>
    <w:p>
      <w:pPr>
        <w:pStyle w:val="Heading1"/>
      </w:pPr>
      <w:r>
        <w:t>6. Leitura, mapeamento e validação</w:t>
      </w:r>
    </w:p>
    <w:p>
      <w:pPr>
        <w:pStyle w:val="Heading2"/>
      </w:pPr>
      <w:r>
        <w:t>6.1 Leitura do Excel</w:t>
      </w:r>
    </w:p>
    <w:p>
      <w:pPr>
        <w:pStyle w:val="ListBullet"/>
        <w:spacing w:after="40"/>
      </w:pPr>
      <w:r>
        <w:t>Formatos aceitos: XLSX e XLS.</w:t>
      </w:r>
    </w:p>
    <w:p>
      <w:pPr>
        <w:pStyle w:val="ListBullet"/>
        <w:spacing w:after="40"/>
      </w:pPr>
      <w:r>
        <w:t>Limites padrão: 20 MB, 10.000 linhas e 100 colunas.</w:t>
      </w:r>
    </w:p>
    <w:p>
      <w:pPr>
        <w:pStyle w:val="ListBullet"/>
        <w:spacing w:after="40"/>
      </w:pPr>
      <w:r>
        <w:t>A aba Dados é preferida; na ausência dela, a primeira aba é selecionada.</w:t>
      </w:r>
    </w:p>
    <w:p>
      <w:pPr>
        <w:pStyle w:val="ListBullet"/>
        <w:spacing w:after="40"/>
      </w:pPr>
      <w:r>
        <w:t>Cabeçalhos duplicados são problema estrutural e bloqueiam a importação.</w:t>
      </w:r>
    </w:p>
    <w:p>
      <w:pPr>
        <w:pStyle w:val="ListBullet"/>
        <w:spacing w:after="40"/>
      </w:pPr>
      <w:r>
        <w:t>Linha física, texto apresentado, valor bruto, fórmula e célula com erro são preservados.</w:t>
      </w:r>
    </w:p>
    <w:p>
      <w:pPr>
        <w:pStyle w:val="ListBullet"/>
        <w:spacing w:after="40"/>
      </w:pPr>
      <w:r>
        <w:t>O arquivo é analisado localmente; não há upload para serviço intermediário.</w:t>
      </w:r>
    </w:p>
    <w:p>
      <w:pPr>
        <w:pStyle w:val="Heading2"/>
      </w:pPr>
      <w:r>
        <w:t>6.2 Regras de mapeamento</w:t>
      </w:r>
    </w:p>
    <w:tbl>
      <w:tblPr>
        <w:tblW w:type="auto" w:w="0"/>
        <w:jc w:val="center"/>
        <w:tblLayout w:type="fixed"/>
        <w:tblLook w:firstColumn="1" w:firstRow="1" w:lastColumn="0" w:lastRow="0" w:noHBand="0" w:noVBand="1" w:val="04A0"/>
      </w:tblPr>
      <w:tblGrid>
        <w:gridCol w:w="4876"/>
        <w:gridCol w:w="4876"/>
      </w:tblGrid>
      <w:tr>
        <w:trPr>
          <w:tblHeader/>
          <w:cantSplit/>
        </w:trPr>
        <w:tc>
          <w:tcPr>
            <w:tcW w:type="dxa" w:w="2835"/>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6"/>
              </w:rPr>
              <w:t>Regra</w:t>
            </w:r>
          </w:p>
        </w:tc>
        <w:tc>
          <w:tcPr>
            <w:tcW w:type="dxa" w:w="6520"/>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6"/>
              </w:rPr>
              <w:t>Comportamento</w:t>
            </w:r>
          </w:p>
        </w:tc>
      </w:tr>
      <w:tr>
        <w:trPr>
          <w:cantSplit/>
        </w:trPr>
        <w:tc>
          <w:tcPr>
            <w:tcW w:type="dxa" w:w="2835"/>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Todas as colunas editáveis</w:t>
            </w:r>
          </w:p>
        </w:tc>
        <w:tc>
          <w:tcPr>
            <w:tcW w:type="dxa" w:w="6520"/>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São listadas, mesmo sem correspondência automática.</w:t>
            </w:r>
          </w:p>
        </w:tc>
      </w:tr>
      <w:tr>
        <w:trPr>
          <w:cantSplit/>
        </w:trPr>
        <w:tc>
          <w:tcPr>
            <w:tcW w:type="dxa" w:w="2835"/>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Obrigatórias</w:t>
            </w:r>
          </w:p>
        </w:tc>
        <w:tc>
          <w:tcPr>
            <w:tcW w:type="dxa" w:w="6520"/>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Recebem * e precisam de origem ou valor padrão aplicável.</w:t>
            </w:r>
          </w:p>
        </w:tc>
      </w:tr>
      <w:tr>
        <w:trPr>
          <w:cantSplit/>
        </w:trPr>
        <w:tc>
          <w:tcPr>
            <w:tcW w:type="dxa" w:w="2835"/>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Mesma origem</w:t>
            </w:r>
          </w:p>
        </w:tc>
        <w:tc>
          <w:tcPr>
            <w:tcW w:type="dxa" w:w="6520"/>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Uma coluna do Excel pode alimentar mais de um campo da lista.</w:t>
            </w:r>
          </w:p>
        </w:tc>
      </w:tr>
      <w:tr>
        <w:trPr>
          <w:cantSplit/>
        </w:trPr>
        <w:tc>
          <w:tcPr>
            <w:tcW w:type="dxa" w:w="2835"/>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Colunas extras do Excel</w:t>
            </w:r>
          </w:p>
        </w:tc>
        <w:tc>
          <w:tcPr>
            <w:tcW w:type="dxa" w:w="6520"/>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São ignoradas; extras arbitrárias geram aviso consolidado e não invalidam linhas.</w:t>
            </w:r>
          </w:p>
        </w:tc>
      </w:tr>
      <w:tr>
        <w:trPr>
          <w:cantSplit/>
        </w:trPr>
        <w:tc>
          <w:tcPr>
            <w:tcW w:type="dxa" w:w="2835"/>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Campos de exportação do SharePoint</w:t>
            </w:r>
          </w:p>
        </w:tc>
        <w:tc>
          <w:tcPr>
            <w:tcW w:type="dxa" w:w="6520"/>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Colunas de sistema/somente leitura são ignoradas silenciosamente.</w:t>
            </w:r>
          </w:p>
        </w:tc>
      </w:tr>
      <w:tr>
        <w:trPr>
          <w:cantSplit/>
        </w:trPr>
        <w:tc>
          <w:tcPr>
            <w:tcW w:type="dxa" w:w="2835"/>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Alteração de mapeamento</w:t>
            </w:r>
          </w:p>
        </w:tc>
        <w:tc>
          <w:tcPr>
            <w:tcW w:type="dxa" w:w="6520"/>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Invalida a validação anterior e exige nova validação.</w:t>
            </w:r>
          </w:p>
        </w:tc>
      </w:tr>
    </w:tbl>
    <w:p>
      <w:pPr>
        <w:spacing w:after="20"/>
      </w:pPr>
    </w:p>
    <w:p>
      <w:pPr>
        <w:pStyle w:val="Heading2"/>
      </w:pPr>
      <w:r>
        <w:t>6.3 Conversões suportadas</w:t>
      </w:r>
    </w:p>
    <w:tbl>
      <w:tblPr>
        <w:tblW w:type="auto" w:w="0"/>
        <w:jc w:val="center"/>
        <w:tblLayout w:type="fixed"/>
        <w:tblLook w:firstColumn="1" w:firstRow="1" w:lastColumn="0" w:lastRow="0" w:noHBand="0" w:noVBand="1" w:val="04A0"/>
      </w:tblPr>
      <w:tblGrid>
        <w:gridCol w:w="4876"/>
        <w:gridCol w:w="4876"/>
      </w:tblGrid>
      <w:tr>
        <w:trPr>
          <w:tblHeader/>
          <w:cantSplit/>
        </w:trPr>
        <w:tc>
          <w:tcPr>
            <w:tcW w:type="dxa" w:w="2381"/>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6"/>
              </w:rPr>
              <w:t>Tipo SharePoint</w:t>
            </w:r>
          </w:p>
        </w:tc>
        <w:tc>
          <w:tcPr>
            <w:tcW w:type="dxa" w:w="6973"/>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6"/>
              </w:rPr>
              <w:t>Entrada e regra principal</w:t>
            </w:r>
          </w:p>
        </w:tc>
      </w:tr>
      <w:tr>
        <w:trPr>
          <w:cantSplit/>
        </w:trPr>
        <w:tc>
          <w:tcPr>
            <w:tcW w:type="dxa" w:w="2381"/>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Text / Note</w:t>
            </w:r>
          </w:p>
        </w:tc>
        <w:tc>
          <w:tcPr>
            <w:tcW w:type="dxa" w:w="6973"/>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Texto; Text respeita MaxLength.</w:t>
            </w:r>
          </w:p>
        </w:tc>
      </w:tr>
      <w:tr>
        <w:trPr>
          <w:cantSplit/>
        </w:trPr>
        <w:tc>
          <w:tcPr>
            <w:tcW w:type="dxa" w:w="2381"/>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Number / Currency</w:t>
            </w:r>
          </w:p>
        </w:tc>
        <w:tc>
          <w:tcPr>
            <w:tcW w:type="dxa" w:w="6973"/>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Conversão segundo pt-BR ou en-US; formatos ambíguos não são adivinhados.</w:t>
            </w:r>
          </w:p>
        </w:tc>
      </w:tr>
      <w:tr>
        <w:trPr>
          <w:cantSplit/>
        </w:trPr>
        <w:tc>
          <w:tcPr>
            <w:tcW w:type="dxa" w:w="2381"/>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Boolean</w:t>
            </w:r>
          </w:p>
        </w:tc>
        <w:tc>
          <w:tcPr>
            <w:tcW w:type="dxa" w:w="6973"/>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Valores documentados como sim/não, true/false e 1/0.</w:t>
            </w:r>
          </w:p>
        </w:tc>
      </w:tr>
      <w:tr>
        <w:trPr>
          <w:cantSplit/>
        </w:trPr>
        <w:tc>
          <w:tcPr>
            <w:tcW w:type="dxa" w:w="2381"/>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DateTime</w:t>
            </w:r>
          </w:p>
        </w:tc>
        <w:tc>
          <w:tcPr>
            <w:tcW w:type="dxa" w:w="6973"/>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Serial Excel, ISO ou cultura escolhida; DateOnly normaliza hora técnica de exportação.</w:t>
            </w:r>
          </w:p>
        </w:tc>
      </w:tr>
      <w:tr>
        <w:trPr>
          <w:cantSplit/>
        </w:trPr>
        <w:tc>
          <w:tcPr>
            <w:tcW w:type="dxa" w:w="2381"/>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Choice / MultiChoice</w:t>
            </w:r>
          </w:p>
        </w:tc>
        <w:tc>
          <w:tcPr>
            <w:tcW w:type="dxa" w:w="6973"/>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Confere opções e FillInChoice; múltiplos valores são convertidos para o formato REST.</w:t>
            </w:r>
          </w:p>
        </w:tc>
      </w:tr>
      <w:tr>
        <w:trPr>
          <w:cantSplit/>
        </w:trPr>
        <w:tc>
          <w:tcPr>
            <w:tcW w:type="dxa" w:w="2381"/>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Lookup / LookupMulti</w:t>
            </w:r>
          </w:p>
        </w:tc>
        <w:tc>
          <w:tcPr>
            <w:tcW w:type="dxa" w:w="6973"/>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Nome único ou ID:número; ambiguidade exige ID explícito.</w:t>
            </w:r>
          </w:p>
        </w:tc>
      </w:tr>
      <w:tr>
        <w:trPr>
          <w:cantSplit/>
        </w:trPr>
        <w:tc>
          <w:tcPr>
            <w:tcW w:type="dxa" w:w="2381"/>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User / UserMulti</w:t>
            </w:r>
          </w:p>
        </w:tc>
        <w:tc>
          <w:tcPr>
            <w:tcW w:type="dxa" w:w="6973"/>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E-mail/UPN, nome visível único ou GRUPO:nome quando permitido.</w:t>
            </w:r>
          </w:p>
        </w:tc>
      </w:tr>
      <w:tr>
        <w:trPr>
          <w:cantSplit/>
        </w:trPr>
        <w:tc>
          <w:tcPr>
            <w:tcW w:type="dxa" w:w="2381"/>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Unsupported</w:t>
            </w:r>
          </w:p>
        </w:tc>
        <w:tc>
          <w:tcPr>
            <w:tcW w:type="dxa" w:w="6973"/>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Não deve ser disponibilizado como campo plenamente suportado.</w:t>
            </w:r>
          </w:p>
        </w:tc>
      </w:tr>
    </w:tbl>
    <w:p>
      <w:pPr>
        <w:spacing w:after="20"/>
      </w:pPr>
    </w:p>
    <w:p>
      <w:pPr>
        <w:pStyle w:val="Heading2"/>
      </w:pPr>
      <w:r>
        <w:t>6.4 Datas e fuso</w:t>
      </w:r>
    </w:p>
    <w:p>
      <w:r>
        <w:t>Datas sem fuso são interpretadas pela cultura escolhida e convertidas usando o fuso regional do site da lista. As funções clássicas do SharePoint são chamadas com OData verbose para evitar HTTP 406. Horários inexistentes ou ambíguos por horário de verão pedem ISO com fuso explícito. Campos somente data descartam a hora técnica adicionada por exportações do SharePoint.</w:t>
      </w:r>
    </w:p>
    <w:p>
      <w:pPr>
        <w:pStyle w:val="Heading2"/>
      </w:pPr>
      <w:r>
        <w:t>6.5 Erros, avisos e contagens</w:t>
      </w:r>
    </w:p>
    <w:p>
      <w:r>
        <w:t>Erros estruturais usam linha 0 e impedem qualquer importação. Erros de dados carregam a linha física e o campo. O painel conta linhas válidas e inválidas, pois uma linha pode conter vários erros. A grade mostra ocorrências de forma paginada; a exportação contém o conjunto completo.</w:t>
      </w:r>
    </w:p>
    <w:p>
      <w:r>
        <w:br w:type="page"/>
      </w:r>
    </w:p>
    <w:p>
      <w:pPr>
        <w:pStyle w:val="Heading1"/>
      </w:pPr>
      <w:r>
        <w:t>7. Resolução de referências</w:t>
      </w:r>
    </w:p>
    <w:tbl>
      <w:tblPr>
        <w:tblW w:type="auto" w:w="0"/>
        <w:jc w:val="center"/>
        <w:tblLayout w:type="fixed"/>
        <w:tblLook w:firstColumn="1" w:firstRow="1" w:lastColumn="0" w:lastRow="0" w:noHBand="0" w:noVBand="1" w:val="04A0"/>
      </w:tblPr>
      <w:tblGrid>
        <w:gridCol w:w="3251"/>
        <w:gridCol w:w="3251"/>
        <w:gridCol w:w="3251"/>
      </w:tblGrid>
      <w:tr>
        <w:trPr>
          <w:tblHeader/>
          <w:cantSplit/>
        </w:trPr>
        <w:tc>
          <w:tcPr>
            <w:tcW w:type="dxa" w:w="1984"/>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6"/>
              </w:rPr>
              <w:t>Campo</w:t>
            </w:r>
          </w:p>
        </w:tc>
        <w:tc>
          <w:tcPr>
            <w:tcW w:type="dxa" w:w="2551"/>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6"/>
              </w:rPr>
              <w:t>Formato preferido</w:t>
            </w:r>
          </w:p>
        </w:tc>
        <w:tc>
          <w:tcPr>
            <w:tcW w:type="dxa" w:w="4819"/>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6"/>
              </w:rPr>
              <w:t>Validação</w:t>
            </w:r>
          </w:p>
        </w:tc>
      </w:tr>
      <w:tr>
        <w:trPr>
          <w:cantSplit/>
        </w:trPr>
        <w:tc>
          <w:tcPr>
            <w:tcW w:type="dxa" w:w="1984"/>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Lookup</w:t>
            </w:r>
          </w:p>
        </w:tc>
        <w:tc>
          <w:tcPr>
            <w:tcW w:type="dxa" w:w="2551"/>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ID:123</w:t>
            </w:r>
          </w:p>
        </w:tc>
        <w:tc>
          <w:tcPr>
            <w:tcW w:type="dxa" w:w="4819"/>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Confirma que o item existe na lista relacionada.</w:t>
            </w:r>
          </w:p>
        </w:tc>
      </w:tr>
      <w:tr>
        <w:trPr>
          <w:cantSplit/>
        </w:trPr>
        <w:tc>
          <w:tcPr>
            <w:tcW w:type="dxa" w:w="1984"/>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Lookup por texto</w:t>
            </w:r>
          </w:p>
        </w:tc>
        <w:tc>
          <w:tcPr>
            <w:tcW w:type="dxa" w:w="2551"/>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Nome exibido</w:t>
            </w:r>
          </w:p>
        </w:tc>
        <w:tc>
          <w:tcPr>
            <w:tcW w:type="dxa" w:w="4819"/>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Aceito somente quando encontra exatamente um item.</w:t>
            </w:r>
          </w:p>
        </w:tc>
      </w:tr>
      <w:tr>
        <w:trPr>
          <w:cantSplit/>
        </w:trPr>
        <w:tc>
          <w:tcPr>
            <w:tcW w:type="dxa" w:w="1984"/>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Pessoa</w:t>
            </w:r>
          </w:p>
        </w:tc>
        <w:tc>
          <w:tcPr>
            <w:tcW w:type="dxa" w:w="2551"/>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e-mail ou UPN</w:t>
            </w:r>
          </w:p>
        </w:tc>
        <w:tc>
          <w:tcPr>
            <w:tcW w:type="dxa" w:w="4819"/>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web/ensureuser valida/resgata o principal no site.</w:t>
            </w:r>
          </w:p>
        </w:tc>
      </w:tr>
      <w:tr>
        <w:trPr>
          <w:cantSplit/>
        </w:trPr>
        <w:tc>
          <w:tcPr>
            <w:tcW w:type="dxa" w:w="1984"/>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Pessoa por nome</w:t>
            </w:r>
          </w:p>
        </w:tc>
        <w:tc>
          <w:tcPr>
            <w:tcW w:type="dxa" w:w="2551"/>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Nome visível</w:t>
            </w:r>
          </w:p>
        </w:tc>
        <w:tc>
          <w:tcPr>
            <w:tcW w:type="dxa" w:w="4819"/>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Pesquisa siteusers; exige correspondência única.</w:t>
            </w:r>
          </w:p>
        </w:tc>
      </w:tr>
      <w:tr>
        <w:trPr>
          <w:cantSplit/>
        </w:trPr>
        <w:tc>
          <w:tcPr>
            <w:tcW w:type="dxa" w:w="1984"/>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Grupo</w:t>
            </w:r>
          </w:p>
        </w:tc>
        <w:tc>
          <w:tcPr>
            <w:tcW w:type="dxa" w:w="2551"/>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GRUPO:Nome do grupo</w:t>
            </w:r>
          </w:p>
        </w:tc>
        <w:tc>
          <w:tcPr>
            <w:tcW w:type="dxa" w:w="4819"/>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Permitido apenas quando a configuração do campo aceita grupo.</w:t>
            </w:r>
          </w:p>
        </w:tc>
      </w:tr>
      <w:tr>
        <w:trPr>
          <w:cantSplit/>
        </w:trPr>
        <w:tc>
          <w:tcPr>
            <w:tcW w:type="dxa" w:w="1984"/>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Grupo restrito</w:t>
            </w:r>
          </w:p>
        </w:tc>
        <w:tc>
          <w:tcPr>
            <w:tcW w:type="dxa" w:w="2551"/>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Pessoa válida</w:t>
            </w:r>
          </w:p>
        </w:tc>
        <w:tc>
          <w:tcPr>
            <w:tcW w:type="dxa" w:w="4819"/>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Confirma associação ao grupo configurado no campo.</w:t>
            </w:r>
          </w:p>
        </w:tc>
      </w:tr>
    </w:tbl>
    <w:p>
      <w:pPr>
        <w:spacing w:after="20"/>
      </w:pPr>
    </w:p>
    <w:p>
      <w:pPr>
        <w:pStyle w:val="Heading2"/>
      </w:pPr>
      <w:r>
        <w:t>7.1 Cache e volume</w:t>
      </w:r>
    </w:p>
    <w:p>
      <w:r>
        <w:t>ValidationService reúne valores distintos antes de percorrer as linhas. Assim, a mesma pessoa, grupo ou lookup é resolvido uma vez por execução, reduzindo chamadas. O template limita opções de lookup a 5.000 valores por padrão e sinaliza truncamento.</w:t>
      </w:r>
    </w:p>
    <w:p>
      <w:pPr>
        <w:pStyle w:val="Heading2"/>
      </w:pPr>
      <w:r>
        <w:t>7.2 Limites deliberados</w:t>
      </w:r>
    </w:p>
    <w:p>
      <w:pPr>
        <w:pStyle w:val="ListBullet"/>
        <w:spacing w:after="40"/>
      </w:pPr>
      <w:r>
        <w:t>A solução não enumera todo o Entra ID. Pessoas são validadas pelo SharePoint do site.</w:t>
      </w:r>
    </w:p>
    <w:p>
      <w:pPr>
        <w:pStyle w:val="ListBullet"/>
        <w:spacing w:after="40"/>
      </w:pPr>
      <w:r>
        <w:t>Nome visível duplicado é rejeitado; o usuário deve informar e-mail ou UPN.</w:t>
      </w:r>
    </w:p>
    <w:p>
      <w:pPr>
        <w:pStyle w:val="ListBullet"/>
        <w:spacing w:after="40"/>
      </w:pPr>
      <w:r>
        <w:t>Texto de lookup duplicado é rejeitado; deve-se usar ID:número.</w:t>
      </w:r>
    </w:p>
    <w:p>
      <w:pPr>
        <w:pStyle w:val="ListBullet"/>
        <w:spacing w:after="40"/>
      </w:pPr>
      <w:r>
        <w:t>O fato de uma pessoa existir no diretório não garante que ela satisfaça a restrição de grupo do campo.</w:t>
      </w:r>
    </w:p>
    <w:p>
      <w:pPr>
        <w:pStyle w:val="Heading2"/>
      </w:pPr>
      <w:r>
        <w:t>7.3 Política de duplicidade</w:t>
      </w:r>
    </w:p>
    <w:p>
      <w:r>
        <w:t>A validação local detecta duplicidade dentro do arquivo somente para campos cujo schema informa EnforceUniqueValues. A existência prévia na lista é decidida pelo SharePoint na gravação. Listas sem coluna única podem receber linhas iguais; se isso for indesejado, configure unicidade na coluna correta ou implemente uma regra de negócio explícita.</w:t>
      </w:r>
    </w:p>
    <w:tbl>
      <w:tblPr>
        <w:tblW w:type="auto" w:w="0"/>
        <w:jc w:val="center"/>
        <w:tblLook w:firstColumn="1" w:firstRow="1" w:lastColumn="0" w:lastRow="0" w:noHBand="0" w:noVBand="1" w:val="04A0"/>
      </w:tblPr>
      <w:tblGrid>
        <w:gridCol w:w="9752"/>
      </w:tblGrid>
      <w:tr>
        <w:trPr>
          <w:cantSplit/>
        </w:trPr>
        <w:tc>
          <w:tcPr>
            <w:tcW w:type="dxa" w:w="9752"/>
            <w:shd w:fill="FFF1CC"/>
            <w:tcBorders>
              <w:top w:val="single" w:sz="8" w:color="075E54"/>
              <w:left w:val="single" w:sz="8" w:color="075E54"/>
              <w:bottom w:val="single" w:sz="8" w:color="075E54"/>
              <w:right w:val="single" w:sz="8" w:color="075E54"/>
              <w:insideH w:val="single" w:sz="8" w:color="075E54"/>
              <w:insideV w:val="single" w:sz="8" w:color="075E54"/>
            </w:tcBorders>
          </w:tcPr>
          <w:p>
            <w:pPr>
              <w:spacing w:after="60"/>
            </w:pPr>
            <w:r/>
            <w:r>
              <w:rPr>
                <w:rFonts w:ascii="Aptos" w:hAnsi="Aptos"/>
                <w:b/>
                <w:color w:val="111111"/>
                <w:sz w:val="20"/>
              </w:rPr>
              <w:t>Cuidado com reenvio</w:t>
            </w:r>
          </w:p>
          <w:p>
            <w:pPr>
              <w:spacing w:after="0"/>
            </w:pPr>
            <w:r>
              <w:rPr>
                <w:rFonts w:ascii="Aptos" w:hAnsi="Aptos"/>
                <w:sz w:val="18"/>
              </w:rPr>
              <w:t>Uma linha com resultado desconhecido pode ter sido criada mesmo sem resposta utilizável. Antes de reenviar, pesquise a lista por uma chave de negócio. A aplicação não repete automaticamente esse caso para reduzir duplicidades.</w:t>
            </w:r>
          </w:p>
        </w:tc>
      </w:tr>
    </w:tbl>
    <w:p>
      <w:pPr>
        <w:spacing w:after="20"/>
      </w:pPr>
    </w:p>
    <w:p>
      <w:r>
        <w:br w:type="page"/>
      </w:r>
    </w:p>
    <w:p>
      <w:pPr>
        <w:pStyle w:val="Heading1"/>
      </w:pPr>
      <w:r>
        <w:t>8. Transporte e semântica de importação</w:t>
      </w:r>
    </w:p>
    <w:p>
      <w:pPr>
        <w:pStyle w:val="Heading2"/>
      </w:pPr>
      <w:r>
        <w:t>8.1 Preparação</w:t>
      </w:r>
    </w:p>
    <w:p>
      <w:pPr>
        <w:spacing w:after="40"/>
        <w:ind w:left="312" w:hanging="255"/>
      </w:pPr>
      <w:r>
        <w:rPr>
          <w:b/>
        </w:rPr>
        <w:t xml:space="preserve">1. </w:t>
      </w:r>
      <w:r>
        <w:t>Confirma que não há outra execução ativa na instância do serviço.</w:t>
      </w:r>
    </w:p>
    <w:p>
      <w:pPr>
        <w:spacing w:after="40"/>
        <w:ind w:left="312" w:hanging="255"/>
      </w:pPr>
      <w:r>
        <w:rPr>
          <w:b/>
        </w:rPr>
        <w:t xml:space="preserve">2. </w:t>
      </w:r>
      <w:r>
        <w:t>Recarrega o schema da lista e compara schemaVersion com o snapshot validado.</w:t>
      </w:r>
    </w:p>
    <w:p>
      <w:pPr>
        <w:spacing w:after="40"/>
        <w:ind w:left="312" w:hanging="255"/>
      </w:pPr>
      <w:r>
        <w:rPr>
          <w:b/>
        </w:rPr>
        <w:t xml:space="preserve">3. </w:t>
      </w:r>
      <w:r>
        <w:t>Confirma canAdd e bloqueia quando o SharePoint informa ausência de inclusão.</w:t>
      </w:r>
    </w:p>
    <w:p>
      <w:pPr>
        <w:spacing w:after="40"/>
        <w:ind w:left="312" w:hanging="255"/>
      </w:pPr>
      <w:r>
        <w:rPr>
          <w:b/>
        </w:rPr>
        <w:t xml:space="preserve">4. </w:t>
      </w:r>
      <w:r>
        <w:t>Se auditSiteUrl estiver preenchida, verifica a lista de auditoria.</w:t>
      </w:r>
    </w:p>
    <w:p>
      <w:pPr>
        <w:spacing w:after="40"/>
        <w:ind w:left="312" w:hanging="255"/>
      </w:pPr>
      <w:r>
        <w:rPr>
          <w:b/>
        </w:rPr>
        <w:t xml:space="preserve">5. </w:t>
      </w:r>
      <w:r>
        <w:t>Seleciona todas as linhas ou somente as válidas, conforme a opção do usuário.</w:t>
      </w:r>
    </w:p>
    <w:p>
      <w:pPr>
        <w:pStyle w:val="Heading2"/>
      </w:pPr>
      <w:r>
        <w:t>8.2 Envio direto e em lote</w:t>
      </w:r>
    </w:p>
    <w:tbl>
      <w:tblPr>
        <w:tblW w:type="auto" w:w="0"/>
        <w:jc w:val="center"/>
        <w:tblLayout w:type="fixed"/>
        <w:tblLook w:firstColumn="1" w:firstRow="1" w:lastColumn="0" w:lastRow="0" w:noHBand="0" w:noVBand="1" w:val="04A0"/>
      </w:tblPr>
      <w:tblGrid>
        <w:gridCol w:w="3251"/>
        <w:gridCol w:w="3251"/>
        <w:gridCol w:w="3251"/>
      </w:tblGrid>
      <w:tr>
        <w:trPr>
          <w:tblHeader/>
          <w:cantSplit/>
        </w:trPr>
        <w:tc>
          <w:tcPr>
            <w:tcW w:type="dxa" w:w="1701"/>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6"/>
              </w:rPr>
              <w:t>Cenário</w:t>
            </w:r>
          </w:p>
        </w:tc>
        <w:tc>
          <w:tcPr>
            <w:tcW w:type="dxa" w:w="2835"/>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6"/>
              </w:rPr>
              <w:t>Transporte</w:t>
            </w:r>
          </w:p>
        </w:tc>
        <w:tc>
          <w:tcPr>
            <w:tcW w:type="dxa" w:w="4819"/>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6"/>
              </w:rPr>
              <w:t>Confirmação</w:t>
            </w:r>
          </w:p>
        </w:tc>
      </w:tr>
      <w:tr>
        <w:trPr>
          <w:cantSplit/>
        </w:trPr>
        <w:tc>
          <w:tcPr>
            <w:tcW w:type="dxa" w:w="1701"/>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1 linha</w:t>
            </w:r>
          </w:p>
        </w:tc>
        <w:tc>
          <w:tcPr>
            <w:tcW w:type="dxa" w:w="2835"/>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POST direto em /items</w:t>
            </w:r>
          </w:p>
        </w:tc>
        <w:tc>
          <w:tcPr>
            <w:tcW w:type="dxa" w:w="4819"/>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Aceita sucesso com JSON, corpo vazio ou identificadores nos cabeçalhos Location/OData-EntityId.</w:t>
            </w:r>
          </w:p>
        </w:tc>
      </w:tr>
      <w:tr>
        <w:trPr>
          <w:cantSplit/>
        </w:trPr>
        <w:tc>
          <w:tcPr>
            <w:tcW w:type="dxa" w:w="1701"/>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2 ou mais linhas</w:t>
            </w:r>
          </w:p>
        </w:tc>
        <w:tc>
          <w:tcPr>
            <w:tcW w:type="dxa" w:w="2835"/>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POST em /$batch</w:t>
            </w:r>
          </w:p>
        </w:tc>
        <w:tc>
          <w:tcPr>
            <w:tcW w:type="dxa" w:w="4819"/>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Cada item usa changeset próprio e Content-ID para correlação.</w:t>
            </w:r>
          </w:p>
        </w:tc>
      </w:tr>
      <w:tr>
        <w:trPr>
          <w:cantSplit/>
        </w:trPr>
        <w:tc>
          <w:tcPr>
            <w:tcW w:type="dxa" w:w="1701"/>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Erro estruturado</w:t>
            </w:r>
          </w:p>
        </w:tc>
        <w:tc>
          <w:tcPr>
            <w:tcW w:type="dxa" w:w="2835"/>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Resposta HTTP individual</w:t>
            </w:r>
          </w:p>
        </w:tc>
        <w:tc>
          <w:tcPr>
            <w:tcW w:type="dxa" w:w="4819"/>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failed com HTTP e mensagem do SharePoint.</w:t>
            </w:r>
          </w:p>
        </w:tc>
      </w:tr>
      <w:tr>
        <w:trPr>
          <w:cantSplit/>
        </w:trPr>
        <w:tc>
          <w:tcPr>
            <w:tcW w:type="dxa" w:w="1701"/>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Resposta ausente/opaca</w:t>
            </w:r>
          </w:p>
        </w:tc>
        <w:tc>
          <w:tcPr>
            <w:tcW w:type="dxa" w:w="2835"/>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Sem resultado correlacionável</w:t>
            </w:r>
          </w:p>
        </w:tc>
        <w:tc>
          <w:tcPr>
            <w:tcW w:type="dxa" w:w="4819"/>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unknown; processamento é interrompido e não há retry automático.</w:t>
            </w:r>
          </w:p>
        </w:tc>
      </w:tr>
    </w:tbl>
    <w:p>
      <w:pPr>
        <w:spacing w:after="20"/>
      </w:pPr>
    </w:p>
    <w:p>
      <w:pPr>
        <w:pStyle w:val="Heading2"/>
      </w:pPr>
      <w:r>
        <w:t>8.3 Repetição e throttling</w:t>
      </w:r>
    </w:p>
    <w:p>
      <w:r>
        <w:t>Somente falhas confirmadas por HTTP 429 ou 503 são elegíveis à repetição automática, respeitando Retry-After e o limite padrão de duas tentativas. Leitura REST também pode ser repetida. POST cujo resultado seja desconhecido não é repetido.</w:t>
      </w:r>
    </w:p>
    <w:p>
      <w:pPr>
        <w:pStyle w:val="Heading2"/>
      </w:pPr>
      <w:r>
        <w:t>8.4 Interrupção</w:t>
      </w:r>
    </w:p>
    <w:p>
      <w:r>
        <w:t>O comando de parar não cancela solicitações já enviadas. O estado stop é verificado entre lotes, e as linhas restantes ficam pending. Recarregar ou fechar a página perde o estado local da execução.</w:t>
      </w:r>
    </w:p>
    <w:p>
      <w:pPr>
        <w:pStyle w:val="Heading2"/>
      </w:pPr>
      <w:r>
        <w:t>8.5 Resultado final</w:t>
      </w:r>
    </w:p>
    <w:tbl>
      <w:tblPr>
        <w:tblW w:type="auto" w:w="0"/>
        <w:jc w:val="center"/>
        <w:tblLayout w:type="fixed"/>
        <w:tblLook w:firstColumn="1" w:firstRow="1" w:lastColumn="0" w:lastRow="0" w:noHBand="0" w:noVBand="1" w:val="04A0"/>
      </w:tblPr>
      <w:tblGrid>
        <w:gridCol w:w="4876"/>
        <w:gridCol w:w="4876"/>
      </w:tblGrid>
      <w:tr>
        <w:trPr>
          <w:tblHeader/>
          <w:cantSplit/>
        </w:trPr>
        <w:tc>
          <w:tcPr>
            <w:tcW w:type="dxa" w:w="2835"/>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6"/>
              </w:rPr>
              <w:t>Status agregado</w:t>
            </w:r>
          </w:p>
        </w:tc>
        <w:tc>
          <w:tcPr>
            <w:tcW w:type="dxa" w:w="6520"/>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6"/>
              </w:rPr>
              <w:t>Condição típica</w:t>
            </w:r>
          </w:p>
        </w:tc>
      </w:tr>
      <w:tr>
        <w:trPr>
          <w:cantSplit/>
        </w:trPr>
        <w:tc>
          <w:tcPr>
            <w:tcW w:type="dxa" w:w="2835"/>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Importado</w:t>
            </w:r>
          </w:p>
        </w:tc>
        <w:tc>
          <w:tcPr>
            <w:tcW w:type="dxa" w:w="6520"/>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Todas as linhas enviadas foram confirmadas.</w:t>
            </w:r>
          </w:p>
        </w:tc>
      </w:tr>
      <w:tr>
        <w:trPr>
          <w:cantSplit/>
        </w:trPr>
        <w:tc>
          <w:tcPr>
            <w:tcW w:type="dxa" w:w="2835"/>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Parcial</w:t>
            </w:r>
          </w:p>
        </w:tc>
        <w:tc>
          <w:tcPr>
            <w:tcW w:type="dxa" w:w="6520"/>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Há confirmações e falhas ou linhas ignoradas.</w:t>
            </w:r>
          </w:p>
        </w:tc>
      </w:tr>
      <w:tr>
        <w:trPr>
          <w:cantSplit/>
        </w:trPr>
        <w:tc>
          <w:tcPr>
            <w:tcW w:type="dxa" w:w="2835"/>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Falhou</w:t>
            </w:r>
          </w:p>
        </w:tc>
        <w:tc>
          <w:tcPr>
            <w:tcW w:type="dxa" w:w="6520"/>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Nenhuma linha foi criada e há falhas confirmadas.</w:t>
            </w:r>
          </w:p>
        </w:tc>
      </w:tr>
      <w:tr>
        <w:trPr>
          <w:cantSplit/>
        </w:trPr>
        <w:tc>
          <w:tcPr>
            <w:tcW w:type="dxa" w:w="2835"/>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Interrompido</w:t>
            </w:r>
          </w:p>
        </w:tc>
        <w:tc>
          <w:tcPr>
            <w:tcW w:type="dxa" w:w="6520"/>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Usuário pediu parada e restaram linhas pending.</w:t>
            </w:r>
          </w:p>
        </w:tc>
      </w:tr>
      <w:tr>
        <w:trPr>
          <w:cantSplit/>
        </w:trPr>
        <w:tc>
          <w:tcPr>
            <w:tcW w:type="dxa" w:w="2835"/>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Resultado desconhecido</w:t>
            </w:r>
          </w:p>
        </w:tc>
        <w:tc>
          <w:tcPr>
            <w:tcW w:type="dxa" w:w="6520"/>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Existe pelo menos uma linha sem confirmação conclusiva.</w:t>
            </w:r>
          </w:p>
        </w:tc>
      </w:tr>
    </w:tbl>
    <w:p>
      <w:pPr>
        <w:spacing w:after="20"/>
      </w:pPr>
    </w:p>
    <w:p>
      <w:r>
        <w:br w:type="page"/>
      </w:r>
    </w:p>
    <w:p>
      <w:pPr>
        <w:pStyle w:val="Heading1"/>
      </w:pPr>
      <w:r>
        <w:t>9. Configuração administrativa</w:t>
      </w:r>
    </w:p>
    <w:p>
      <w:r>
        <w:t>Nenhuma propriedade é necessária para importar no site atual ou em uma lista encontrada pelo índice. Sites adicionais e auditoria são opcionais.</w:t>
      </w:r>
    </w:p>
    <w:tbl>
      <w:tblPr>
        <w:tblW w:type="auto" w:w="0"/>
        <w:jc w:val="center"/>
        <w:tblLayout w:type="fixed"/>
        <w:tblLook w:firstColumn="1" w:firstRow="1" w:lastColumn="0" w:lastRow="0" w:noHBand="0" w:noVBand="1" w:val="04A0"/>
      </w:tblPr>
      <w:tblGrid>
        <w:gridCol w:w="3251"/>
        <w:gridCol w:w="3251"/>
        <w:gridCol w:w="3251"/>
      </w:tblGrid>
      <w:tr>
        <w:trPr>
          <w:tblHeader/>
          <w:cantSplit/>
        </w:trPr>
        <w:tc>
          <w:tcPr>
            <w:tcW w:type="dxa" w:w="2438"/>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6"/>
              </w:rPr>
              <w:t>Propriedade</w:t>
            </w:r>
          </w:p>
        </w:tc>
        <w:tc>
          <w:tcPr>
            <w:tcW w:type="dxa" w:w="1417"/>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6"/>
              </w:rPr>
              <w:t>Padrão</w:t>
            </w:r>
          </w:p>
        </w:tc>
        <w:tc>
          <w:tcPr>
            <w:tcW w:type="dxa" w:w="5499"/>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6"/>
              </w:rPr>
              <w:t>Descrição</w:t>
            </w:r>
          </w:p>
        </w:tc>
      </w:tr>
      <w:tr>
        <w:trPr>
          <w:cantSplit/>
        </w:trPr>
        <w:tc>
          <w:tcPr>
            <w:tcW w:type="dxa" w:w="2438"/>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sites</w:t>
            </w:r>
          </w:p>
        </w:tc>
        <w:tc>
          <w:tcPr>
            <w:tcW w:type="dxa" w:w="1417"/>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w:t>
            </w:r>
          </w:p>
        </w:tc>
        <w:tc>
          <w:tcPr>
            <w:tcW w:type="dxa" w:w="5499"/>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JSON com sites adicionais para busca direta quando o índice ainda não retornar a lista.</w:t>
            </w:r>
          </w:p>
        </w:tc>
      </w:tr>
      <w:tr>
        <w:trPr>
          <w:cantSplit/>
        </w:trPr>
        <w:tc>
          <w:tcPr>
            <w:tcW w:type="dxa" w:w="2438"/>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auditSiteUrl</w:t>
            </w:r>
          </w:p>
        </w:tc>
        <w:tc>
          <w:tcPr>
            <w:tcW w:type="dxa" w:w="1417"/>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vazio</w:t>
            </w:r>
          </w:p>
        </w:tc>
        <w:tc>
          <w:tcPr>
            <w:tcW w:type="dxa" w:w="5499"/>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Site da lista ImportacoesSharePoint. Vazio desativa auditoria central.</w:t>
            </w:r>
          </w:p>
        </w:tc>
      </w:tr>
      <w:tr>
        <w:trPr>
          <w:cantSplit/>
        </w:trPr>
        <w:tc>
          <w:tcPr>
            <w:tcW w:type="dxa" w:w="2438"/>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demoMode</w:t>
            </w:r>
          </w:p>
        </w:tc>
        <w:tc>
          <w:tcPr>
            <w:tcW w:type="dxa" w:w="1417"/>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false</w:t>
            </w:r>
          </w:p>
        </w:tc>
        <w:tc>
          <w:tcPr>
            <w:tcW w:type="dxa" w:w="5499"/>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Troca SharePointGateway por DemoGateway; nunca grava dados reais.</w:t>
            </w:r>
          </w:p>
        </w:tc>
      </w:tr>
      <w:tr>
        <w:trPr>
          <w:cantSplit/>
        </w:trPr>
        <w:tc>
          <w:tcPr>
            <w:tcW w:type="dxa" w:w="2438"/>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maxRows</w:t>
            </w:r>
          </w:p>
        </w:tc>
        <w:tc>
          <w:tcPr>
            <w:tcW w:type="dxa" w:w="1417"/>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10.000</w:t>
            </w:r>
          </w:p>
        </w:tc>
        <w:tc>
          <w:tcPr>
            <w:tcW w:type="dxa" w:w="5499"/>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Limite de linhas da aba.</w:t>
            </w:r>
          </w:p>
        </w:tc>
      </w:tr>
      <w:tr>
        <w:trPr>
          <w:cantSplit/>
        </w:trPr>
        <w:tc>
          <w:tcPr>
            <w:tcW w:type="dxa" w:w="2438"/>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maxColumns</w:t>
            </w:r>
          </w:p>
        </w:tc>
        <w:tc>
          <w:tcPr>
            <w:tcW w:type="dxa" w:w="1417"/>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100</w:t>
            </w:r>
          </w:p>
        </w:tc>
        <w:tc>
          <w:tcPr>
            <w:tcW w:type="dxa" w:w="5499"/>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Limite de colunas da aba.</w:t>
            </w:r>
          </w:p>
        </w:tc>
      </w:tr>
      <w:tr>
        <w:trPr>
          <w:cantSplit/>
        </w:trPr>
        <w:tc>
          <w:tcPr>
            <w:tcW w:type="dxa" w:w="2438"/>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maxFileMb</w:t>
            </w:r>
          </w:p>
        </w:tc>
        <w:tc>
          <w:tcPr>
            <w:tcW w:type="dxa" w:w="1417"/>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20</w:t>
            </w:r>
          </w:p>
        </w:tc>
        <w:tc>
          <w:tcPr>
            <w:tcW w:type="dxa" w:w="5499"/>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Limite do arquivo selecionado.</w:t>
            </w:r>
          </w:p>
        </w:tc>
      </w:tr>
      <w:tr>
        <w:trPr>
          <w:cantSplit/>
        </w:trPr>
        <w:tc>
          <w:tcPr>
            <w:tcW w:type="dxa" w:w="2438"/>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batchSize</w:t>
            </w:r>
          </w:p>
        </w:tc>
        <w:tc>
          <w:tcPr>
            <w:tcW w:type="dxa" w:w="1417"/>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50</w:t>
            </w:r>
          </w:p>
        </w:tc>
        <w:tc>
          <w:tcPr>
            <w:tcW w:type="dxa" w:w="5499"/>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Número de itens processados por grupo lógico.</w:t>
            </w:r>
          </w:p>
        </w:tc>
      </w:tr>
      <w:tr>
        <w:trPr>
          <w:cantSplit/>
        </w:trPr>
        <w:tc>
          <w:tcPr>
            <w:tcW w:type="dxa" w:w="2438"/>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templateLookupLimit</w:t>
            </w:r>
          </w:p>
        </w:tc>
        <w:tc>
          <w:tcPr>
            <w:tcW w:type="dxa" w:w="1417"/>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5.000</w:t>
            </w:r>
          </w:p>
        </w:tc>
        <w:tc>
          <w:tcPr>
            <w:tcW w:type="dxa" w:w="5499"/>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Limite interno das opções de lookup no template.</w:t>
            </w:r>
          </w:p>
        </w:tc>
      </w:tr>
      <w:tr>
        <w:trPr>
          <w:cantSplit/>
        </w:trPr>
        <w:tc>
          <w:tcPr>
            <w:tcW w:type="dxa" w:w="2438"/>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maxRetries</w:t>
            </w:r>
          </w:p>
        </w:tc>
        <w:tc>
          <w:tcPr>
            <w:tcW w:type="dxa" w:w="1417"/>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2</w:t>
            </w:r>
          </w:p>
        </w:tc>
        <w:tc>
          <w:tcPr>
            <w:tcW w:type="dxa" w:w="5499"/>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Repetições automáticas para 429/503 confirmados.</w:t>
            </w:r>
          </w:p>
        </w:tc>
      </w:tr>
      <w:tr>
        <w:trPr>
          <w:cantSplit/>
        </w:trPr>
        <w:tc>
          <w:tcPr>
            <w:tcW w:type="dxa" w:w="2438"/>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concurrency</w:t>
            </w:r>
          </w:p>
        </w:tc>
        <w:tc>
          <w:tcPr>
            <w:tcW w:type="dxa" w:w="1417"/>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3</w:t>
            </w:r>
          </w:p>
        </w:tc>
        <w:tc>
          <w:tcPr>
            <w:tcW w:type="dxa" w:w="5499"/>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Concorrência de consultas auxiliares.</w:t>
            </w:r>
          </w:p>
        </w:tc>
      </w:tr>
    </w:tbl>
    <w:p>
      <w:pPr>
        <w:spacing w:after="20"/>
      </w:pPr>
    </w:p>
    <w:p>
      <w:pPr>
        <w:pStyle w:val="Heading2"/>
      </w:pPr>
      <w:r>
        <w:t>9.1 Exemplo de sites adicionais</w:t>
      </w:r>
    </w:p>
    <w:p>
      <w:pPr>
        <w:spacing w:before="40" w:after="80"/>
        <w:ind w:left="198" w:right="198"/>
        <w:shd w:fill="EEF1F4"/>
      </w:pPr>
      <w:r>
        <w:rPr>
          <w:rFonts w:ascii="Cascadia Mono" w:hAnsi="Cascadia Mono"/>
          <w:sz w:val="16"/>
        </w:rPr>
        <w:t>[{"name":"Projetos","url":"https://contoso.sharepoint.com/sites/projetos"}]</w:t>
      </w:r>
    </w:p>
    <w:p>
      <w:r>
        <w:t>Sites adicionais não limitam a pesquisa indexada e não fixam o destino. A lista selecionada sempre fornece seu próprio siteUrl.</w:t>
      </w:r>
    </w:p>
    <w:p>
      <w:pPr>
        <w:pStyle w:val="Heading2"/>
      </w:pPr>
      <w:r>
        <w:t>9.2 Auditoria central opcional</w:t>
      </w:r>
    </w:p>
    <w:p>
      <w:r>
        <w:t>Quando configurada, AuditService usa a lista ImportacoesSharePoint. O script provision/Provision-AuditList.ps1 cria a estrutura prevista. Quando auditSiteUrl fica vazio, checkAudit e audit não são pré-requisitos funcionais; a autoria e a data nativas dos itens continuam disponíveis no SharePoint.</w:t>
      </w:r>
    </w:p>
    <w:tbl>
      <w:tblPr>
        <w:tblW w:type="auto" w:w="0"/>
        <w:jc w:val="center"/>
        <w:tblLayout w:type="fixed"/>
        <w:tblLook w:firstColumn="1" w:firstRow="1" w:lastColumn="0" w:lastRow="0" w:noHBand="0" w:noVBand="1" w:val="04A0"/>
      </w:tblPr>
      <w:tblGrid>
        <w:gridCol w:w="4876"/>
        <w:gridCol w:w="4876"/>
      </w:tblGrid>
      <w:tr>
        <w:trPr>
          <w:tblHeader/>
          <w:cantSplit/>
        </w:trPr>
        <w:tc>
          <w:tcPr>
            <w:tcW w:type="dxa" w:w="3402"/>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6"/>
              </w:rPr>
              <w:t>Dado de auditoria</w:t>
            </w:r>
          </w:p>
        </w:tc>
        <w:tc>
          <w:tcPr>
            <w:tcW w:type="dxa" w:w="5953"/>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6"/>
              </w:rPr>
              <w:t>Origem</w:t>
            </w:r>
          </w:p>
        </w:tc>
      </w:tr>
      <w:tr>
        <w:trPr>
          <w:cantSplit/>
        </w:trPr>
        <w:tc>
          <w:tcPr>
            <w:tcW w:type="dxa" w:w="3402"/>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ExecutionId / EventId / Status</w:t>
            </w:r>
          </w:p>
        </w:tc>
        <w:tc>
          <w:tcPr>
            <w:tcW w:type="dxa" w:w="5953"/>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ImportService</w:t>
            </w:r>
          </w:p>
        </w:tc>
      </w:tr>
      <w:tr>
        <w:trPr>
          <w:cantSplit/>
        </w:trPr>
        <w:tc>
          <w:tcPr>
            <w:tcW w:type="dxa" w:w="3402"/>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Lista e site</w:t>
            </w:r>
          </w:p>
        </w:tc>
        <w:tc>
          <w:tcPr>
            <w:tcW w:type="dxa" w:w="5953"/>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ListReference selecionado</w:t>
            </w:r>
          </w:p>
        </w:tc>
      </w:tr>
      <w:tr>
        <w:trPr>
          <w:cantSplit/>
        </w:trPr>
        <w:tc>
          <w:tcPr>
            <w:tcW w:type="dxa" w:w="3402"/>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Arquivo e totais</w:t>
            </w:r>
          </w:p>
        </w:tc>
        <w:tc>
          <w:tcPr>
            <w:tcW w:type="dxa" w:w="5953"/>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Execução corrente</w:t>
            </w:r>
          </w:p>
        </w:tc>
      </w:tr>
      <w:tr>
        <w:trPr>
          <w:cantSplit/>
        </w:trPr>
        <w:tc>
          <w:tcPr>
            <w:tcW w:type="dxa" w:w="3402"/>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Created / Created By</w:t>
            </w:r>
          </w:p>
        </w:tc>
        <w:tc>
          <w:tcPr>
            <w:tcW w:type="dxa" w:w="5953"/>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Campos nativos do SharePoint</w:t>
            </w:r>
          </w:p>
        </w:tc>
      </w:tr>
    </w:tbl>
    <w:p>
      <w:pPr>
        <w:spacing w:after="20"/>
      </w:pPr>
    </w:p>
    <w:p>
      <w:r>
        <w:br w:type="page"/>
      </w:r>
    </w:p>
    <w:p>
      <w:pPr>
        <w:pStyle w:val="Heading1"/>
      </w:pPr>
      <w:r>
        <w:t>10. Ambiente de desenvolvimento</w:t>
      </w:r>
    </w:p>
    <w:p>
      <w:pPr>
        <w:pStyle w:val="Heading2"/>
      </w:pPr>
      <w:r>
        <w:t>10.1 Pré-requisitos</w:t>
      </w:r>
    </w:p>
    <w:tbl>
      <w:tblPr>
        <w:tblW w:type="auto" w:w="0"/>
        <w:jc w:val="center"/>
        <w:tblLayout w:type="fixed"/>
        <w:tblLook w:firstColumn="1" w:firstRow="1" w:lastColumn="0" w:lastRow="0" w:noHBand="0" w:noVBand="1" w:val="04A0"/>
      </w:tblPr>
      <w:tblGrid>
        <w:gridCol w:w="4876"/>
        <w:gridCol w:w="4876"/>
      </w:tblGrid>
      <w:tr>
        <w:trPr>
          <w:tblHeader/>
          <w:cantSplit/>
        </w:trPr>
        <w:tc>
          <w:tcPr>
            <w:tcW w:type="dxa" w:w="2835"/>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6"/>
              </w:rPr>
              <w:t>Item</w:t>
            </w:r>
          </w:p>
        </w:tc>
        <w:tc>
          <w:tcPr>
            <w:tcW w:type="dxa" w:w="6520"/>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6"/>
              </w:rPr>
              <w:t>Versão/requisito</w:t>
            </w:r>
          </w:p>
        </w:tc>
      </w:tr>
      <w:tr>
        <w:trPr>
          <w:cantSplit/>
        </w:trPr>
        <w:tc>
          <w:tcPr>
            <w:tcW w:type="dxa" w:w="2835"/>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Node.js</w:t>
            </w:r>
          </w:p>
        </w:tc>
        <w:tc>
          <w:tcPr>
            <w:tcW w:type="dxa" w:w="6520"/>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&gt;= 22.14.0 e &lt; 23.0.0</w:t>
            </w:r>
          </w:p>
        </w:tc>
      </w:tr>
      <w:tr>
        <w:trPr>
          <w:cantSplit/>
        </w:trPr>
        <w:tc>
          <w:tcPr>
            <w:tcW w:type="dxa" w:w="2835"/>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npm</w:t>
            </w:r>
          </w:p>
        </w:tc>
        <w:tc>
          <w:tcPr>
            <w:tcW w:type="dxa" w:w="6520"/>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Compatível com o Node definido pelo projeto</w:t>
            </w:r>
          </w:p>
        </w:tc>
      </w:tr>
      <w:tr>
        <w:trPr>
          <w:cantSplit/>
        </w:trPr>
        <w:tc>
          <w:tcPr>
            <w:tcW w:type="dxa" w:w="2835"/>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SharePoint Framework</w:t>
            </w:r>
          </w:p>
        </w:tc>
        <w:tc>
          <w:tcPr>
            <w:tcW w:type="dxa" w:w="6520"/>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1.23.2</w:t>
            </w:r>
          </w:p>
        </w:tc>
      </w:tr>
      <w:tr>
        <w:trPr>
          <w:cantSplit/>
        </w:trPr>
        <w:tc>
          <w:tcPr>
            <w:tcW w:type="dxa" w:w="2835"/>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Navegador</w:t>
            </w:r>
          </w:p>
        </w:tc>
        <w:tc>
          <w:tcPr>
            <w:tcW w:type="dxa" w:w="6520"/>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Sessão autenticada no tenant para workbench hospedado</w:t>
            </w:r>
          </w:p>
        </w:tc>
      </w:tr>
      <w:tr>
        <w:trPr>
          <w:cantSplit/>
        </w:trPr>
        <w:tc>
          <w:tcPr>
            <w:tcW w:type="dxa" w:w="2835"/>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Permissão</w:t>
            </w:r>
          </w:p>
        </w:tc>
        <w:tc>
          <w:tcPr>
            <w:tcW w:type="dxa" w:w="6520"/>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Leitura para teste de schema; inclusão para teste real</w:t>
            </w:r>
          </w:p>
        </w:tc>
      </w:tr>
    </w:tbl>
    <w:p>
      <w:pPr>
        <w:spacing w:after="20"/>
      </w:pPr>
    </w:p>
    <w:p>
      <w:pPr>
        <w:pStyle w:val="Heading2"/>
      </w:pPr>
      <w:r>
        <w:t>10.2 Dependências diretas</w:t>
      </w:r>
    </w:p>
    <w:tbl>
      <w:tblPr>
        <w:tblW w:type="auto" w:w="0"/>
        <w:jc w:val="center"/>
        <w:tblLayout w:type="fixed"/>
        <w:tblLook w:firstColumn="1" w:firstRow="1" w:lastColumn="0" w:lastRow="0" w:noHBand="0" w:noVBand="1" w:val="04A0"/>
      </w:tblPr>
      <w:tblGrid>
        <w:gridCol w:w="3251"/>
        <w:gridCol w:w="3251"/>
        <w:gridCol w:w="3251"/>
      </w:tblGrid>
      <w:tr>
        <w:trPr>
          <w:tblHeader/>
          <w:cantSplit/>
        </w:trPr>
        <w:tc>
          <w:tcPr>
            <w:tcW w:type="dxa" w:w="3118"/>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6"/>
              </w:rPr>
              <w:t>Pacote</w:t>
            </w:r>
          </w:p>
        </w:tc>
        <w:tc>
          <w:tcPr>
            <w:tcW w:type="dxa" w:w="1701"/>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6"/>
              </w:rPr>
              <w:t>Versão</w:t>
            </w:r>
          </w:p>
        </w:tc>
        <w:tc>
          <w:tcPr>
            <w:tcW w:type="dxa" w:w="4535"/>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6"/>
              </w:rPr>
              <w:t>Uso</w:t>
            </w:r>
          </w:p>
        </w:tc>
      </w:tr>
      <w:tr>
        <w:trPr>
          <w:cantSplit/>
        </w:trPr>
        <w:tc>
          <w:tcPr>
            <w:tcW w:type="dxa" w:w="3118"/>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React / React DOM</w:t>
            </w:r>
          </w:p>
        </w:tc>
        <w:tc>
          <w:tcPr>
            <w:tcW w:type="dxa" w:w="1701"/>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17.0.1</w:t>
            </w:r>
          </w:p>
        </w:tc>
        <w:tc>
          <w:tcPr>
            <w:tcW w:type="dxa" w:w="4535"/>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Interface da web part</w:t>
            </w:r>
          </w:p>
        </w:tc>
      </w:tr>
      <w:tr>
        <w:trPr>
          <w:cantSplit/>
        </w:trPr>
        <w:tc>
          <w:tcPr>
            <w:tcW w:type="dxa" w:w="3118"/>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Fluent UI React</w:t>
            </w:r>
          </w:p>
        </w:tc>
        <w:tc>
          <w:tcPr>
            <w:tcW w:type="dxa" w:w="1701"/>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8.125.5</w:t>
            </w:r>
          </w:p>
        </w:tc>
        <w:tc>
          <w:tcPr>
            <w:tcW w:type="dxa" w:w="4535"/>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Controles visuais</w:t>
            </w:r>
          </w:p>
        </w:tc>
      </w:tr>
      <w:tr>
        <w:trPr>
          <w:cantSplit/>
        </w:trPr>
        <w:tc>
          <w:tcPr>
            <w:tcW w:type="dxa" w:w="3118"/>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@microsoft/sp-*</w:t>
            </w:r>
          </w:p>
        </w:tc>
        <w:tc>
          <w:tcPr>
            <w:tcW w:type="dxa" w:w="1701"/>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1.23.2</w:t>
            </w:r>
          </w:p>
        </w:tc>
        <w:tc>
          <w:tcPr>
            <w:tcW w:type="dxa" w:w="4535"/>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Runtime e build SPFx</w:t>
            </w:r>
          </w:p>
        </w:tc>
      </w:tr>
      <w:tr>
        <w:trPr>
          <w:cantSplit/>
        </w:trPr>
        <w:tc>
          <w:tcPr>
            <w:tcW w:type="dxa" w:w="3118"/>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@pnp/sp</w:t>
            </w:r>
          </w:p>
        </w:tc>
        <w:tc>
          <w:tcPr>
            <w:tcW w:type="dxa" w:w="1701"/>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4.17.0</w:t>
            </w:r>
          </w:p>
        </w:tc>
        <w:tc>
          <w:tcPr>
            <w:tcW w:type="dxa" w:w="4535"/>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Leitura de metadados com contexto SPFx</w:t>
            </w:r>
          </w:p>
        </w:tc>
      </w:tr>
      <w:tr>
        <w:trPr>
          <w:cantSplit/>
        </w:trPr>
        <w:tc>
          <w:tcPr>
            <w:tcW w:type="dxa" w:w="3118"/>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xlsx (SheetJS CE)</w:t>
            </w:r>
          </w:p>
        </w:tc>
        <w:tc>
          <w:tcPr>
            <w:tcW w:type="dxa" w:w="1701"/>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0.20.3</w:t>
            </w:r>
          </w:p>
        </w:tc>
        <w:tc>
          <w:tcPr>
            <w:tcW w:type="dxa" w:w="4535"/>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Leitura e geração de XLSX/XLS</w:t>
            </w:r>
          </w:p>
        </w:tc>
      </w:tr>
      <w:tr>
        <w:trPr>
          <w:cantSplit/>
        </w:trPr>
        <w:tc>
          <w:tcPr>
            <w:tcW w:type="dxa" w:w="3118"/>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TypeScript</w:t>
            </w:r>
          </w:p>
        </w:tc>
        <w:tc>
          <w:tcPr>
            <w:tcW w:type="dxa" w:w="1701"/>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5.8.3</w:t>
            </w:r>
          </w:p>
        </w:tc>
        <w:tc>
          <w:tcPr>
            <w:tcW w:type="dxa" w:w="4535"/>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Compilação e tipos</w:t>
            </w:r>
          </w:p>
        </w:tc>
      </w:tr>
      <w:tr>
        <w:trPr>
          <w:cantSplit/>
        </w:trPr>
        <w:tc>
          <w:tcPr>
            <w:tcW w:type="dxa" w:w="3118"/>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tsx</w:t>
            </w:r>
          </w:p>
        </w:tc>
        <w:tc>
          <w:tcPr>
            <w:tcW w:type="dxa" w:w="1701"/>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4.20.6</w:t>
            </w:r>
          </w:p>
        </w:tc>
        <w:tc>
          <w:tcPr>
            <w:tcW w:type="dxa" w:w="4535"/>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Execução dos testes Node</w:t>
            </w:r>
          </w:p>
        </w:tc>
      </w:tr>
    </w:tbl>
    <w:p>
      <w:pPr>
        <w:spacing w:after="20"/>
      </w:pPr>
    </w:p>
    <w:p>
      <w:pPr>
        <w:pStyle w:val="Heading2"/>
      </w:pPr>
      <w:r>
        <w:t>10.3 Comandos de rotina</w:t>
      </w:r>
    </w:p>
    <w:p>
      <w:pPr>
        <w:spacing w:before="40" w:after="80"/>
        <w:ind w:left="198" w:right="198"/>
        <w:shd w:fill="EEF1F4"/>
      </w:pPr>
      <w:r>
        <w:rPr>
          <w:rFonts w:ascii="Cascadia Mono" w:hAnsi="Cascadia Mono"/>
          <w:sz w:val="16"/>
        </w:rPr>
        <w:t>./scripts/npm.ps1 install</w:t>
        <w:br/>
        <w:t>./scripts/npm.ps1 run typecheck</w:t>
        <w:br/>
        <w:t>./scripts/npm.ps1 test</w:t>
        <w:br/>
        <w:t>./scripts/npm.ps1 run build</w:t>
        <w:br/>
        <w:t>./scripts/start-local.ps1</w:t>
      </w:r>
    </w:p>
    <w:p>
      <w:r>
        <w:t>O build executa compilação limpa de produção e package-solution. O pacote final deve aparecer em sharepoint/solution/importador-spfx.sppkg.</w:t>
      </w:r>
    </w:p>
    <w:p>
      <w:pPr>
        <w:pStyle w:val="Heading2"/>
      </w:pPr>
      <w:r>
        <w:t>10.4 Execução local</w:t>
      </w:r>
    </w:p>
    <w:p>
      <w:r>
        <w:t>O servidor local fornece os manifests de depuração em https://localhost:4321/temp/build/manifests.js. A interface real é carregada no workbench hospedado do SharePoint com o parâmetro debugManifestsFile. O modo demo permite validar a experiência sem gravar; o modo real usa a identidade e as listas do tenant.</w:t>
      </w:r>
    </w:p>
    <w:p>
      <w:r>
        <w:br w:type="page"/>
      </w:r>
    </w:p>
    <w:p>
      <w:pPr>
        <w:pStyle w:val="Heading1"/>
      </w:pPr>
      <w:r>
        <w:t>11. Testes e critérios de aceite</w:t>
      </w:r>
    </w:p>
    <w:p>
      <w:pPr>
        <w:pStyle w:val="Heading2"/>
      </w:pPr>
      <w:r>
        <w:t>11.1 Cobertura automatizada existente</w:t>
      </w:r>
    </w:p>
    <w:tbl>
      <w:tblPr>
        <w:tblW w:type="auto" w:w="0"/>
        <w:jc w:val="center"/>
        <w:tblLayout w:type="fixed"/>
        <w:tblLook w:firstColumn="1" w:firstRow="1" w:lastColumn="0" w:lastRow="0" w:noHBand="0" w:noVBand="1" w:val="04A0"/>
      </w:tblPr>
      <w:tblGrid>
        <w:gridCol w:w="4876"/>
        <w:gridCol w:w="4876"/>
      </w:tblGrid>
      <w:tr>
        <w:trPr>
          <w:tblHeader/>
          <w:cantSplit/>
        </w:trPr>
        <w:tc>
          <w:tcPr>
            <w:tcW w:type="dxa" w:w="3118"/>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6"/>
              </w:rPr>
              <w:t>Arquivo</w:t>
            </w:r>
          </w:p>
        </w:tc>
        <w:tc>
          <w:tcPr>
            <w:tcW w:type="dxa" w:w="6236"/>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6"/>
              </w:rPr>
              <w:t>Cobertura principal</w:t>
            </w:r>
          </w:p>
        </w:tc>
      </w:tr>
      <w:tr>
        <w:trPr>
          <w:cantSplit/>
        </w:trPr>
        <w:tc>
          <w:tcPr>
            <w:tcW w:type="dxa" w:w="3118"/>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conversions.test.ts</w:t>
            </w:r>
          </w:p>
        </w:tc>
        <w:tc>
          <w:tcPr>
            <w:tcW w:type="dxa" w:w="6236"/>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Culturas numéricas, booleanos, datas, serial 1900 e data-only exportada.</w:t>
            </w:r>
          </w:p>
        </w:tc>
      </w:tr>
      <w:tr>
        <w:trPr>
          <w:cantSplit/>
        </w:trPr>
        <w:tc>
          <w:tcPr>
            <w:tcW w:type="dxa" w:w="3118"/>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excel.test.ts</w:t>
            </w:r>
          </w:p>
        </w:tc>
        <w:tc>
          <w:tcPr>
            <w:tcW w:type="dxa" w:w="6236"/>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Cabeçalhos duplicados, linha física e fórmulas.</w:t>
            </w:r>
          </w:p>
        </w:tc>
      </w:tr>
      <w:tr>
        <w:trPr>
          <w:cantSplit/>
        </w:trPr>
        <w:tc>
          <w:tcPr>
            <w:tcW w:type="dxa" w:w="3118"/>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validation.test.ts</w:t>
            </w:r>
          </w:p>
        </w:tc>
        <w:tc>
          <w:tcPr>
            <w:tcW w:type="dxa" w:w="6236"/>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Payload, Choice, pessoa, extras, mapeamento removido/reutilizado.</w:t>
            </w:r>
          </w:p>
        </w:tc>
      </w:tr>
      <w:tr>
        <w:trPr>
          <w:cantSplit/>
        </w:trPr>
        <w:tc>
          <w:tcPr>
            <w:tcW w:type="dxa" w:w="3118"/>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reference.test.ts</w:t>
            </w:r>
          </w:p>
        </w:tc>
        <w:tc>
          <w:tcPr>
            <w:tcW w:type="dxa" w:w="6236"/>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OData verbose, datas do SharePoint, pessoa única e ambígua.</w:t>
            </w:r>
          </w:p>
        </w:tc>
      </w:tr>
      <w:tr>
        <w:trPr>
          <w:cantSplit/>
        </w:trPr>
        <w:tc>
          <w:tcPr>
            <w:tcW w:type="dxa" w:w="3118"/>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search.test.ts</w:t>
            </w:r>
          </w:p>
        </w:tc>
        <w:tc>
          <w:tcPr>
            <w:tcW w:type="dxa" w:w="6236"/>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Recuperação de site pelo Path do resultado de busca.</w:t>
            </w:r>
          </w:p>
        </w:tc>
      </w:tr>
      <w:tr>
        <w:trPr>
          <w:cantSplit/>
        </w:trPr>
        <w:tc>
          <w:tcPr>
            <w:tcW w:type="dxa" w:w="3118"/>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batch.test.ts</w:t>
            </w:r>
          </w:p>
        </w:tc>
        <w:tc>
          <w:tcPr>
            <w:tcW w:type="dxa" w:w="6236"/>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Content-ID, resposta ausente, erro estruturado e POST de uma linha.</w:t>
            </w:r>
          </w:p>
        </w:tc>
      </w:tr>
      <w:tr>
        <w:trPr>
          <w:cantSplit/>
        </w:trPr>
        <w:tc>
          <w:tcPr>
            <w:tcW w:type="dxa" w:w="3118"/>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import.test.ts</w:t>
            </w:r>
          </w:p>
        </w:tc>
        <w:tc>
          <w:tcPr>
            <w:tcW w:type="dxa" w:w="6236"/>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Schema, auditoria opcional, unknown, validOnly e erro estrutural.</w:t>
            </w:r>
          </w:p>
        </w:tc>
      </w:tr>
      <w:tr>
        <w:trPr>
          <w:cantSplit/>
        </w:trPr>
        <w:tc>
          <w:tcPr>
            <w:tcW w:type="dxa" w:w="3118"/>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validation-presentation.test.ts</w:t>
            </w:r>
          </w:p>
        </w:tc>
        <w:tc>
          <w:tcPr>
            <w:tcW w:type="dxa" w:w="6236"/>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Mensagem acionável por linha e erro estrutural.</w:t>
            </w:r>
          </w:p>
        </w:tc>
      </w:tr>
    </w:tbl>
    <w:p>
      <w:pPr>
        <w:spacing w:after="20"/>
      </w:pPr>
    </w:p>
    <w:p>
      <w:pPr>
        <w:pStyle w:val="Heading2"/>
      </w:pPr>
      <w:r>
        <w:t>11.2 Homologação mínima no tenant</w:t>
      </w:r>
    </w:p>
    <w:p>
      <w:pPr>
        <w:spacing w:after="40"/>
        <w:ind w:left="312" w:hanging="255"/>
      </w:pPr>
      <w:r>
        <w:rPr>
          <w:b/>
        </w:rPr>
        <w:t xml:space="preserve">1. </w:t>
      </w:r>
      <w:r>
        <w:t>Instalar 1.0.0.10 no App Catalog e confirmar que a página carregou os assets da nova versão.</w:t>
      </w:r>
    </w:p>
    <w:p>
      <w:pPr>
        <w:spacing w:after="40"/>
        <w:ind w:left="312" w:hanging="255"/>
      </w:pPr>
      <w:r>
        <w:rPr>
          <w:b/>
        </w:rPr>
        <w:t xml:space="preserve">2. </w:t>
      </w:r>
      <w:r>
        <w:t>Importar uma única linha válida e confirmar o novo item na lista e no arquivo Resultado da importação.</w:t>
      </w:r>
    </w:p>
    <w:p>
      <w:pPr>
        <w:spacing w:after="40"/>
        <w:ind w:left="312" w:hanging="255"/>
      </w:pPr>
      <w:r>
        <w:rPr>
          <w:b/>
        </w:rPr>
        <w:t xml:space="preserve">3. </w:t>
      </w:r>
      <w:r>
        <w:t>Importar duas ou mais linhas para exercer o caminho $batch e conferir cada ID/linha.</w:t>
      </w:r>
    </w:p>
    <w:p>
      <w:pPr>
        <w:spacing w:after="40"/>
        <w:ind w:left="312" w:hanging="255"/>
      </w:pPr>
      <w:r>
        <w:rPr>
          <w:b/>
        </w:rPr>
        <w:t xml:space="preserve">4. </w:t>
      </w:r>
      <w:r>
        <w:t>Repetir com uma linha inválida no servidor para conferir HTTP e mensagem no log da tela.</w:t>
      </w:r>
    </w:p>
    <w:p>
      <w:pPr>
        <w:spacing w:after="40"/>
        <w:ind w:left="312" w:hanging="255"/>
      </w:pPr>
      <w:r>
        <w:rPr>
          <w:b/>
        </w:rPr>
        <w:t xml:space="preserve">5. </w:t>
      </w:r>
      <w:r>
        <w:t>Testar pessoa por e-mail/UPN, pessoa por nome visível único, lookup por ID e Choice com novo valor permitido.</w:t>
      </w:r>
    </w:p>
    <w:p>
      <w:pPr>
        <w:spacing w:after="40"/>
        <w:ind w:left="312" w:hanging="255"/>
      </w:pPr>
      <w:r>
        <w:rPr>
          <w:b/>
        </w:rPr>
        <w:t xml:space="preserve">6. </w:t>
      </w:r>
      <w:r>
        <w:t>Testar data-only exportada, data/hora pt-BR e data/hora com ISO e fuso explícito.</w:t>
      </w:r>
    </w:p>
    <w:p>
      <w:pPr>
        <w:spacing w:after="40"/>
        <w:ind w:left="312" w:hanging="255"/>
      </w:pPr>
      <w:r>
        <w:rPr>
          <w:b/>
        </w:rPr>
        <w:t xml:space="preserve">7. </w:t>
      </w:r>
      <w:r>
        <w:t>Testar uma conta com inclusão, uma somente leitura e uma sem acesso.</w:t>
      </w:r>
    </w:p>
    <w:p>
      <w:pPr>
        <w:spacing w:after="40"/>
        <w:ind w:left="312" w:hanging="255"/>
      </w:pPr>
      <w:r>
        <w:rPr>
          <w:b/>
        </w:rPr>
        <w:t xml:space="preserve">8. </w:t>
      </w:r>
      <w:r>
        <w:t>Testar somente linhas válidas, interrupção após lote, exportação de erros e exportação de resultado.</w:t>
      </w:r>
    </w:p>
    <w:p>
      <w:pPr>
        <w:spacing w:after="40"/>
        <w:ind w:left="312" w:hanging="255"/>
      </w:pPr>
      <w:r>
        <w:rPr>
          <w:b/>
        </w:rPr>
        <w:t xml:space="preserve">9. </w:t>
      </w:r>
      <w:r>
        <w:t>Se houver auditoria central, validar eventos; se estiver desativada, confirmar que a importação continua normalmente.</w:t>
      </w:r>
    </w:p>
    <w:p>
      <w:pPr>
        <w:pStyle w:val="Heading2"/>
      </w:pPr>
      <w:r>
        <w:t>11.3 Evidência de homologação da 1.0.0.10</w:t>
      </w:r>
    </w:p>
    <w:tbl>
      <w:tblPr>
        <w:tblW w:type="auto" w:w="0"/>
        <w:jc w:val="center"/>
        <w:tblLook w:firstColumn="1" w:firstRow="1" w:lastColumn="0" w:lastRow="0" w:noHBand="0" w:noVBand="1" w:val="04A0"/>
      </w:tblPr>
      <w:tblGrid>
        <w:gridCol w:w="9752"/>
      </w:tblGrid>
      <w:tr>
        <w:trPr>
          <w:cantSplit/>
        </w:trPr>
        <w:tc>
          <w:tcPr>
            <w:tcW w:type="dxa" w:w="9752"/>
            <w:shd w:fill="DDEFEA"/>
            <w:tcBorders>
              <w:top w:val="single" w:sz="8" w:color="075E54"/>
              <w:left w:val="single" w:sz="8" w:color="075E54"/>
              <w:bottom w:val="single" w:sz="8" w:color="075E54"/>
              <w:right w:val="single" w:sz="8" w:color="075E54"/>
              <w:insideH w:val="single" w:sz="8" w:color="075E54"/>
              <w:insideV w:val="single" w:sz="8" w:color="075E54"/>
            </w:tcBorders>
          </w:tcPr>
          <w:p>
            <w:pPr>
              <w:spacing w:after="60"/>
            </w:pPr>
            <w:r/>
            <w:r>
              <w:rPr>
                <w:rFonts w:ascii="Aptos" w:hAnsi="Aptos"/>
                <w:b/>
                <w:color w:val="111111"/>
                <w:sz w:val="20"/>
              </w:rPr>
              <w:t>Aceite registrado</w:t>
            </w:r>
          </w:p>
          <w:p>
            <w:pPr>
              <w:spacing w:after="0"/>
            </w:pPr>
            <w:r>
              <w:rPr>
                <w:rFonts w:ascii="Aptos" w:hAnsi="Aptos"/>
                <w:sz w:val="18"/>
              </w:rPr>
              <w:t>O solicitante confirmou que a versão 1.0.0.10 importou corretamente no tenant. O detalhe dos cenários executados não está anexado ao repositório; por isso, alterações futuras no transporte devem repetir explicitamente POST direto e $batch, com itens verificáveis na lista e resultado rastreável por linha.</w:t>
            </w:r>
          </w:p>
        </w:tc>
      </w:tr>
    </w:tbl>
    <w:p>
      <w:pPr>
        <w:spacing w:after="20"/>
      </w:pPr>
    </w:p>
    <w:p>
      <w:pPr>
        <w:pStyle w:val="Heading2"/>
      </w:pPr>
      <w:r>
        <w:t>11.4 Testes de desempenho</w:t>
      </w:r>
    </w:p>
    <w:p>
      <w:r>
        <w:t>O limite de 10.000 linhas e 100 colunas é uma meta configurada, não uma evidência de desempenho homologado. Meça tempo, memória, throttling e experiência no Teams com volumes representativos antes de tratá-lo como SLA.</w:t>
      </w:r>
    </w:p>
    <w:p>
      <w:r>
        <w:br w:type="page"/>
      </w:r>
    </w:p>
    <w:p>
      <w:pPr>
        <w:pStyle w:val="Heading1"/>
      </w:pPr>
      <w:r>
        <w:t>12. Publicação, atualização e reversão</w:t>
      </w:r>
    </w:p>
    <w:p>
      <w:pPr>
        <w:pStyle w:val="Heading2"/>
      </w:pPr>
      <w:r>
        <w:t>12.1 Preparação de release</w:t>
      </w:r>
    </w:p>
    <w:p>
      <w:pPr>
        <w:spacing w:after="40"/>
        <w:ind w:left="312" w:hanging="255"/>
      </w:pPr>
      <w:r>
        <w:rPr>
          <w:b/>
        </w:rPr>
        <w:t xml:space="preserve">1. </w:t>
      </w:r>
      <w:r>
        <w:t>Atualize a versão da solução e da feature em config/package-solution.json.</w:t>
      </w:r>
    </w:p>
    <w:p>
      <w:pPr>
        <w:spacing w:after="40"/>
        <w:ind w:left="312" w:hanging="255"/>
      </w:pPr>
      <w:r>
        <w:rPr>
          <w:b/>
        </w:rPr>
        <w:t xml:space="preserve">2. </w:t>
      </w:r>
      <w:r>
        <w:t>Execute typecheck, testes e build de produção.</w:t>
      </w:r>
    </w:p>
    <w:p>
      <w:pPr>
        <w:spacing w:after="40"/>
        <w:ind w:left="312" w:hanging="255"/>
      </w:pPr>
      <w:r>
        <w:rPr>
          <w:b/>
        </w:rPr>
        <w:t xml:space="preserve">3. </w:t>
      </w:r>
      <w:r>
        <w:t>Registre a versão, data, SHA-256, mudanças, riscos e evidências em docs/TESTES.md ou changelog institucional.</w:t>
      </w:r>
    </w:p>
    <w:p>
      <w:pPr>
        <w:spacing w:after="40"/>
        <w:ind w:left="312" w:hanging="255"/>
      </w:pPr>
      <w:r>
        <w:rPr>
          <w:b/>
        </w:rPr>
        <w:t xml:space="preserve">4. </w:t>
      </w:r>
      <w:r>
        <w:t>Guarde o pacote anterior e faça a publicação primeiro em grupo piloto.</w:t>
      </w:r>
    </w:p>
    <w:p>
      <w:pPr>
        <w:pStyle w:val="Heading2"/>
      </w:pPr>
      <w:r>
        <w:t>12.2 Publicação no App Catalog</w:t>
      </w:r>
    </w:p>
    <w:p>
      <w:pPr>
        <w:spacing w:after="40"/>
        <w:ind w:left="312" w:hanging="255"/>
      </w:pPr>
      <w:r>
        <w:rPr>
          <w:b/>
        </w:rPr>
        <w:t xml:space="preserve">1. </w:t>
      </w:r>
      <w:r>
        <w:t>Abra Apps for SharePoint no App Catalog do tenant.</w:t>
      </w:r>
    </w:p>
    <w:p>
      <w:pPr>
        <w:spacing w:after="40"/>
        <w:ind w:left="312" w:hanging="255"/>
      </w:pPr>
      <w:r>
        <w:rPr>
          <w:b/>
        </w:rPr>
        <w:t xml:space="preserve">2. </w:t>
      </w:r>
      <w:r>
        <w:t>Carregue sharepoint/solution/importador-spfx.sppkg e confirme a substituição da versão anterior.</w:t>
      </w:r>
    </w:p>
    <w:p>
      <w:pPr>
        <w:spacing w:after="40"/>
        <w:ind w:left="312" w:hanging="255"/>
      </w:pPr>
      <w:r>
        <w:rPr>
          <w:b/>
        </w:rPr>
        <w:t xml:space="preserve">3. </w:t>
      </w:r>
      <w:r>
        <w:t>Revise nome, versão e escopo. O pacote não pede consentimento adicional de API.</w:t>
      </w:r>
    </w:p>
    <w:p>
      <w:pPr>
        <w:spacing w:after="40"/>
        <w:ind w:left="312" w:hanging="255"/>
      </w:pPr>
      <w:r>
        <w:rPr>
          <w:b/>
        </w:rPr>
        <w:t xml:space="preserve">4. </w:t>
      </w:r>
      <w:r>
        <w:t>Habilite a solução segundo a política interna e aguarde a propagação dos assets.</w:t>
      </w:r>
    </w:p>
    <w:p>
      <w:pPr>
        <w:spacing w:after="40"/>
        <w:ind w:left="312" w:hanging="255"/>
      </w:pPr>
      <w:r>
        <w:rPr>
          <w:b/>
        </w:rPr>
        <w:t xml:space="preserve">5. </w:t>
      </w:r>
      <w:r>
        <w:t>Abra uma página piloto, remova e adicione novamente a web part se houver cache persistente, e confira a versão em execução.</w:t>
      </w:r>
    </w:p>
    <w:p>
      <w:pPr>
        <w:pStyle w:val="Heading2"/>
      </w:pPr>
      <w:r>
        <w:t>12.3 Teams</w:t>
      </w:r>
    </w:p>
    <w:p>
      <w:r>
        <w:t>Quando necessário, selecione a solução no App Catalog e use Sincronizar com o Teams. Homologue separadamente guia, aplicativo pessoal ou página inteira, pois contexto, cache e altura disponível podem diferir do SharePoint.</w:t>
      </w:r>
    </w:p>
    <w:p>
      <w:pPr>
        <w:pStyle w:val="Heading2"/>
      </w:pPr>
      <w:r>
        <w:t>12.4 Reversão</w:t>
      </w:r>
    </w:p>
    <w:p>
      <w:r>
        <w:t>Restaure o pacote anterior pelo processo do App Catalog e valide a página piloto. A reversão do código não remove itens já criados nem eventos de auditoria. Se o incidente envolver duplicidade ou gravação parcial, trate os dados separadamente com evidência por linha.</w:t>
      </w:r>
    </w:p>
    <w:p>
      <w:pPr>
        <w:pStyle w:val="Heading2"/>
      </w:pPr>
      <w:r>
        <w:t>12.5 Controle de versão</w:t>
      </w:r>
    </w:p>
    <w:tbl>
      <w:tblPr>
        <w:tblW w:type="auto" w:w="0"/>
        <w:jc w:val="center"/>
        <w:tblLayout w:type="fixed"/>
        <w:tblLook w:firstColumn="1" w:firstRow="1" w:lastColumn="0" w:lastRow="0" w:noHBand="0" w:noVBand="1" w:val="04A0"/>
      </w:tblPr>
      <w:tblGrid>
        <w:gridCol w:w="3251"/>
        <w:gridCol w:w="3251"/>
        <w:gridCol w:w="3251"/>
      </w:tblGrid>
      <w:tr>
        <w:trPr>
          <w:tblHeader/>
          <w:cantSplit/>
        </w:trPr>
        <w:tc>
          <w:tcPr>
            <w:tcW w:type="dxa" w:w="3005"/>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6"/>
              </w:rPr>
              <w:t>Mudança</w:t>
            </w:r>
          </w:p>
        </w:tc>
        <w:tc>
          <w:tcPr>
            <w:tcW w:type="dxa" w:w="1814"/>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6"/>
              </w:rPr>
              <w:t>Exige nova versão?</w:t>
            </w:r>
          </w:p>
        </w:tc>
        <w:tc>
          <w:tcPr>
            <w:tcW w:type="dxa" w:w="4535"/>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6"/>
              </w:rPr>
              <w:t>Validação mínima</w:t>
            </w:r>
          </w:p>
        </w:tc>
      </w:tr>
      <w:tr>
        <w:trPr>
          <w:cantSplit/>
        </w:trPr>
        <w:tc>
          <w:tcPr>
            <w:tcW w:type="dxa" w:w="3005"/>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Código, dependência ou manifesto</w:t>
            </w:r>
          </w:p>
        </w:tc>
        <w:tc>
          <w:tcPr>
            <w:tcW w:type="dxa" w:w="1814"/>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Sim</w:t>
            </w:r>
          </w:p>
        </w:tc>
        <w:tc>
          <w:tcPr>
            <w:tcW w:type="dxa" w:w="4535"/>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Testes, build, pacote e tenant piloto</w:t>
            </w:r>
          </w:p>
        </w:tc>
      </w:tr>
      <w:tr>
        <w:trPr>
          <w:cantSplit/>
        </w:trPr>
        <w:tc>
          <w:tcPr>
            <w:tcW w:type="dxa" w:w="3005"/>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Somente documentação</w:t>
            </w:r>
          </w:p>
        </w:tc>
        <w:tc>
          <w:tcPr>
            <w:tcW w:type="dxa" w:w="1814"/>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Não para o sppkg</w:t>
            </w:r>
          </w:p>
        </w:tc>
        <w:tc>
          <w:tcPr>
            <w:tcW w:type="dxa" w:w="4535"/>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Revisão técnica</w:t>
            </w:r>
          </w:p>
        </w:tc>
      </w:tr>
      <w:tr>
        <w:trPr>
          <w:cantSplit/>
        </w:trPr>
        <w:tc>
          <w:tcPr>
            <w:tcW w:type="dxa" w:w="3005"/>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Propriedade administrativa</w:t>
            </w:r>
          </w:p>
        </w:tc>
        <w:tc>
          <w:tcPr>
            <w:tcW w:type="dxa" w:w="1814"/>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Sim se houver código/schema</w:t>
            </w:r>
          </w:p>
        </w:tc>
        <w:tc>
          <w:tcPr>
            <w:tcW w:type="dxa" w:w="4535"/>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Migração de valor e página existente</w:t>
            </w:r>
          </w:p>
        </w:tc>
      </w:tr>
      <w:tr>
        <w:trPr>
          <w:cantSplit/>
        </w:trPr>
        <w:tc>
          <w:tcPr>
            <w:tcW w:type="dxa" w:w="3005"/>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Lista de auditoria</w:t>
            </w:r>
          </w:p>
        </w:tc>
        <w:tc>
          <w:tcPr>
            <w:tcW w:type="dxa" w:w="1814"/>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Depende</w:t>
            </w:r>
          </w:p>
        </w:tc>
        <w:tc>
          <w:tcPr>
            <w:tcW w:type="dxa" w:w="4535"/>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Provisionamento e compatibilidade dos campos</w:t>
            </w:r>
          </w:p>
        </w:tc>
      </w:tr>
    </w:tbl>
    <w:p>
      <w:pPr>
        <w:spacing w:after="20"/>
      </w:pPr>
    </w:p>
    <w:p>
      <w:r>
        <w:br w:type="page"/>
      </w:r>
    </w:p>
    <w:p>
      <w:pPr>
        <w:pStyle w:val="Heading1"/>
      </w:pPr>
      <w:r>
        <w:t>13. Runbook de diagnóstico</w:t>
      </w:r>
    </w:p>
    <w:tbl>
      <w:tblPr>
        <w:tblW w:type="auto" w:w="0"/>
        <w:jc w:val="center"/>
        <w:tblLayout w:type="fixed"/>
        <w:tblLook w:firstColumn="1" w:firstRow="1" w:lastColumn="0" w:lastRow="0" w:noHBand="0" w:noVBand="1" w:val="04A0"/>
      </w:tblPr>
      <w:tblGrid>
        <w:gridCol w:w="3251"/>
        <w:gridCol w:w="3251"/>
        <w:gridCol w:w="3251"/>
      </w:tblGrid>
      <w:tr>
        <w:trPr>
          <w:tblHeader/>
          <w:cantSplit/>
        </w:trPr>
        <w:tc>
          <w:tcPr>
            <w:tcW w:type="dxa" w:w="1928"/>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4"/>
              </w:rPr>
              <w:t>Sintoma</w:t>
            </w:r>
          </w:p>
        </w:tc>
        <w:tc>
          <w:tcPr>
            <w:tcW w:type="dxa" w:w="2948"/>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4"/>
              </w:rPr>
              <w:t>Verificar primeiro</w:t>
            </w:r>
          </w:p>
        </w:tc>
        <w:tc>
          <w:tcPr>
            <w:tcW w:type="dxa" w:w="4479"/>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4"/>
              </w:rPr>
              <w:t>Ação</w:t>
            </w:r>
          </w:p>
        </w:tc>
      </w:tr>
      <w:tr>
        <w:trPr>
          <w:cantSplit/>
        </w:trPr>
        <w:tc>
          <w:tcPr>
            <w:tcW w:type="dxa" w:w="1928"/>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4"/>
              </w:rPr>
              <w:t>Lista não aparece</w:t>
            </w:r>
          </w:p>
        </w:tc>
        <w:tc>
          <w:tcPr>
            <w:tcW w:type="dxa" w:w="2948"/>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4"/>
              </w:rPr>
              <w:t>Título, permissão, indexação e BaseTemplate</w:t>
            </w:r>
          </w:p>
        </w:tc>
        <w:tc>
          <w:tcPr>
            <w:tcW w:type="dxa" w:w="4479"/>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4"/>
              </w:rPr>
              <w:t>Teste no site da lista; adicione-o temporariamente aos sites adicionais; aguarde índice.</w:t>
            </w:r>
          </w:p>
        </w:tc>
      </w:tr>
      <w:tr>
        <w:trPr>
          <w:cantSplit/>
        </w:trPr>
        <w:tc>
          <w:tcPr>
            <w:tcW w:type="dxa" w:w="1928"/>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4"/>
              </w:rPr>
              <w:t>Erro ao carregar schema</w:t>
            </w:r>
          </w:p>
        </w:tc>
        <w:tc>
          <w:tcPr>
            <w:tcW w:type="dxa" w:w="2948"/>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4"/>
              </w:rPr>
              <w:t>URL/ID, permissão, tipo de conteúdo</w:t>
            </w:r>
          </w:p>
        </w:tc>
        <w:tc>
          <w:tcPr>
            <w:tcW w:type="dxa" w:w="4479"/>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4"/>
              </w:rPr>
              <w:t>Abra a lista com a mesma conta e inspecione a resposta REST no navegador.</w:t>
            </w:r>
          </w:p>
        </w:tc>
      </w:tr>
      <w:tr>
        <w:trPr>
          <w:cantSplit/>
        </w:trPr>
        <w:tc>
          <w:tcPr>
            <w:tcW w:type="dxa" w:w="1928"/>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4"/>
              </w:rPr>
              <w:t>Coluna ausente</w:t>
            </w:r>
          </w:p>
        </w:tc>
        <w:tc>
          <w:tcPr>
            <w:tcW w:type="dxa" w:w="2948"/>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4"/>
              </w:rPr>
              <w:t>Hidden, ReadOnlyField e FieldLink</w:t>
            </w:r>
          </w:p>
        </w:tc>
        <w:tc>
          <w:tcPr>
            <w:tcW w:type="dxa" w:w="4479"/>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4"/>
              </w:rPr>
              <w:t>Confirme se o campo é editável no tipo de conteúdo selecionado.</w:t>
            </w:r>
          </w:p>
        </w:tc>
      </w:tr>
      <w:tr>
        <w:trPr>
          <w:cantSplit/>
        </w:trPr>
        <w:tc>
          <w:tcPr>
            <w:tcW w:type="dxa" w:w="1928"/>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4"/>
              </w:rPr>
              <w:t>Muitas linhas inválidas</w:t>
            </w:r>
          </w:p>
        </w:tc>
        <w:tc>
          <w:tcPr>
            <w:tcW w:type="dxa" w:w="2948"/>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4"/>
              </w:rPr>
              <w:t>Cultura, aba, mapeamento e linha física</w:t>
            </w:r>
          </w:p>
        </w:tc>
        <w:tc>
          <w:tcPr>
            <w:tcW w:type="dxa" w:w="4479"/>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4"/>
              </w:rPr>
              <w:t>Exporte erros; confronte uma linha com o tipo real do campo.</w:t>
            </w:r>
          </w:p>
        </w:tc>
      </w:tr>
      <w:tr>
        <w:trPr>
          <w:cantSplit/>
        </w:trPr>
        <w:tc>
          <w:tcPr>
            <w:tcW w:type="dxa" w:w="1928"/>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4"/>
              </w:rPr>
              <w:t>Data rejeitada</w:t>
            </w:r>
          </w:p>
        </w:tc>
        <w:tc>
          <w:tcPr>
            <w:tcW w:type="dxa" w:w="2948"/>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4"/>
              </w:rPr>
              <w:t>DateOnly, cultura, fuso e valor bruto</w:t>
            </w:r>
          </w:p>
        </w:tc>
        <w:tc>
          <w:tcPr>
            <w:tcW w:type="dxa" w:w="4479"/>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4"/>
              </w:rPr>
              <w:t>Use ISO com fuso explícito para horário ambíguo; confirme RegionalSettings.</w:t>
            </w:r>
          </w:p>
        </w:tc>
      </w:tr>
      <w:tr>
        <w:trPr>
          <w:cantSplit/>
        </w:trPr>
        <w:tc>
          <w:tcPr>
            <w:tcW w:type="dxa" w:w="1928"/>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4"/>
              </w:rPr>
              <w:t>Pessoa não encontrada</w:t>
            </w:r>
          </w:p>
        </w:tc>
        <w:tc>
          <w:tcPr>
            <w:tcW w:type="dxa" w:w="2948"/>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4"/>
              </w:rPr>
              <w:t>Nome visível, e-mail/UPN e siteusers</w:t>
            </w:r>
          </w:p>
        </w:tc>
        <w:tc>
          <w:tcPr>
            <w:tcW w:type="dxa" w:w="4479"/>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4"/>
              </w:rPr>
              <w:t>Prefira e-mail/UPN; confirme acesso e restrição de grupo.</w:t>
            </w:r>
          </w:p>
        </w:tc>
      </w:tr>
      <w:tr>
        <w:trPr>
          <w:cantSplit/>
        </w:trPr>
        <w:tc>
          <w:tcPr>
            <w:tcW w:type="dxa" w:w="1928"/>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4"/>
              </w:rPr>
              <w:t>Lookup ambíguo</w:t>
            </w:r>
          </w:p>
        </w:tc>
        <w:tc>
          <w:tcPr>
            <w:tcW w:type="dxa" w:w="2948"/>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4"/>
              </w:rPr>
              <w:t>Valores duplicados na coluna exibida</w:t>
            </w:r>
          </w:p>
        </w:tc>
        <w:tc>
          <w:tcPr>
            <w:tcW w:type="dxa" w:w="4479"/>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4"/>
              </w:rPr>
              <w:t>Use ID:número.</w:t>
            </w:r>
          </w:p>
        </w:tc>
      </w:tr>
      <w:tr>
        <w:trPr>
          <w:cantSplit/>
        </w:trPr>
        <w:tc>
          <w:tcPr>
            <w:tcW w:type="dxa" w:w="1928"/>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4"/>
              </w:rPr>
              <w:t>HTTP 406 no fuso</w:t>
            </w:r>
          </w:p>
        </w:tc>
        <w:tc>
          <w:tcPr>
            <w:tcW w:type="dxa" w:w="2948"/>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4"/>
              </w:rPr>
              <w:t>Accept da função clássica</w:t>
            </w:r>
          </w:p>
        </w:tc>
        <w:tc>
          <w:tcPr>
            <w:tcW w:type="dxa" w:w="4479"/>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4"/>
              </w:rPr>
              <w:t>Preserve application/json;odata=verbose em ReferenceService.</w:t>
            </w:r>
          </w:p>
        </w:tc>
      </w:tr>
      <w:tr>
        <w:trPr>
          <w:cantSplit/>
        </w:trPr>
        <w:tc>
          <w:tcPr>
            <w:tcW w:type="dxa" w:w="1928"/>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4"/>
              </w:rPr>
              <w:t>Sem confirmação</w:t>
            </w:r>
          </w:p>
        </w:tc>
        <w:tc>
          <w:tcPr>
            <w:tcW w:type="dxa" w:w="2948"/>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4"/>
              </w:rPr>
              <w:t>Rede, resposta HTTP, Location e log exportado</w:t>
            </w:r>
          </w:p>
        </w:tc>
        <w:tc>
          <w:tcPr>
            <w:tcW w:type="dxa" w:w="4479"/>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4"/>
              </w:rPr>
              <w:t>Verifique a lista por chave antes de reenviar.</w:t>
            </w:r>
          </w:p>
        </w:tc>
      </w:tr>
      <w:tr>
        <w:trPr>
          <w:cantSplit/>
        </w:trPr>
        <w:tc>
          <w:tcPr>
            <w:tcW w:type="dxa" w:w="1928"/>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4"/>
              </w:rPr>
              <w:t>Nada foi gravado</w:t>
            </w:r>
          </w:p>
        </w:tc>
        <w:tc>
          <w:tcPr>
            <w:tcW w:type="dxa" w:w="2948"/>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4"/>
              </w:rPr>
              <w:t>Permissão AddListItems, endpoint/site e log</w:t>
            </w:r>
          </w:p>
        </w:tc>
        <w:tc>
          <w:tcPr>
            <w:tcW w:type="dxa" w:w="4479"/>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4"/>
              </w:rPr>
              <w:t>Reproduza com 1 linha, abra a requisição no DevTools e guarde corpo/cabeçalhos.</w:t>
            </w:r>
          </w:p>
        </w:tc>
      </w:tr>
      <w:tr>
        <w:trPr>
          <w:cantSplit/>
        </w:trPr>
        <w:tc>
          <w:tcPr>
            <w:tcW w:type="dxa" w:w="1928"/>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4"/>
              </w:rPr>
              <w:t>HTTP 429/503</w:t>
            </w:r>
          </w:p>
        </w:tc>
        <w:tc>
          <w:tcPr>
            <w:tcW w:type="dxa" w:w="2948"/>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4"/>
              </w:rPr>
              <w:t>Retry-After e volume</w:t>
            </w:r>
          </w:p>
        </w:tc>
        <w:tc>
          <w:tcPr>
            <w:tcW w:type="dxa" w:w="4479"/>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4"/>
              </w:rPr>
              <w:t>Aguarde, reduza batchSize e repita apenas falhas confirmadas.</w:t>
            </w:r>
          </w:p>
        </w:tc>
      </w:tr>
      <w:tr>
        <w:trPr>
          <w:cantSplit/>
        </w:trPr>
        <w:tc>
          <w:tcPr>
            <w:tcW w:type="dxa" w:w="1928"/>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4"/>
              </w:rPr>
              <w:t>Auditoria falha</w:t>
            </w:r>
          </w:p>
        </w:tc>
        <w:tc>
          <w:tcPr>
            <w:tcW w:type="dxa" w:w="2948"/>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4"/>
              </w:rPr>
              <w:t>auditSiteUrl e permissões</w:t>
            </w:r>
          </w:p>
        </w:tc>
        <w:tc>
          <w:tcPr>
            <w:tcW w:type="dxa" w:w="4479"/>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4"/>
              </w:rPr>
              <w:t>Corrija a lista opcional; não altere o destino da importação.</w:t>
            </w:r>
          </w:p>
        </w:tc>
      </w:tr>
    </w:tbl>
    <w:p>
      <w:pPr>
        <w:spacing w:after="20"/>
      </w:pPr>
    </w:p>
    <w:p>
      <w:pPr>
        <w:pStyle w:val="Heading2"/>
      </w:pPr>
      <w:r>
        <w:t>13.1 Evidências para abrir incidente</w:t>
      </w:r>
    </w:p>
    <w:p>
      <w:pPr>
        <w:pStyle w:val="ListBullet"/>
        <w:spacing w:after="40"/>
      </w:pPr>
      <w:r>
        <w:t>Versão do pacote e horário da ocorrência com fuso.</w:t>
      </w:r>
    </w:p>
    <w:p>
      <w:pPr>
        <w:pStyle w:val="ListBullet"/>
        <w:spacing w:after="40"/>
      </w:pPr>
      <w:r>
        <w:t>URL do site e ID/título da lista, sem incluir dados sensíveis desnecessários.</w:t>
      </w:r>
    </w:p>
    <w:p>
      <w:pPr>
        <w:pStyle w:val="ListBullet"/>
        <w:spacing w:after="40"/>
      </w:pPr>
      <w:r>
        <w:t>Nome da aba, cultura, linha física e campo afetado.</w:t>
      </w:r>
    </w:p>
    <w:p>
      <w:pPr>
        <w:pStyle w:val="ListBullet"/>
        <w:spacing w:after="40"/>
      </w:pPr>
      <w:r>
        <w:t>Arquivo Resultado da importação ou Erros de validação.</w:t>
      </w:r>
    </w:p>
    <w:p>
      <w:pPr>
        <w:pStyle w:val="ListBullet"/>
        <w:spacing w:after="40"/>
      </w:pPr>
      <w:r>
        <w:t>HTTP, mensagem e corpo da resposta; para $batch, Content-ID e trecho do changeset.</w:t>
      </w:r>
    </w:p>
    <w:p>
      <w:pPr>
        <w:pStyle w:val="ListBullet"/>
        <w:spacing w:after="40"/>
      </w:pPr>
      <w:r>
        <w:t>Confirmação se o item existe ou não na lista depois do erro.</w:t>
      </w:r>
    </w:p>
    <w:p>
      <w:pPr>
        <w:pStyle w:val="ListBullet"/>
        <w:spacing w:after="40"/>
      </w:pPr>
      <w:r>
        <w:t>Conta e nível de permissão usados no teste.</w:t>
      </w:r>
    </w:p>
    <w:p>
      <w:pPr>
        <w:pStyle w:val="Heading2"/>
      </w:pPr>
      <w:r>
        <w:t>13.2 Roteiro para uma nova falha de gravação</w:t>
      </w:r>
    </w:p>
    <w:p>
      <w:pPr>
        <w:spacing w:after="40"/>
        <w:ind w:left="312" w:hanging="255"/>
      </w:pPr>
      <w:r>
        <w:rPr>
          <w:b/>
        </w:rPr>
        <w:t xml:space="preserve">1. </w:t>
      </w:r>
      <w:r>
        <w:t>Confirme que o App Catalog entrega a versão 1.0.0.10 e limpe somente o cache necessário da página piloto.</w:t>
      </w:r>
    </w:p>
    <w:p>
      <w:pPr>
        <w:spacing w:after="40"/>
        <w:ind w:left="312" w:hanging="255"/>
      </w:pPr>
      <w:r>
        <w:rPr>
          <w:b/>
        </w:rPr>
        <w:t xml:space="preserve">2. </w:t>
      </w:r>
      <w:r>
        <w:t>Use uma lista simples e uma linha com apenas campos obrigatórios suportados.</w:t>
      </w:r>
    </w:p>
    <w:p>
      <w:pPr>
        <w:spacing w:after="40"/>
        <w:ind w:left="312" w:hanging="255"/>
      </w:pPr>
      <w:r>
        <w:rPr>
          <w:b/>
        </w:rPr>
        <w:t xml:space="preserve">3. </w:t>
      </w:r>
      <w:r>
        <w:t>No DevTools, filtre por /items e registre status, response headers e response body.</w:t>
      </w:r>
    </w:p>
    <w:p>
      <w:pPr>
        <w:spacing w:after="40"/>
        <w:ind w:left="312" w:hanging="255"/>
      </w:pPr>
      <w:r>
        <w:rPr>
          <w:b/>
        </w:rPr>
        <w:t xml:space="preserve">4. </w:t>
      </w:r>
      <w:r>
        <w:t>Confira imediatamente a lista pelo navegador, inclusive filtros e visualização.</w:t>
      </w:r>
    </w:p>
    <w:p>
      <w:pPr>
        <w:spacing w:after="40"/>
        <w:ind w:left="312" w:hanging="255"/>
      </w:pPr>
      <w:r>
        <w:rPr>
          <w:b/>
        </w:rPr>
        <w:t xml:space="preserve">5. </w:t>
      </w:r>
      <w:r>
        <w:t>Compare o resultado da tela e do XLSX com a resposta de rede.</w:t>
      </w:r>
    </w:p>
    <w:p>
      <w:pPr>
        <w:spacing w:after="40"/>
        <w:ind w:left="312" w:hanging="255"/>
      </w:pPr>
      <w:r>
        <w:rPr>
          <w:b/>
        </w:rPr>
        <w:t xml:space="preserve">6. </w:t>
      </w:r>
      <w:r>
        <w:t>Se o POST direto funcionar, repita com duas linhas para validar $batch.</w:t>
      </w:r>
    </w:p>
    <w:p>
      <w:r>
        <w:br w:type="page"/>
      </w:r>
    </w:p>
    <w:p>
      <w:pPr>
        <w:pStyle w:val="Heading1"/>
      </w:pPr>
      <w:r>
        <w:t>14. Segurança, privacidade e confiabilidade</w:t>
      </w:r>
    </w:p>
    <w:tbl>
      <w:tblPr>
        <w:tblW w:type="auto" w:w="0"/>
        <w:jc w:val="center"/>
        <w:tblLayout w:type="fixed"/>
        <w:tblLook w:firstColumn="1" w:firstRow="1" w:lastColumn="0" w:lastRow="0" w:noHBand="0" w:noVBand="1" w:val="04A0"/>
      </w:tblPr>
      <w:tblGrid>
        <w:gridCol w:w="4876"/>
        <w:gridCol w:w="4876"/>
      </w:tblGrid>
      <w:tr>
        <w:trPr>
          <w:tblHeader/>
          <w:cantSplit/>
        </w:trPr>
        <w:tc>
          <w:tcPr>
            <w:tcW w:type="dxa" w:w="2268"/>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6"/>
              </w:rPr>
              <w:t>Tema</w:t>
            </w:r>
          </w:p>
        </w:tc>
        <w:tc>
          <w:tcPr>
            <w:tcW w:type="dxa" w:w="7087"/>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6"/>
              </w:rPr>
              <w:t>Implementação atual</w:t>
            </w:r>
          </w:p>
        </w:tc>
      </w:tr>
      <w:tr>
        <w:trPr>
          <w:cantSplit/>
        </w:trPr>
        <w:tc>
          <w:tcPr>
            <w:tcW w:type="dxa" w:w="2268"/>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Credenciais</w:t>
            </w:r>
          </w:p>
        </w:tc>
        <w:tc>
          <w:tcPr>
            <w:tcW w:type="dxa" w:w="7087"/>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Não armazenadas; usa a sessão Microsoft 365 do usuário.</w:t>
            </w:r>
          </w:p>
        </w:tc>
      </w:tr>
      <w:tr>
        <w:trPr>
          <w:cantSplit/>
        </w:trPr>
        <w:tc>
          <w:tcPr>
            <w:tcW w:type="dxa" w:w="2268"/>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Origem REST</w:t>
            </w:r>
          </w:p>
        </w:tc>
        <w:tc>
          <w:tcPr>
            <w:tcW w:type="dxa" w:w="7087"/>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RestClient limita chamadas ao host SharePoint da origem suportada e exige caminhos _api.</w:t>
            </w:r>
          </w:p>
        </w:tc>
      </w:tr>
      <w:tr>
        <w:trPr>
          <w:cantSplit/>
        </w:trPr>
        <w:tc>
          <w:tcPr>
            <w:tcW w:type="dxa" w:w="2268"/>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Arquivo</w:t>
            </w:r>
          </w:p>
        </w:tc>
        <w:tc>
          <w:tcPr>
            <w:tcW w:type="dxa" w:w="7087"/>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Processado no navegador; somente campos mapeados entram no payload.</w:t>
            </w:r>
          </w:p>
        </w:tc>
      </w:tr>
      <w:tr>
        <w:trPr>
          <w:cantSplit/>
        </w:trPr>
        <w:tc>
          <w:tcPr>
            <w:tcW w:type="dxa" w:w="2268"/>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Permissões</w:t>
            </w:r>
          </w:p>
        </w:tc>
        <w:tc>
          <w:tcPr>
            <w:tcW w:type="dxa" w:w="7087"/>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Security trimming, EffectiveBasePermissions e validação final do SharePoint.</w:t>
            </w:r>
          </w:p>
        </w:tc>
      </w:tr>
      <w:tr>
        <w:trPr>
          <w:cantSplit/>
        </w:trPr>
        <w:tc>
          <w:tcPr>
            <w:tcW w:type="dxa" w:w="2268"/>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Consultas</w:t>
            </w:r>
          </w:p>
        </w:tc>
        <w:tc>
          <w:tcPr>
            <w:tcW w:type="dxa" w:w="7087"/>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KQL do usuário é normalizado; valores OData são escapados.</w:t>
            </w:r>
          </w:p>
        </w:tc>
      </w:tr>
      <w:tr>
        <w:trPr>
          <w:cantSplit/>
        </w:trPr>
        <w:tc>
          <w:tcPr>
            <w:tcW w:type="dxa" w:w="2268"/>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Repetição</w:t>
            </w:r>
          </w:p>
        </w:tc>
        <w:tc>
          <w:tcPr>
            <w:tcW w:type="dxa" w:w="7087"/>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Resultado desconhecido não é reenviado automaticamente.</w:t>
            </w:r>
          </w:p>
        </w:tc>
      </w:tr>
      <w:tr>
        <w:trPr>
          <w:cantSplit/>
        </w:trPr>
        <w:tc>
          <w:tcPr>
            <w:tcW w:type="dxa" w:w="2268"/>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Auditoria</w:t>
            </w:r>
          </w:p>
        </w:tc>
        <w:tc>
          <w:tcPr>
            <w:tcW w:type="dxa" w:w="7087"/>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Opcional; deve obedecer retenção e acesso definidos pela organização.</w:t>
            </w:r>
          </w:p>
        </w:tc>
      </w:tr>
    </w:tbl>
    <w:p>
      <w:pPr>
        <w:spacing w:after="20"/>
      </w:pPr>
    </w:p>
    <w:p>
      <w:pPr>
        <w:pStyle w:val="Heading2"/>
      </w:pPr>
      <w:r>
        <w:t>14.1 Riscos conhecidos</w:t>
      </w:r>
    </w:p>
    <w:tbl>
      <w:tblPr>
        <w:tblW w:type="auto" w:w="0"/>
        <w:jc w:val="center"/>
        <w:tblLayout w:type="fixed"/>
        <w:tblLook w:firstColumn="1" w:firstRow="1" w:lastColumn="0" w:lastRow="0" w:noHBand="0" w:noVBand="1" w:val="04A0"/>
      </w:tblPr>
      <w:tblGrid>
        <w:gridCol w:w="3251"/>
        <w:gridCol w:w="3251"/>
        <w:gridCol w:w="3251"/>
      </w:tblGrid>
      <w:tr>
        <w:trPr>
          <w:tblHeader/>
          <w:cantSplit/>
        </w:trPr>
        <w:tc>
          <w:tcPr>
            <w:tcW w:type="dxa" w:w="2324"/>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5"/>
              </w:rPr>
              <w:t>Risco</w:t>
            </w:r>
          </w:p>
        </w:tc>
        <w:tc>
          <w:tcPr>
            <w:tcW w:type="dxa" w:w="3118"/>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5"/>
              </w:rPr>
              <w:t>Impacto</w:t>
            </w:r>
          </w:p>
        </w:tc>
        <w:tc>
          <w:tcPr>
            <w:tcW w:type="dxa" w:w="3912"/>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5"/>
              </w:rPr>
              <w:t>Mitigação</w:t>
            </w:r>
          </w:p>
        </w:tc>
      </w:tr>
      <w:tr>
        <w:trPr>
          <w:cantSplit/>
        </w:trPr>
        <w:tc>
          <w:tcPr>
            <w:tcW w:type="dxa" w:w="2324"/>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Resultado HTTP desconhecido</w:t>
            </w:r>
          </w:p>
        </w:tc>
        <w:tc>
          <w:tcPr>
            <w:tcW w:type="dxa" w:w="3118"/>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Possível dúvida entre falha e item criado.</w:t>
            </w:r>
          </w:p>
        </w:tc>
        <w:tc>
          <w:tcPr>
            <w:tcW w:type="dxa" w:w="3912"/>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Consulta manual por chave e sem retry cego.</w:t>
            </w:r>
          </w:p>
        </w:tc>
      </w:tr>
      <w:tr>
        <w:trPr>
          <w:cantSplit/>
        </w:trPr>
        <w:tc>
          <w:tcPr>
            <w:tcW w:type="dxa" w:w="2324"/>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Lista sem chave única</w:t>
            </w:r>
          </w:p>
        </w:tc>
        <w:tc>
          <w:tcPr>
            <w:tcW w:type="dxa" w:w="3118"/>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Linhas iguais podem ser criadas.</w:t>
            </w:r>
          </w:p>
        </w:tc>
        <w:tc>
          <w:tcPr>
            <w:tcW w:type="dxa" w:w="3912"/>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Configurar unicidade ou regra de negócio.</w:t>
            </w:r>
          </w:p>
        </w:tc>
      </w:tr>
      <w:tr>
        <w:trPr>
          <w:cantSplit/>
        </w:trPr>
        <w:tc>
          <w:tcPr>
            <w:tcW w:type="dxa" w:w="2324"/>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Índice atrasado</w:t>
            </w:r>
          </w:p>
        </w:tc>
        <w:tc>
          <w:tcPr>
            <w:tcW w:type="dxa" w:w="3118"/>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Lista não aparece imediatamente.</w:t>
            </w:r>
          </w:p>
        </w:tc>
        <w:tc>
          <w:tcPr>
            <w:tcW w:type="dxa" w:w="3912"/>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Busca direta no site atual/adicional.</w:t>
            </w:r>
          </w:p>
        </w:tc>
      </w:tr>
      <w:tr>
        <w:trPr>
          <w:cantSplit/>
        </w:trPr>
        <w:tc>
          <w:tcPr>
            <w:tcW w:type="dxa" w:w="2324"/>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Mudança de schema</w:t>
            </w:r>
          </w:p>
        </w:tc>
        <w:tc>
          <w:tcPr>
            <w:tcW w:type="dxa" w:w="3118"/>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Payload validado fica obsoleto.</w:t>
            </w:r>
          </w:p>
        </w:tc>
        <w:tc>
          <w:tcPr>
            <w:tcW w:type="dxa" w:w="3912"/>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Revalidação obrigatória antes da importação.</w:t>
            </w:r>
          </w:p>
        </w:tc>
      </w:tr>
      <w:tr>
        <w:trPr>
          <w:cantSplit/>
        </w:trPr>
        <w:tc>
          <w:tcPr>
            <w:tcW w:type="dxa" w:w="2324"/>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Página fechada</w:t>
            </w:r>
          </w:p>
        </w:tc>
        <w:tc>
          <w:tcPr>
            <w:tcW w:type="dxa" w:w="3118"/>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Perda do progresso local.</w:t>
            </w:r>
          </w:p>
        </w:tc>
        <w:tc>
          <w:tcPr>
            <w:tcW w:type="dxa" w:w="3912"/>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Manter tela aberta; usar lotes e resultado exportado.</w:t>
            </w:r>
          </w:p>
        </w:tc>
      </w:tr>
      <w:tr>
        <w:trPr>
          <w:cantSplit/>
        </w:trPr>
        <w:tc>
          <w:tcPr>
            <w:tcW w:type="dxa" w:w="2324"/>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Volume alto</w:t>
            </w:r>
          </w:p>
        </w:tc>
        <w:tc>
          <w:tcPr>
            <w:tcW w:type="dxa" w:w="3118"/>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Memória, tempo e throttling.</w:t>
            </w:r>
          </w:p>
        </w:tc>
        <w:tc>
          <w:tcPr>
            <w:tcW w:type="dxa" w:w="3912"/>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Teste representativo e ajuste batchSize.</w:t>
            </w:r>
          </w:p>
        </w:tc>
      </w:tr>
    </w:tbl>
    <w:p>
      <w:pPr>
        <w:spacing w:after="20"/>
      </w:pPr>
    </w:p>
    <w:p>
      <w:pPr>
        <w:pStyle w:val="Heading2"/>
      </w:pPr>
      <w:r>
        <w:t>14.2 Limitações atuais</w:t>
      </w:r>
    </w:p>
    <w:p>
      <w:pPr>
        <w:pStyle w:val="ListBullet"/>
        <w:spacing w:after="40"/>
      </w:pPr>
      <w:r>
        <w:t>Cria itens; não atualiza nem exclui registros existentes.</w:t>
      </w:r>
    </w:p>
    <w:p>
      <w:pPr>
        <w:pStyle w:val="ListBullet"/>
        <w:spacing w:after="40"/>
      </w:pPr>
      <w:r>
        <w:t>Não importa anexos.</w:t>
      </w:r>
    </w:p>
    <w:p>
      <w:pPr>
        <w:pStyle w:val="ListBullet"/>
        <w:spacing w:after="40"/>
      </w:pPr>
      <w:r>
        <w:t>Não oferece retomada automática após recarregar a página.</w:t>
      </w:r>
    </w:p>
    <w:p>
      <w:pPr>
        <w:pStyle w:val="ListBullet"/>
        <w:spacing w:after="40"/>
      </w:pPr>
      <w:r>
        <w:t>Não garante idempotência em listas sem chave única.</w:t>
      </w:r>
    </w:p>
    <w:p>
      <w:pPr>
        <w:pStyle w:val="ListBullet"/>
        <w:spacing w:after="40"/>
      </w:pPr>
      <w:r>
        <w:t>Não enumera o diretório completo do Entra ID.</w:t>
      </w:r>
    </w:p>
    <w:p>
      <w:pPr>
        <w:pStyle w:val="ListBullet"/>
        <w:spacing w:after="40"/>
      </w:pPr>
      <w:r>
        <w:t>Tipos de campo fora da matriz suportada exigem desenvolvimento e homologação específicos.</w:t>
      </w:r>
    </w:p>
    <w:p>
      <w:pPr>
        <w:pStyle w:val="ListBullet"/>
        <w:spacing w:after="40"/>
      </w:pPr>
      <w:r>
        <w:t>Multi-geo, políticas corporativas e experiência completa no Teams dependem de homologação no tenant.</w:t>
      </w:r>
    </w:p>
    <w:p>
      <w:r>
        <w:br w:type="page"/>
      </w:r>
    </w:p>
    <w:p>
      <w:pPr>
        <w:pStyle w:val="Heading1"/>
      </w:pPr>
      <w:r>
        <w:t>15. Manutenção e evolução</w:t>
      </w:r>
    </w:p>
    <w:p>
      <w:pPr>
        <w:pStyle w:val="Heading2"/>
      </w:pPr>
      <w:r>
        <w:t>15.1 Regras para alterações seguras</w:t>
      </w:r>
    </w:p>
    <w:p>
      <w:pPr>
        <w:pStyle w:val="ListBullet"/>
        <w:spacing w:after="40"/>
      </w:pPr>
      <w:r>
        <w:t>Preserve line em todos os resultados; é o vínculo entre planilha, tela e log.</w:t>
      </w:r>
    </w:p>
    <w:p>
      <w:pPr>
        <w:pStyle w:val="ListBullet"/>
        <w:spacing w:after="40"/>
      </w:pPr>
      <w:r>
        <w:t>Não transforme unknown em failed nem repita POST sem evidência de rejeição.</w:t>
      </w:r>
    </w:p>
    <w:p>
      <w:pPr>
        <w:pStyle w:val="ListBullet"/>
        <w:spacing w:after="40"/>
      </w:pPr>
      <w:r>
        <w:t>Ao adicionar um tipo de campo, altere schema, conversão, validação, payload, template, interface e testes em conjunto.</w:t>
      </w:r>
    </w:p>
    <w:p>
      <w:pPr>
        <w:pStyle w:val="ListBullet"/>
        <w:spacing w:after="40"/>
      </w:pPr>
      <w:r>
        <w:t>Mantenha a leitura das colunas pela lista e pelo tipo de conteúdo, sem listas fixas no código.</w:t>
      </w:r>
    </w:p>
    <w:p>
      <w:pPr>
        <w:pStyle w:val="ListBullet"/>
        <w:spacing w:after="40"/>
      </w:pPr>
      <w:r>
        <w:t>Não torne a auditoria central obrigatória para o fluxo principal.</w:t>
      </w:r>
    </w:p>
    <w:p>
      <w:pPr>
        <w:pStyle w:val="ListBullet"/>
        <w:spacing w:after="40"/>
      </w:pPr>
      <w:r>
        <w:t>Qualquer cache deve incluir site, lista, campo e schema quando aplicável.</w:t>
      </w:r>
    </w:p>
    <w:p>
      <w:pPr>
        <w:pStyle w:val="ListBullet"/>
        <w:spacing w:after="40"/>
      </w:pPr>
      <w:r>
        <w:t>Mensagens de erro devem informar linha, campo, valor e correção possível sem expor dados excessivos.</w:t>
      </w:r>
    </w:p>
    <w:p>
      <w:pPr>
        <w:pStyle w:val="Heading2"/>
      </w:pPr>
      <w:r>
        <w:t>15.2 Matriz de impacto</w:t>
      </w:r>
    </w:p>
    <w:tbl>
      <w:tblPr>
        <w:tblW w:type="auto" w:w="0"/>
        <w:jc w:val="center"/>
        <w:tblLayout w:type="fixed"/>
        <w:tblLook w:firstColumn="1" w:firstRow="1" w:lastColumn="0" w:lastRow="0" w:noHBand="0" w:noVBand="1" w:val="04A0"/>
      </w:tblPr>
      <w:tblGrid>
        <w:gridCol w:w="3251"/>
        <w:gridCol w:w="3251"/>
        <w:gridCol w:w="3251"/>
      </w:tblGrid>
      <w:tr>
        <w:trPr>
          <w:tblHeader/>
          <w:cantSplit/>
        </w:trPr>
        <w:tc>
          <w:tcPr>
            <w:tcW w:type="dxa" w:w="2268"/>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5"/>
              </w:rPr>
              <w:t>Alteração desejada</w:t>
            </w:r>
          </w:p>
        </w:tc>
        <w:tc>
          <w:tcPr>
            <w:tcW w:type="dxa" w:w="3118"/>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5"/>
              </w:rPr>
              <w:t>Arquivos prováveis</w:t>
            </w:r>
          </w:p>
        </w:tc>
        <w:tc>
          <w:tcPr>
            <w:tcW w:type="dxa" w:w="3969"/>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5"/>
              </w:rPr>
              <w:t>Testes mínimos</w:t>
            </w:r>
          </w:p>
        </w:tc>
      </w:tr>
      <w:tr>
        <w:trPr>
          <w:cantSplit/>
        </w:trPr>
        <w:tc>
          <w:tcPr>
            <w:tcW w:type="dxa" w:w="2268"/>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Novo tipo de coluna</w:t>
            </w:r>
          </w:p>
        </w:tc>
        <w:tc>
          <w:tcPr>
            <w:tcW w:type="dxa" w:w="3118"/>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models, Schema, conversions, Validation, Excel</w:t>
            </w:r>
          </w:p>
        </w:tc>
        <w:tc>
          <w:tcPr>
            <w:tcW w:type="dxa" w:w="3969"/>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Conversão, payload e caso real no tenant</w:t>
            </w:r>
          </w:p>
        </w:tc>
      </w:tr>
      <w:tr>
        <w:trPr>
          <w:cantSplit/>
        </w:trPr>
        <w:tc>
          <w:tcPr>
            <w:tcW w:type="dxa" w:w="2268"/>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Nova regra de duplicidade</w:t>
            </w:r>
          </w:p>
        </w:tc>
        <w:tc>
          <w:tcPr>
            <w:tcW w:type="dxa" w:w="3118"/>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Validation e/ou Import</w:t>
            </w:r>
          </w:p>
        </w:tc>
        <w:tc>
          <w:tcPr>
            <w:tcW w:type="dxa" w:w="3969"/>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Mesmo arquivo, lista existente e corrida</w:t>
            </w:r>
          </w:p>
        </w:tc>
      </w:tr>
      <w:tr>
        <w:trPr>
          <w:cantSplit/>
        </w:trPr>
        <w:tc>
          <w:tcPr>
            <w:tcW w:type="dxa" w:w="2268"/>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Mudança no lote</w:t>
            </w:r>
          </w:p>
        </w:tc>
        <w:tc>
          <w:tcPr>
            <w:tcW w:type="dxa" w:w="3118"/>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BatchTransport, ImportService</w:t>
            </w:r>
          </w:p>
        </w:tc>
        <w:tc>
          <w:tcPr>
            <w:tcW w:type="dxa" w:w="3969"/>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Content-ID, parcial, 429/503 e unknown</w:t>
            </w:r>
          </w:p>
        </w:tc>
      </w:tr>
      <w:tr>
        <w:trPr>
          <w:cantSplit/>
        </w:trPr>
        <w:tc>
          <w:tcPr>
            <w:tcW w:type="dxa" w:w="2268"/>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Nova busca</w:t>
            </w:r>
          </w:p>
        </w:tc>
        <w:tc>
          <w:tcPr>
            <w:tcW w:type="dxa" w:w="3118"/>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SearchService, configuração</w:t>
            </w:r>
          </w:p>
        </w:tc>
        <w:tc>
          <w:tcPr>
            <w:tcW w:type="dxa" w:w="3969"/>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Permissão, índice ausente e cross-site</w:t>
            </w:r>
          </w:p>
        </w:tc>
      </w:tr>
      <w:tr>
        <w:trPr>
          <w:cantSplit/>
        </w:trPr>
        <w:tc>
          <w:tcPr>
            <w:tcW w:type="dxa" w:w="2268"/>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Mudança de UI</w:t>
            </w:r>
          </w:p>
        </w:tc>
        <w:tc>
          <w:tcPr>
            <w:tcW w:type="dxa" w:w="3118"/>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components e SCSS</w:t>
            </w:r>
          </w:p>
        </w:tc>
        <w:tc>
          <w:tcPr>
            <w:tcW w:type="dxa" w:w="3969"/>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Estados, acessibilidade, telas estreitas e Teams</w:t>
            </w:r>
          </w:p>
        </w:tc>
      </w:tr>
      <w:tr>
        <w:trPr>
          <w:cantSplit/>
        </w:trPr>
        <w:tc>
          <w:tcPr>
            <w:tcW w:type="dxa" w:w="2268"/>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Auditoria</w:t>
            </w:r>
          </w:p>
        </w:tc>
        <w:tc>
          <w:tcPr>
            <w:tcW w:type="dxa" w:w="3118"/>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AuditService e provision</w:t>
            </w:r>
          </w:p>
        </w:tc>
        <w:tc>
          <w:tcPr>
            <w:tcW w:type="dxa" w:w="3969"/>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5"/>
              </w:rPr>
              <w:t>Sem URL, com URL, sem permissão e rollback</w:t>
            </w:r>
          </w:p>
        </w:tc>
      </w:tr>
    </w:tbl>
    <w:p>
      <w:pPr>
        <w:spacing w:after="20"/>
      </w:pPr>
    </w:p>
    <w:p>
      <w:pPr>
        <w:pStyle w:val="Heading2"/>
      </w:pPr>
      <w:r>
        <w:t>15.3 Débito técnico identificado</w:t>
      </w:r>
    </w:p>
    <w:p>
      <w:pPr>
        <w:pStyle w:val="ListBullet"/>
        <w:spacing w:after="40"/>
      </w:pPr>
      <w:r>
        <w:t>Revisar avisos de lint relacionados a respostas REST dinâmicas e ao uso de null em células vazias.</w:t>
      </w:r>
    </w:p>
    <w:p>
      <w:pPr>
        <w:pStyle w:val="ListBullet"/>
        <w:spacing w:after="40"/>
      </w:pPr>
      <w:r>
        <w:t>Criar teste de integração controlado no tenant para POST direto e $batch.</w:t>
      </w:r>
    </w:p>
    <w:p>
      <w:pPr>
        <w:pStyle w:val="ListBullet"/>
        <w:spacing w:after="40"/>
      </w:pPr>
      <w:r>
        <w:t>Medir o cenário máximo em SharePoint e Teams antes de assumir metas de desempenho.</w:t>
      </w:r>
    </w:p>
    <w:p>
      <w:pPr>
        <w:pStyle w:val="ListBullet"/>
        <w:spacing w:after="40"/>
      </w:pPr>
      <w:r>
        <w:t>Definir uma estratégia institucional de changelog e retenção dos pacotes anteriores.</w:t>
      </w:r>
    </w:p>
    <w:p>
      <w:pPr>
        <w:pStyle w:val="ListBullet"/>
        <w:spacing w:after="40"/>
      </w:pPr>
      <w:r>
        <w:t>Documentar chaves de negócio recomendadas para listas críticas que não usam EnforceUniqueValues.</w:t>
      </w:r>
    </w:p>
    <w:p>
      <w:pPr>
        <w:pStyle w:val="Heading2"/>
      </w:pPr>
      <w:r>
        <w:t>15.4 Checklist de sustentação</w:t>
      </w:r>
    </w:p>
    <w:tbl>
      <w:tblPr>
        <w:tblW w:type="auto" w:w="0"/>
        <w:jc w:val="center"/>
        <w:tblLayout w:type="fixed"/>
        <w:tblLook w:firstColumn="1" w:firstRow="1" w:lastColumn="0" w:lastRow="0" w:noHBand="0" w:noVBand="1" w:val="04A0"/>
      </w:tblPr>
      <w:tblGrid>
        <w:gridCol w:w="4876"/>
        <w:gridCol w:w="4876"/>
      </w:tblGrid>
      <w:tr>
        <w:trPr>
          <w:tblHeader/>
          <w:cantSplit/>
        </w:trPr>
        <w:tc>
          <w:tcPr>
            <w:tcW w:type="dxa" w:w="2268"/>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6"/>
              </w:rPr>
              <w:t>Momento</w:t>
            </w:r>
          </w:p>
        </w:tc>
        <w:tc>
          <w:tcPr>
            <w:tcW w:type="dxa" w:w="7087"/>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6"/>
              </w:rPr>
              <w:t>Checklist</w:t>
            </w:r>
          </w:p>
        </w:tc>
      </w:tr>
      <w:tr>
        <w:trPr>
          <w:cantSplit/>
        </w:trPr>
        <w:tc>
          <w:tcPr>
            <w:tcW w:type="dxa" w:w="2268"/>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Antes de alterar</w:t>
            </w:r>
          </w:p>
        </w:tc>
        <w:tc>
          <w:tcPr>
            <w:tcW w:type="dxa" w:w="7087"/>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Reproduzir, salvar evidências, identificar versão e criar caso de teste.</w:t>
            </w:r>
          </w:p>
        </w:tc>
      </w:tr>
      <w:tr>
        <w:trPr>
          <w:cantSplit/>
        </w:trPr>
        <w:tc>
          <w:tcPr>
            <w:tcW w:type="dxa" w:w="2268"/>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Durante</w:t>
            </w:r>
          </w:p>
        </w:tc>
        <w:tc>
          <w:tcPr>
            <w:tcW w:type="dxa" w:w="7087"/>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Manter contratos, tratar erro por linha e não esconder resultado desconhecido.</w:t>
            </w:r>
          </w:p>
        </w:tc>
      </w:tr>
      <w:tr>
        <w:trPr>
          <w:cantSplit/>
        </w:trPr>
        <w:tc>
          <w:tcPr>
            <w:tcW w:type="dxa" w:w="2268"/>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Antes do build</w:t>
            </w:r>
          </w:p>
        </w:tc>
        <w:tc>
          <w:tcPr>
            <w:tcW w:type="dxa" w:w="7087"/>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Executar typecheck e todos os testes.</w:t>
            </w:r>
          </w:p>
        </w:tc>
      </w:tr>
      <w:tr>
        <w:trPr>
          <w:cantSplit/>
        </w:trPr>
        <w:tc>
          <w:tcPr>
            <w:tcW w:type="dxa" w:w="2268"/>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Antes de publicar</w:t>
            </w:r>
          </w:p>
        </w:tc>
        <w:tc>
          <w:tcPr>
            <w:tcW w:type="dxa" w:w="7087"/>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Incrementar versão, gerar hash, guardar pacote anterior e revisar documentação.</w:t>
            </w:r>
          </w:p>
        </w:tc>
      </w:tr>
      <w:tr>
        <w:trPr>
          <w:cantSplit/>
        </w:trPr>
        <w:tc>
          <w:tcPr>
            <w:tcW w:type="dxa" w:w="2268"/>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Depois de publicar</w:t>
            </w:r>
          </w:p>
        </w:tc>
        <w:tc>
          <w:tcPr>
            <w:tcW w:type="dxa" w:w="7087"/>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Homologar POST direto, $batch, erro confirmado e permissões.</w:t>
            </w:r>
          </w:p>
        </w:tc>
      </w:tr>
      <w:tr>
        <w:trPr>
          <w:cantSplit/>
        </w:trPr>
        <w:tc>
          <w:tcPr>
            <w:tcW w:type="dxa" w:w="2268"/>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Ao encerrar</w:t>
            </w:r>
          </w:p>
        </w:tc>
        <w:tc>
          <w:tcPr>
            <w:tcW w:type="dxa" w:w="7087"/>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Registrar causa, mudança, evidências, impacto em dados e procedimento de reversão.</w:t>
            </w:r>
          </w:p>
        </w:tc>
      </w:tr>
    </w:tbl>
    <w:p>
      <w:pPr>
        <w:spacing w:after="20"/>
      </w:pPr>
    </w:p>
    <w:p>
      <w:r>
        <w:br w:type="page"/>
      </w:r>
    </w:p>
    <w:p>
      <w:pPr>
        <w:pStyle w:val="Heading1"/>
      </w:pPr>
      <w:r>
        <w:t>16. Referências internas e entrega</w:t>
      </w:r>
    </w:p>
    <w:tbl>
      <w:tblPr>
        <w:tblW w:type="auto" w:w="0"/>
        <w:jc w:val="center"/>
        <w:tblLayout w:type="fixed"/>
        <w:tblLook w:firstColumn="1" w:firstRow="1" w:lastColumn="0" w:lastRow="0" w:noHBand="0" w:noVBand="1" w:val="04A0"/>
      </w:tblPr>
      <w:tblGrid>
        <w:gridCol w:w="4876"/>
        <w:gridCol w:w="4876"/>
      </w:tblGrid>
      <w:tr>
        <w:trPr>
          <w:tblHeader/>
          <w:cantSplit/>
        </w:trPr>
        <w:tc>
          <w:tcPr>
            <w:tcW w:type="dxa" w:w="4252"/>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6"/>
              </w:rPr>
              <w:t>Documento/artefato</w:t>
            </w:r>
          </w:p>
        </w:tc>
        <w:tc>
          <w:tcPr>
            <w:tcW w:type="dxa" w:w="5102"/>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6"/>
              </w:rPr>
              <w:t>Finalidade</w:t>
            </w:r>
          </w:p>
        </w:tc>
      </w:tr>
      <w:tr>
        <w:trPr>
          <w:cantSplit/>
        </w:trPr>
        <w:tc>
          <w:tcPr>
            <w:tcW w:type="dxa" w:w="4252"/>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docs/ARQUITETURA.md</w:t>
            </w:r>
          </w:p>
        </w:tc>
        <w:tc>
          <w:tcPr>
            <w:tcW w:type="dxa" w:w="5102"/>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Resumo da arquitetura e fronteiras de segurança.</w:t>
            </w:r>
          </w:p>
        </w:tc>
      </w:tr>
      <w:tr>
        <w:trPr>
          <w:cantSplit/>
        </w:trPr>
        <w:tc>
          <w:tcPr>
            <w:tcW w:type="dxa" w:w="4252"/>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docs/MATRIZ_DE_SUPORTE.md</w:t>
            </w:r>
          </w:p>
        </w:tc>
        <w:tc>
          <w:tcPr>
            <w:tcW w:type="dxa" w:w="5102"/>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Tipos de campo e limitações funcionais.</w:t>
            </w:r>
          </w:p>
        </w:tc>
      </w:tr>
      <w:tr>
        <w:trPr>
          <w:cantSplit/>
        </w:trPr>
        <w:tc>
          <w:tcPr>
            <w:tcW w:type="dxa" w:w="4252"/>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docs/TESTES.md</w:t>
            </w:r>
          </w:p>
        </w:tc>
        <w:tc>
          <w:tcPr>
            <w:tcW w:type="dxa" w:w="5102"/>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Evidências atuais e escopo da homologação.</w:t>
            </w:r>
          </w:p>
        </w:tc>
      </w:tr>
      <w:tr>
        <w:trPr>
          <w:cantSplit/>
        </w:trPr>
        <w:tc>
          <w:tcPr>
            <w:tcW w:type="dxa" w:w="4252"/>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docs/PUBLICACAO.md</w:t>
            </w:r>
          </w:p>
        </w:tc>
        <w:tc>
          <w:tcPr>
            <w:tcW w:type="dxa" w:w="5102"/>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Processo do App Catalog, Teams e reversão.</w:t>
            </w:r>
          </w:p>
        </w:tc>
      </w:tr>
      <w:tr>
        <w:trPr>
          <w:cantSplit/>
        </w:trPr>
        <w:tc>
          <w:tcPr>
            <w:tcW w:type="dxa" w:w="4252"/>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docs/USO.md</w:t>
            </w:r>
          </w:p>
        </w:tc>
        <w:tc>
          <w:tcPr>
            <w:tcW w:type="dxa" w:w="5102"/>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Fluxo de uso para operação.</w:t>
            </w:r>
          </w:p>
        </w:tc>
      </w:tr>
      <w:tr>
        <w:trPr>
          <w:cantSplit/>
        </w:trPr>
        <w:tc>
          <w:tcPr>
            <w:tcW w:type="dxa" w:w="4252"/>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t>docs/Guia Rapido do Usuario - Importador Inteligente.docx</w:t>
            </w:r>
          </w:p>
        </w:tc>
        <w:tc>
          <w:tcPr>
            <w:tcW w:type="dxa" w:w="5102"/>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Guia resumido para uso e apoio.</w:t>
            </w:r>
          </w:p>
        </w:tc>
      </w:tr>
      <w:tr>
        <w:trPr>
          <w:cantSplit/>
        </w:trPr>
        <w:tc>
          <w:tcPr>
            <w:tcW w:type="dxa" w:w="4252"/>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sharepoint/solution/importador-spfx.sppkg</w:t>
            </w:r>
          </w:p>
        </w:tc>
        <w:tc>
          <w:tcPr>
            <w:tcW w:type="dxa" w:w="5102"/>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Pacote instalável versão 1.0.0.10.</w:t>
            </w:r>
          </w:p>
        </w:tc>
      </w:tr>
      <w:tr>
        <w:trPr>
          <w:cantSplit/>
        </w:trPr>
        <w:tc>
          <w:tcPr>
            <w:tcW w:type="dxa" w:w="4252"/>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provision/Provision-AuditList.ps1</w:t>
            </w:r>
          </w:p>
        </w:tc>
        <w:tc>
          <w:tcPr>
            <w:tcW w:type="dxa" w:w="5102"/>
            <w:vAlign w:val="center"/>
            <w:shd w:fill="F3F5F7"/>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Criação opcional da auditoria central.</w:t>
            </w:r>
          </w:p>
        </w:tc>
      </w:tr>
    </w:tbl>
    <w:p>
      <w:pPr>
        <w:spacing w:after="20"/>
      </w:pPr>
    </w:p>
    <w:p>
      <w:pPr>
        <w:pStyle w:val="Heading2"/>
      </w:pPr>
      <w:r>
        <w:t>16.1 Primeiras ações do novo responsável</w:t>
      </w:r>
    </w:p>
    <w:p>
      <w:pPr>
        <w:spacing w:after="40"/>
        <w:ind w:left="312" w:hanging="255"/>
      </w:pPr>
      <w:r>
        <w:rPr>
          <w:b/>
        </w:rPr>
        <w:t xml:space="preserve">1. </w:t>
      </w:r>
      <w:r>
        <w:t>Executar o projeto localmente e confirmar os 32 testes.</w:t>
      </w:r>
    </w:p>
    <w:p>
      <w:pPr>
        <w:spacing w:after="40"/>
        <w:ind w:left="312" w:hanging="255"/>
      </w:pPr>
      <w:r>
        <w:rPr>
          <w:b/>
        </w:rPr>
        <w:t xml:space="preserve">2. </w:t>
      </w:r>
      <w:r>
        <w:t>Ler models/index.ts, contracts.ts, ImportService.ts e BatchTransport.ts nessa ordem.</w:t>
      </w:r>
    </w:p>
    <w:p>
      <w:pPr>
        <w:spacing w:after="40"/>
        <w:ind w:left="312" w:hanging="255"/>
      </w:pPr>
      <w:r>
        <w:rPr>
          <w:b/>
        </w:rPr>
        <w:t xml:space="preserve">3. </w:t>
      </w:r>
      <w:r>
        <w:t>Confirmar a 1.0.0.10 em ambiente piloto e localizar a evidência da homologação já informada.</w:t>
      </w:r>
    </w:p>
    <w:p>
      <w:pPr>
        <w:spacing w:after="40"/>
        <w:ind w:left="312" w:hanging="255"/>
      </w:pPr>
      <w:r>
        <w:rPr>
          <w:b/>
        </w:rPr>
        <w:t xml:space="preserve">4. </w:t>
      </w:r>
      <w:r>
        <w:t>Executar o roteiro da seção 13.2 somente se surgir uma nova falha de gravação.</w:t>
      </w:r>
    </w:p>
    <w:p>
      <w:pPr>
        <w:spacing w:after="40"/>
        <w:ind w:left="312" w:hanging="255"/>
      </w:pPr>
      <w:r>
        <w:rPr>
          <w:b/>
        </w:rPr>
        <w:t xml:space="preserve">5. </w:t>
      </w:r>
      <w:r>
        <w:t>Manter o resultado das próximas homologações atualizado em docs/TESTES.md.</w:t>
      </w:r>
    </w:p>
    <w:p>
      <w:pPr>
        <w:spacing w:after="40"/>
        <w:ind w:left="312" w:hanging="255"/>
      </w:pPr>
      <w:r>
        <w:rPr>
          <w:b/>
        </w:rPr>
        <w:t xml:space="preserve">6. </w:t>
      </w:r>
      <w:r>
        <w:t>Definir responsável, canal de incidentes, janela de publicação e retenção de pacotes.</w:t>
      </w:r>
    </w:p>
    <w:p>
      <w:pPr>
        <w:pStyle w:val="Heading2"/>
      </w:pPr>
      <w:r>
        <w:t>16.2 Definição de pronto para sustentação</w:t>
      </w:r>
    </w:p>
    <w:tbl>
      <w:tblPr>
        <w:tblW w:type="auto" w:w="0"/>
        <w:jc w:val="center"/>
        <w:tblLook w:firstColumn="1" w:firstRow="1" w:lastColumn="0" w:lastRow="0" w:noHBand="0" w:noVBand="1" w:val="04A0"/>
      </w:tblPr>
      <w:tblGrid>
        <w:gridCol w:w="9752"/>
      </w:tblGrid>
      <w:tr>
        <w:trPr>
          <w:cantSplit/>
        </w:trPr>
        <w:tc>
          <w:tcPr>
            <w:tcW w:type="dxa" w:w="9752"/>
            <w:shd w:fill="DDEFEA"/>
            <w:tcBorders>
              <w:top w:val="single" w:sz="8" w:color="075E54"/>
              <w:left w:val="single" w:sz="8" w:color="075E54"/>
              <w:bottom w:val="single" w:sz="8" w:color="075E54"/>
              <w:right w:val="single" w:sz="8" w:color="075E54"/>
              <w:insideH w:val="single" w:sz="8" w:color="075E54"/>
              <w:insideV w:val="single" w:sz="8" w:color="075E54"/>
            </w:tcBorders>
          </w:tcPr>
          <w:p>
            <w:pPr>
              <w:spacing w:after="60"/>
            </w:pPr>
            <w:r/>
            <w:r>
              <w:rPr>
                <w:rFonts w:ascii="Aptos" w:hAnsi="Aptos"/>
                <w:b/>
                <w:color w:val="111111"/>
                <w:sz w:val="20"/>
              </w:rPr>
              <w:t>Transferência concluída</w:t>
            </w:r>
          </w:p>
          <w:p>
            <w:pPr>
              <w:spacing w:after="0"/>
            </w:pPr>
            <w:r>
              <w:rPr>
                <w:rFonts w:ascii="Aptos" w:hAnsi="Aptos"/>
                <w:sz w:val="18"/>
              </w:rPr>
              <w:t>O novo responsável consegue compilar e empacotar, reproduzir uma importação no tenant, localizar uma falha por linha, distinguir falha confirmada de resultado desconhecido, reverter uma versão e atualizar as evidências técnicas sem depender do autor original.</w:t>
            </w:r>
          </w:p>
        </w:tc>
      </w:tr>
    </w:tbl>
    <w:p>
      <w:pPr>
        <w:spacing w:after="20"/>
      </w:pPr>
    </w:p>
    <w:p>
      <w:pPr>
        <w:pStyle w:val="Heading2"/>
      </w:pPr>
      <w:r>
        <w:t>16.3 Registro de revisão</w:t>
      </w:r>
    </w:p>
    <w:tbl>
      <w:tblPr>
        <w:tblW w:type="auto" w:w="0"/>
        <w:jc w:val="center"/>
        <w:tblLayout w:type="fixed"/>
        <w:tblLook w:firstColumn="1" w:firstRow="1" w:lastColumn="0" w:lastRow="0" w:noHBand="0" w:noVBand="1" w:val="04A0"/>
      </w:tblPr>
      <w:tblGrid>
        <w:gridCol w:w="3251"/>
        <w:gridCol w:w="3251"/>
        <w:gridCol w:w="3251"/>
      </w:tblGrid>
      <w:tr>
        <w:trPr>
          <w:tblHeader/>
          <w:cantSplit/>
        </w:trPr>
        <w:tc>
          <w:tcPr>
            <w:tcW w:type="dxa" w:w="1814"/>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6"/>
              </w:rPr>
              <w:t>Data</w:t>
            </w:r>
          </w:p>
        </w:tc>
        <w:tc>
          <w:tcPr>
            <w:tcW w:type="dxa" w:w="2268"/>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6"/>
              </w:rPr>
              <w:t>Versão do documento</w:t>
            </w:r>
          </w:p>
        </w:tc>
        <w:tc>
          <w:tcPr>
            <w:tcW w:type="dxa" w:w="5272"/>
            <w:vAlign w:val="center"/>
            <w:shd w:fill="075E54"/>
            <w:tcBorders>
              <w:top w:val="single" w:sz="5" w:color="075E54"/>
              <w:left w:val="single" w:sz="5" w:color="075E54"/>
              <w:bottom w:val="single" w:sz="5" w:color="075E54"/>
              <w:right w:val="single" w:sz="5" w:color="075E54"/>
              <w:insideH w:val="single" w:sz="5" w:color="075E54"/>
              <w:insideV w:val="single" w:sz="5" w:color="075E54"/>
            </w:tcBorders>
          </w:tcPr>
          <w:p>
            <w:pPr>
              <w:spacing w:after="0"/>
            </w:pPr>
            <w:r/>
            <w:r>
              <w:rPr>
                <w:rFonts w:ascii="Aptos" w:hAnsi="Aptos"/>
                <w:b/>
                <w:color w:val="FFFFFF"/>
                <w:sz w:val="16"/>
              </w:rPr>
              <w:t>Descrição</w:t>
            </w:r>
          </w:p>
        </w:tc>
      </w:tr>
      <w:tr>
        <w:trPr>
          <w:cantSplit/>
        </w:trPr>
        <w:tc>
          <w:tcPr>
            <w:tcW w:type="dxa" w:w="1814"/>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13/09/2026</w:t>
            </w:r>
          </w:p>
        </w:tc>
        <w:tc>
          <w:tcPr>
            <w:tcW w:type="dxa" w:w="2268"/>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1.0</w:t>
            </w:r>
          </w:p>
        </w:tc>
        <w:tc>
          <w:tcPr>
            <w:tcW w:type="dxa" w:w="5272"/>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Emissão inicial para transferência de sustentação da solução 1.0.0.10.</w:t>
            </w:r>
          </w:p>
        </w:tc>
      </w:tr>
      <w:tr>
        <w:tc>
          <w:tcPr>
            <w:tcW w:type="dxa" w:w="1814"/>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13/09/2026</w:t>
            </w:r>
          </w:p>
        </w:tc>
        <w:tc>
          <w:tcPr>
            <w:tcW w:type="dxa" w:w="2268"/>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1.1</w:t>
            </w:r>
          </w:p>
        </w:tc>
        <w:tc>
          <w:tcPr>
            <w:tcW w:type="dxa" w:w="5272"/>
            <w:vAlign w:val="center"/>
            <w:shd w:fill="FFFFFF"/>
            <w:tcBorders>
              <w:top w:val="single" w:sz="5" w:color="B8C0C8"/>
              <w:left w:val="single" w:sz="5" w:color="B8C0C8"/>
              <w:bottom w:val="single" w:sz="5" w:color="B8C0C8"/>
              <w:right w:val="single" w:sz="5" w:color="B8C0C8"/>
              <w:insideH w:val="single" w:sz="5" w:color="B8C0C8"/>
              <w:insideV w:val="single" w:sz="5" w:color="B8C0C8"/>
            </w:tcBorders>
          </w:tcPr>
          <w:p>
            <w:pPr>
              <w:spacing w:after="0"/>
            </w:pPr>
            <w:r/>
            <w:r>
              <w:rPr>
                <w:rFonts w:ascii="Aptos" w:hAnsi="Aptos"/>
                <w:b w:val="0"/>
                <w:color w:val="111111"/>
                <w:sz w:val="16"/>
              </w:rPr>
              <w:t>Incluída leitura guiada do código-fonte e ambiente de edição no VS Code.</w:t>
            </w:r>
          </w:p>
        </w:tc>
      </w:tr>
    </w:tbl>
    <w:p>
      <w:pPr>
        <w:spacing w:after="20"/>
      </w:pPr>
    </w:p>
    <w:p>
      <w:r>
        <w:br w:type="page"/>
      </w:r>
    </w:p>
    <w:p>
      <w:pPr>
        <w:pStyle w:val="Heading1"/>
      </w:pPr>
      <w:r>
        <w:t>17. Leitura guiada do código-fonte</w:t>
      </w:r>
    </w:p>
    <w:p>
      <w:r>
        <w:t>Esta seção apresenta o caminho que uma ação percorre no código. A leitura recomendada segue da web part para a interface, depois para os contratos, regras e integrações. Os nomes abaixo correspondem à versão 1.0.0.10.</w:t>
      </w:r>
    </w:p>
    <w:p>
      <w:pPr>
        <w:pStyle w:val="Heading2"/>
      </w:pPr>
      <w:r>
        <w:t>17.1 Ponto de entrada</w:t>
      </w:r>
    </w:p>
    <w:tbl>
      <w:tblPr>
        <w:tblW w:type="auto" w:w="0"/>
        <w:jc w:val="center"/>
        <w:tblLayout w:type="fixed"/>
        <w:tblLook w:firstColumn="1" w:firstRow="1" w:lastColumn="0" w:lastRow="0" w:noHBand="0" w:noVBand="1" w:val="04A0"/>
      </w:tblPr>
      <w:tblGrid>
        <w:gridCol w:w="4876"/>
        <w:gridCol w:w="4876"/>
      </w:tblGrid>
      <w:tr>
        <w:trPr>
          <w:tblHeader/>
        </w:trPr>
        <w:tc>
          <w:tcPr>
            <w:tcW w:type="dxa" w:w="3175"/>
            <w:vAlign w:val="center"/>
            <w:shd w:fill="075E54"/>
            <w:tcBorders>
              <w:top w:val="single" w:sz="5" w:color="075E54"/>
              <w:left w:val="single" w:sz="5" w:color="075E54"/>
              <w:bottom w:val="single" w:sz="5" w:color="075E54"/>
              <w:right w:val="single" w:sz="5" w:color="075E54"/>
            </w:tcBorders>
          </w:tcPr>
          <w:p>
            <w:pPr>
              <w:spacing w:after="0"/>
            </w:pPr>
            <w:r/>
            <w:r>
              <w:rPr>
                <w:rFonts w:ascii="Aptos" w:hAnsi="Aptos"/>
                <w:b/>
                <w:color w:val="FFFFFF"/>
                <w:sz w:val="16"/>
              </w:rPr>
              <w:t>Arquivo</w:t>
            </w:r>
          </w:p>
        </w:tc>
        <w:tc>
          <w:tcPr>
            <w:tcW w:type="dxa" w:w="6180"/>
            <w:vAlign w:val="center"/>
            <w:shd w:fill="075E54"/>
            <w:tcBorders>
              <w:top w:val="single" w:sz="5" w:color="075E54"/>
              <w:left w:val="single" w:sz="5" w:color="075E54"/>
              <w:bottom w:val="single" w:sz="5" w:color="075E54"/>
              <w:right w:val="single" w:sz="5" w:color="075E54"/>
            </w:tcBorders>
          </w:tcPr>
          <w:p>
            <w:pPr>
              <w:spacing w:after="0"/>
            </w:pPr>
            <w:r/>
            <w:r>
              <w:rPr>
                <w:rFonts w:ascii="Aptos" w:hAnsi="Aptos"/>
                <w:b/>
                <w:color w:val="FFFFFF"/>
                <w:sz w:val="16"/>
              </w:rPr>
              <w:t>O que acontece</w:t>
            </w:r>
          </w:p>
        </w:tc>
      </w:tr>
      <w:tr>
        <w:trPr>
          <w:cantSplit/>
        </w:trPr>
        <w:tc>
          <w:tcPr>
            <w:tcW w:type="dxa" w:w="3175"/>
            <w:vAlign w:val="center"/>
            <w:shd w:fill="FFFFFF"/>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6"/>
              </w:rPr>
              <w:t>ImportadorWebPart.manifest.json</w:t>
            </w:r>
          </w:p>
        </w:tc>
        <w:tc>
          <w:tcPr>
            <w:tcW w:type="dxa" w:w="6180"/>
            <w:vAlign w:val="center"/>
            <w:shd w:fill="FFFFFF"/>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6"/>
              </w:rPr>
              <w:t>Define o alias e os hosts: SharePoint, Teams, aplicativo pessoal e página inteira.</w:t>
            </w:r>
          </w:p>
        </w:tc>
      </w:tr>
      <w:tr>
        <w:trPr>
          <w:cantSplit/>
        </w:trPr>
        <w:tc>
          <w:tcPr>
            <w:tcW w:type="dxa" w:w="3175"/>
            <w:vAlign w:val="center"/>
            <w:shd w:fill="F3F5F7"/>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6"/>
              </w:rPr>
              <w:t>ImportadorWebPart.ts</w:t>
            </w:r>
          </w:p>
        </w:tc>
        <w:tc>
          <w:tcPr>
            <w:tcW w:type="dxa" w:w="6180"/>
            <w:vAlign w:val="center"/>
            <w:shd w:fill="F3F5F7"/>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6"/>
              </w:rPr>
              <w:t>Lê propriedades, monta AppConfiguration, escolhe SharePointGateway ou DemoGateway e renderiza o React.</w:t>
            </w:r>
          </w:p>
        </w:tc>
      </w:tr>
      <w:tr>
        <w:trPr>
          <w:cantSplit/>
        </w:trPr>
        <w:tc>
          <w:tcPr>
            <w:tcW w:type="dxa" w:w="3175"/>
            <w:vAlign w:val="center"/>
            <w:shd w:fill="FFFFFF"/>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6"/>
              </w:rPr>
              <w:t>IImportadorProps.ts</w:t>
            </w:r>
          </w:p>
        </w:tc>
        <w:tc>
          <w:tcPr>
            <w:tcW w:type="dxa" w:w="6180"/>
            <w:vAlign w:val="center"/>
            <w:shd w:fill="FFFFFF"/>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6"/>
              </w:rPr>
              <w:t>Entrega à interface a configuração, o Gateway, o usuário e o nome do ambiente.</w:t>
            </w:r>
          </w:p>
        </w:tc>
      </w:tr>
    </w:tbl>
    <w:p>
      <w:pPr>
        <w:spacing w:after="20"/>
      </w:pPr>
    </w:p>
    <w:p>
      <w:pPr>
        <w:spacing w:before="40" w:after="80"/>
        <w:ind w:left="198" w:right="198"/>
        <w:shd w:fill="EEF1F4"/>
      </w:pPr>
      <w:r>
        <w:rPr>
          <w:rFonts w:ascii="Cascadia Mono" w:hAnsi="Cascadia Mono"/>
          <w:sz w:val="15"/>
        </w:rPr>
        <w:t>render()</w:t>
        <w:br/>
        <w:t xml:space="preserve">  configuração = DEFAULT_CONFIG + propriedades da web part</w:t>
        <w:br/>
        <w:t xml:space="preserve">  gateway = demoMode ? DemoGateway : SharePointGateway</w:t>
        <w:br/>
        <w:t xml:space="preserve">  ReactDom.render(&lt;Importador ... /&gt;)</w:t>
      </w:r>
    </w:p>
    <w:p>
      <w:pPr>
        <w:pStyle w:val="Heading2"/>
      </w:pPr>
      <w:r>
        <w:t>17.2 Controlador da interface</w:t>
      </w:r>
    </w:p>
    <w:p>
      <w:r>
        <w:t>Importador.tsx é o componente coordenador. Ele mantém a lista, o arquivo, a aba, o mapeamento, a validação, o progresso e o resultado no State. Os componentes menores recebem apenas dados e callbacks.</w:t>
      </w:r>
    </w:p>
    <w:tbl>
      <w:tblPr>
        <w:tblW w:type="auto" w:w="0"/>
        <w:jc w:val="center"/>
        <w:tblLayout w:type="fixed"/>
        <w:tblLook w:firstColumn="1" w:firstRow="1" w:lastColumn="0" w:lastRow="0" w:noHBand="0" w:noVBand="1" w:val="04A0"/>
      </w:tblPr>
      <w:tblGrid>
        <w:gridCol w:w="3251"/>
        <w:gridCol w:w="3251"/>
        <w:gridCol w:w="3251"/>
      </w:tblGrid>
      <w:tr>
        <w:trPr>
          <w:tblHeader/>
        </w:trPr>
        <w:tc>
          <w:tcPr>
            <w:tcW w:type="dxa" w:w="2268"/>
            <w:vAlign w:val="center"/>
            <w:shd w:fill="075E54"/>
            <w:tcBorders>
              <w:top w:val="single" w:sz="5" w:color="075E54"/>
              <w:left w:val="single" w:sz="5" w:color="075E54"/>
              <w:bottom w:val="single" w:sz="5" w:color="075E54"/>
              <w:right w:val="single" w:sz="5" w:color="075E54"/>
            </w:tcBorders>
          </w:tcPr>
          <w:p>
            <w:pPr>
              <w:spacing w:after="0"/>
            </w:pPr>
            <w:r/>
            <w:r>
              <w:rPr>
                <w:rFonts w:ascii="Aptos" w:hAnsi="Aptos"/>
                <w:b/>
                <w:color w:val="FFFFFF"/>
                <w:sz w:val="15"/>
              </w:rPr>
              <w:t>Método</w:t>
            </w:r>
          </w:p>
        </w:tc>
        <w:tc>
          <w:tcPr>
            <w:tcW w:type="dxa" w:w="3969"/>
            <w:vAlign w:val="center"/>
            <w:shd w:fill="075E54"/>
            <w:tcBorders>
              <w:top w:val="single" w:sz="5" w:color="075E54"/>
              <w:left w:val="single" w:sz="5" w:color="075E54"/>
              <w:bottom w:val="single" w:sz="5" w:color="075E54"/>
              <w:right w:val="single" w:sz="5" w:color="075E54"/>
            </w:tcBorders>
          </w:tcPr>
          <w:p>
            <w:pPr>
              <w:spacing w:after="0"/>
            </w:pPr>
            <w:r/>
            <w:r>
              <w:rPr>
                <w:rFonts w:ascii="Aptos" w:hAnsi="Aptos"/>
                <w:b/>
                <w:color w:val="FFFFFF"/>
                <w:sz w:val="15"/>
              </w:rPr>
              <w:t>Responsabilidade</w:t>
            </w:r>
          </w:p>
        </w:tc>
        <w:tc>
          <w:tcPr>
            <w:tcW w:type="dxa" w:w="3118"/>
            <w:vAlign w:val="center"/>
            <w:shd w:fill="075E54"/>
            <w:tcBorders>
              <w:top w:val="single" w:sz="5" w:color="075E54"/>
              <w:left w:val="single" w:sz="5" w:color="075E54"/>
              <w:bottom w:val="single" w:sz="5" w:color="075E54"/>
              <w:right w:val="single" w:sz="5" w:color="075E54"/>
            </w:tcBorders>
          </w:tcPr>
          <w:p>
            <w:pPr>
              <w:spacing w:after="0"/>
            </w:pPr>
            <w:r/>
            <w:r>
              <w:rPr>
                <w:rFonts w:ascii="Aptos" w:hAnsi="Aptos"/>
                <w:b/>
                <w:color w:val="FFFFFF"/>
                <w:sz w:val="15"/>
              </w:rPr>
              <w:t>Efeito no estado</w:t>
            </w:r>
          </w:p>
        </w:tc>
      </w:tr>
      <w:tr>
        <w:trPr>
          <w:cantSplit/>
        </w:trPr>
        <w:tc>
          <w:tcPr>
            <w:tcW w:type="dxa" w:w="2268"/>
            <w:vAlign w:val="center"/>
            <w:shd w:fill="FFFFFF"/>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5"/>
              </w:rPr>
              <w:t>selectList</w:t>
            </w:r>
          </w:p>
        </w:tc>
        <w:tc>
          <w:tcPr>
            <w:tcW w:type="dxa" w:w="3969"/>
            <w:vAlign w:val="center"/>
            <w:shd w:fill="FFFFFF"/>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5"/>
              </w:rPr>
              <w:t>Chama gateway.schema para a lista escolhida.</w:t>
            </w:r>
          </w:p>
        </w:tc>
        <w:tc>
          <w:tcPr>
            <w:tcW w:type="dxa" w:w="3118"/>
            <w:vAlign w:val="center"/>
            <w:shd w:fill="FFFFFF"/>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5"/>
              </w:rPr>
              <w:t>Limpa arquivo, mapeamento e resultados anteriores.</w:t>
            </w:r>
          </w:p>
        </w:tc>
      </w:tr>
      <w:tr>
        <w:trPr>
          <w:cantSplit/>
        </w:trPr>
        <w:tc>
          <w:tcPr>
            <w:tcW w:type="dxa" w:w="2268"/>
            <w:vAlign w:val="center"/>
            <w:shd w:fill="F3F5F7"/>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5"/>
              </w:rPr>
              <w:t>changeContentType</w:t>
            </w:r>
          </w:p>
        </w:tc>
        <w:tc>
          <w:tcPr>
            <w:tcW w:type="dxa" w:w="3969"/>
            <w:vAlign w:val="center"/>
            <w:shd w:fill="F3F5F7"/>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5"/>
              </w:rPr>
              <w:t>Recarrega o schema pelo tipo de conteúdo.</w:t>
            </w:r>
          </w:p>
        </w:tc>
        <w:tc>
          <w:tcPr>
            <w:tcW w:type="dxa" w:w="3118"/>
            <w:vAlign w:val="center"/>
            <w:shd w:fill="F3F5F7"/>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5"/>
              </w:rPr>
              <w:t>Invalida mapeamento e validação.</w:t>
            </w:r>
          </w:p>
        </w:tc>
      </w:tr>
      <w:tr>
        <w:trPr>
          <w:cantSplit/>
        </w:trPr>
        <w:tc>
          <w:tcPr>
            <w:tcW w:type="dxa" w:w="2268"/>
            <w:vAlign w:val="center"/>
            <w:shd w:fill="FFFFFF"/>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5"/>
              </w:rPr>
              <w:t>openFile / changeSheet</w:t>
            </w:r>
          </w:p>
        </w:tc>
        <w:tc>
          <w:tcPr>
            <w:tcW w:type="dxa" w:w="3969"/>
            <w:vAlign w:val="center"/>
            <w:shd w:fill="FFFFFF"/>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5"/>
              </w:rPr>
              <w:t>Lê o workbook e transforma a aba em ParsedSheet.</w:t>
            </w:r>
          </w:p>
        </w:tc>
        <w:tc>
          <w:tcPr>
            <w:tcW w:type="dxa" w:w="3118"/>
            <w:vAlign w:val="center"/>
            <w:shd w:fill="FFFFFF"/>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5"/>
              </w:rPr>
              <w:t>Escolhe Dados ou a primeira aba.</w:t>
            </w:r>
          </w:p>
        </w:tc>
      </w:tr>
      <w:tr>
        <w:trPr>
          <w:cantSplit/>
        </w:trPr>
        <w:tc>
          <w:tcPr>
            <w:tcW w:type="dxa" w:w="2268"/>
            <w:vAlign w:val="center"/>
            <w:shd w:fill="F3F5F7"/>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5"/>
              </w:rPr>
              <w:t>mapField</w:t>
            </w:r>
          </w:p>
        </w:tc>
        <w:tc>
          <w:tcPr>
            <w:tcW w:type="dxa" w:w="3969"/>
            <w:vAlign w:val="center"/>
            <w:shd w:fill="F3F5F7"/>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5"/>
              </w:rPr>
              <w:t>Liga internalName da lista ao índice da coluna Excel.</w:t>
            </w:r>
          </w:p>
        </w:tc>
        <w:tc>
          <w:tcPr>
            <w:tcW w:type="dxa" w:w="3118"/>
            <w:vAlign w:val="center"/>
            <w:shd w:fill="F3F5F7"/>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5"/>
              </w:rPr>
              <w:t>Invalida qualquer resultado anterior.</w:t>
            </w:r>
          </w:p>
        </w:tc>
      </w:tr>
      <w:tr>
        <w:trPr>
          <w:cantSplit/>
        </w:trPr>
        <w:tc>
          <w:tcPr>
            <w:tcW w:type="dxa" w:w="2268"/>
            <w:vAlign w:val="center"/>
            <w:shd w:fill="FFFFFF"/>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5"/>
              </w:rPr>
              <w:t>validate</w:t>
            </w:r>
          </w:p>
        </w:tc>
        <w:tc>
          <w:tcPr>
            <w:tcW w:type="dxa" w:w="3969"/>
            <w:vAlign w:val="center"/>
            <w:shd w:fill="FFFFFF"/>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5"/>
              </w:rPr>
              <w:t>Cria ValidationService e guarda ValidationResult.</w:t>
            </w:r>
          </w:p>
        </w:tc>
        <w:tc>
          <w:tcPr>
            <w:tcW w:type="dxa" w:w="3118"/>
            <w:vAlign w:val="center"/>
            <w:shd w:fill="FFFFFF"/>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5"/>
              </w:rPr>
              <w:t>Atualiza progresso e opção validOnly.</w:t>
            </w:r>
          </w:p>
        </w:tc>
      </w:tr>
      <w:tr>
        <w:trPr>
          <w:cantSplit/>
        </w:trPr>
        <w:tc>
          <w:tcPr>
            <w:tcW w:type="dxa" w:w="2268"/>
            <w:vAlign w:val="center"/>
            <w:shd w:fill="F3F5F7"/>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5"/>
              </w:rPr>
              <w:t>import</w:t>
            </w:r>
          </w:p>
        </w:tc>
        <w:tc>
          <w:tcPr>
            <w:tcW w:type="dxa" w:w="3969"/>
            <w:vAlign w:val="center"/>
            <w:shd w:fill="F3F5F7"/>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5"/>
              </w:rPr>
              <w:t>Cria ImportService e acompanha a execução.</w:t>
            </w:r>
          </w:p>
        </w:tc>
        <w:tc>
          <w:tcPr>
            <w:tcW w:type="dxa" w:w="3118"/>
            <w:vAlign w:val="center"/>
            <w:shd w:fill="F3F5F7"/>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5"/>
              </w:rPr>
              <w:t>Exibe progresso, resumo e log por linha.</w:t>
            </w:r>
          </w:p>
        </w:tc>
      </w:tr>
    </w:tbl>
    <w:p>
      <w:pPr>
        <w:spacing w:after="20"/>
      </w:pPr>
    </w:p>
    <w:p>
      <w:pPr>
        <w:pStyle w:val="Heading2"/>
      </w:pPr>
      <w:r>
        <w:t>17.3 Regra central de habilitação</w:t>
      </w:r>
    </w:p>
    <w:p>
      <w:pPr>
        <w:spacing w:before="40" w:after="80"/>
        <w:ind w:left="198" w:right="198"/>
        <w:shd w:fill="EEF1F4"/>
      </w:pPr>
      <w:r>
        <w:rPr>
          <w:rFonts w:ascii="Cascadia Mono" w:hAnsi="Cascadia Mono"/>
          <w:sz w:val="15"/>
        </w:rPr>
        <w:t>canImport = validação existente</w:t>
        <w:br/>
        <w:t xml:space="preserve">         &amp;&amp; sem erro estrutural</w:t>
        <w:br/>
        <w:t xml:space="preserve">         &amp;&amp; usuário pode adicionar itens</w:t>
        <w:br/>
        <w:t xml:space="preserve">         &amp;&amp; (somente válidos ? há linhas válidas : todas as linhas são válidas)</w:t>
      </w:r>
    </w:p>
    <w:p>
      <w:r>
        <w:t>A função invalidate é crítica: mudanças que alteram o significado dos dados apagam a validação e o resultado. Evite contornar esse mecanismo ao criar novos controles.</w:t>
      </w:r>
    </w:p>
    <w:p>
      <w:r>
        <w:br w:type="page"/>
      </w:r>
    </w:p>
    <w:p>
      <w:pPr>
        <w:pStyle w:val="Heading2"/>
      </w:pPr>
      <w:r>
        <w:t>17.4 Contratos e composição dos serviços</w:t>
      </w:r>
    </w:p>
    <w:p>
      <w:r>
        <w:t>contracts.ts define Gateway. Essa abstração permite que a interface e as regras funcionem com SharePointGateway em produção e DemoGateway nos testes visuais. Um método novo no contrato deve ser implementado pelos dois gateways e refletido nos testes.</w:t>
      </w:r>
    </w:p>
    <w:tbl>
      <w:tblPr>
        <w:tblW w:type="auto" w:w="0"/>
        <w:jc w:val="center"/>
        <w:tblLayout w:type="fixed"/>
        <w:tblLook w:firstColumn="1" w:firstRow="1" w:lastColumn="0" w:lastRow="0" w:noHBand="0" w:noVBand="1" w:val="04A0"/>
      </w:tblPr>
      <w:tblGrid>
        <w:gridCol w:w="2438"/>
        <w:gridCol w:w="2438"/>
        <w:gridCol w:w="2438"/>
        <w:gridCol w:w="2438"/>
      </w:tblGrid>
      <w:tr>
        <w:trPr>
          <w:tblHeader/>
        </w:trPr>
        <w:tc>
          <w:tcPr>
            <w:tcW w:type="dxa" w:w="2381"/>
            <w:vAlign w:val="center"/>
            <w:shd w:fill="075E54"/>
            <w:tcBorders>
              <w:top w:val="single" w:sz="5" w:color="075E54"/>
              <w:left w:val="single" w:sz="5" w:color="075E54"/>
              <w:bottom w:val="single" w:sz="5" w:color="075E54"/>
              <w:right w:val="single" w:sz="5" w:color="075E54"/>
            </w:tcBorders>
          </w:tcPr>
          <w:p>
            <w:pPr>
              <w:spacing w:after="0"/>
            </w:pPr>
            <w:r/>
            <w:r>
              <w:rPr>
                <w:rFonts w:ascii="Aptos" w:hAnsi="Aptos"/>
                <w:b/>
                <w:color w:val="FFFFFF"/>
                <w:sz w:val="15"/>
              </w:rPr>
              <w:t>Serviço</w:t>
            </w:r>
          </w:p>
        </w:tc>
        <w:tc>
          <w:tcPr>
            <w:tcW w:type="dxa" w:w="2608"/>
            <w:vAlign w:val="center"/>
            <w:shd w:fill="075E54"/>
            <w:tcBorders>
              <w:top w:val="single" w:sz="5" w:color="075E54"/>
              <w:left w:val="single" w:sz="5" w:color="075E54"/>
              <w:bottom w:val="single" w:sz="5" w:color="075E54"/>
              <w:right w:val="single" w:sz="5" w:color="075E54"/>
            </w:tcBorders>
          </w:tcPr>
          <w:p>
            <w:pPr>
              <w:spacing w:after="0"/>
            </w:pPr>
            <w:r/>
            <w:r>
              <w:rPr>
                <w:rFonts w:ascii="Aptos" w:hAnsi="Aptos"/>
                <w:b/>
                <w:color w:val="FFFFFF"/>
                <w:sz w:val="15"/>
              </w:rPr>
              <w:t>Entrada</w:t>
            </w:r>
          </w:p>
        </w:tc>
        <w:tc>
          <w:tcPr>
            <w:tcW w:type="dxa" w:w="2268"/>
            <w:vAlign w:val="center"/>
            <w:shd w:fill="075E54"/>
            <w:tcBorders>
              <w:top w:val="single" w:sz="5" w:color="075E54"/>
              <w:left w:val="single" w:sz="5" w:color="075E54"/>
              <w:bottom w:val="single" w:sz="5" w:color="075E54"/>
              <w:right w:val="single" w:sz="5" w:color="075E54"/>
            </w:tcBorders>
          </w:tcPr>
          <w:p>
            <w:pPr>
              <w:spacing w:after="0"/>
            </w:pPr>
            <w:r/>
            <w:r>
              <w:rPr>
                <w:rFonts w:ascii="Aptos" w:hAnsi="Aptos"/>
                <w:b/>
                <w:color w:val="FFFFFF"/>
                <w:sz w:val="15"/>
              </w:rPr>
              <w:t>Saída</w:t>
            </w:r>
          </w:p>
        </w:tc>
        <w:tc>
          <w:tcPr>
            <w:tcW w:type="dxa" w:w="2098"/>
            <w:vAlign w:val="center"/>
            <w:shd w:fill="075E54"/>
            <w:tcBorders>
              <w:top w:val="single" w:sz="5" w:color="075E54"/>
              <w:left w:val="single" w:sz="5" w:color="075E54"/>
              <w:bottom w:val="single" w:sz="5" w:color="075E54"/>
              <w:right w:val="single" w:sz="5" w:color="075E54"/>
            </w:tcBorders>
          </w:tcPr>
          <w:p>
            <w:pPr>
              <w:spacing w:after="0"/>
            </w:pPr>
            <w:r/>
            <w:r>
              <w:rPr>
                <w:rFonts w:ascii="Aptos" w:hAnsi="Aptos"/>
                <w:b/>
                <w:color w:val="FFFFFF"/>
                <w:sz w:val="15"/>
              </w:rPr>
              <w:t>Chamado por</w:t>
            </w:r>
          </w:p>
        </w:tc>
      </w:tr>
      <w:tr>
        <w:trPr>
          <w:cantSplit/>
        </w:trPr>
        <w:tc>
          <w:tcPr>
            <w:tcW w:type="dxa" w:w="2381"/>
            <w:vAlign w:val="center"/>
            <w:shd w:fill="FFFFFF"/>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5"/>
              </w:rPr>
              <w:t>SearchService</w:t>
            </w:r>
          </w:p>
        </w:tc>
        <w:tc>
          <w:tcPr>
            <w:tcW w:type="dxa" w:w="2608"/>
            <w:vAlign w:val="center"/>
            <w:shd w:fill="FFFFFF"/>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5"/>
              </w:rPr>
              <w:t>Texto</w:t>
            </w:r>
          </w:p>
        </w:tc>
        <w:tc>
          <w:tcPr>
            <w:tcW w:type="dxa" w:w="2268"/>
            <w:vAlign w:val="center"/>
            <w:shd w:fill="FFFFFF"/>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5"/>
              </w:rPr>
              <w:t>SearchResult</w:t>
            </w:r>
          </w:p>
        </w:tc>
        <w:tc>
          <w:tcPr>
            <w:tcW w:type="dxa" w:w="2098"/>
            <w:vAlign w:val="center"/>
            <w:shd w:fill="FFFFFF"/>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5"/>
              </w:rPr>
              <w:t>ListSearch via Gateway</w:t>
            </w:r>
          </w:p>
        </w:tc>
      </w:tr>
      <w:tr>
        <w:trPr>
          <w:cantSplit/>
        </w:trPr>
        <w:tc>
          <w:tcPr>
            <w:tcW w:type="dxa" w:w="2381"/>
            <w:vAlign w:val="center"/>
            <w:shd w:fill="F3F5F7"/>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5"/>
              </w:rPr>
              <w:t>SharePointSchemaService</w:t>
            </w:r>
          </w:p>
        </w:tc>
        <w:tc>
          <w:tcPr>
            <w:tcW w:type="dxa" w:w="2608"/>
            <w:vAlign w:val="center"/>
            <w:shd w:fill="F3F5F7"/>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5"/>
              </w:rPr>
              <w:t>ListReference + tipo</w:t>
            </w:r>
          </w:p>
        </w:tc>
        <w:tc>
          <w:tcPr>
            <w:tcW w:type="dxa" w:w="2268"/>
            <w:vAlign w:val="center"/>
            <w:shd w:fill="F3F5F7"/>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5"/>
              </w:rPr>
              <w:t>ListDefinition</w:t>
            </w:r>
          </w:p>
        </w:tc>
        <w:tc>
          <w:tcPr>
            <w:tcW w:type="dxa" w:w="2098"/>
            <w:vAlign w:val="center"/>
            <w:shd w:fill="F3F5F7"/>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5"/>
              </w:rPr>
              <w:t>Seleção e ImportService</w:t>
            </w:r>
          </w:p>
        </w:tc>
      </w:tr>
      <w:tr>
        <w:trPr>
          <w:cantSplit/>
        </w:trPr>
        <w:tc>
          <w:tcPr>
            <w:tcW w:type="dxa" w:w="2381"/>
            <w:vAlign w:val="center"/>
            <w:shd w:fill="FFFFFF"/>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5"/>
              </w:rPr>
              <w:t>ExcelParserService</w:t>
            </w:r>
          </w:p>
        </w:tc>
        <w:tc>
          <w:tcPr>
            <w:tcW w:type="dxa" w:w="2608"/>
            <w:vAlign w:val="center"/>
            <w:shd w:fill="FFFFFF"/>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5"/>
              </w:rPr>
              <w:t>ArrayBuffer/workbook</w:t>
            </w:r>
          </w:p>
        </w:tc>
        <w:tc>
          <w:tcPr>
            <w:tcW w:type="dxa" w:w="2268"/>
            <w:vAlign w:val="center"/>
            <w:shd w:fill="FFFFFF"/>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5"/>
              </w:rPr>
              <w:t>ParsedSheet ou XLSX</w:t>
            </w:r>
          </w:p>
        </w:tc>
        <w:tc>
          <w:tcPr>
            <w:tcW w:type="dxa" w:w="2098"/>
            <w:vAlign w:val="center"/>
            <w:shd w:fill="FFFFFF"/>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5"/>
              </w:rPr>
              <w:t>Importador</w:t>
            </w:r>
          </w:p>
        </w:tc>
      </w:tr>
      <w:tr>
        <w:trPr>
          <w:cantSplit/>
        </w:trPr>
        <w:tc>
          <w:tcPr>
            <w:tcW w:type="dxa" w:w="2381"/>
            <w:vAlign w:val="center"/>
            <w:shd w:fill="F3F5F7"/>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5"/>
              </w:rPr>
              <w:t>ValidationService</w:t>
            </w:r>
          </w:p>
        </w:tc>
        <w:tc>
          <w:tcPr>
            <w:tcW w:type="dxa" w:w="2608"/>
            <w:vAlign w:val="center"/>
            <w:shd w:fill="F3F5F7"/>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5"/>
              </w:rPr>
              <w:t>Planilha + lista + mapeamento</w:t>
            </w:r>
          </w:p>
        </w:tc>
        <w:tc>
          <w:tcPr>
            <w:tcW w:type="dxa" w:w="2268"/>
            <w:vAlign w:val="center"/>
            <w:shd w:fill="F3F5F7"/>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5"/>
              </w:rPr>
              <w:t>ValidationResult</w:t>
            </w:r>
          </w:p>
        </w:tc>
        <w:tc>
          <w:tcPr>
            <w:tcW w:type="dxa" w:w="2098"/>
            <w:vAlign w:val="center"/>
            <w:shd w:fill="F3F5F7"/>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5"/>
              </w:rPr>
              <w:t>Importador</w:t>
            </w:r>
          </w:p>
        </w:tc>
      </w:tr>
      <w:tr>
        <w:trPr>
          <w:cantSplit/>
        </w:trPr>
        <w:tc>
          <w:tcPr>
            <w:tcW w:type="dxa" w:w="2381"/>
            <w:vAlign w:val="center"/>
            <w:shd w:fill="FFFFFF"/>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5"/>
              </w:rPr>
              <w:t>ReferenceService</w:t>
            </w:r>
          </w:p>
        </w:tc>
        <w:tc>
          <w:tcPr>
            <w:tcW w:type="dxa" w:w="2608"/>
            <w:vAlign w:val="center"/>
            <w:shd w:fill="FFFFFF"/>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5"/>
              </w:rPr>
              <w:t>Campo + valor</w:t>
            </w:r>
          </w:p>
        </w:tc>
        <w:tc>
          <w:tcPr>
            <w:tcW w:type="dxa" w:w="2268"/>
            <w:vAlign w:val="center"/>
            <w:shd w:fill="FFFFFF"/>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5"/>
              </w:rPr>
              <w:t>ID ou erro</w:t>
            </w:r>
          </w:p>
        </w:tc>
        <w:tc>
          <w:tcPr>
            <w:tcW w:type="dxa" w:w="2098"/>
            <w:vAlign w:val="center"/>
            <w:shd w:fill="FFFFFF"/>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5"/>
              </w:rPr>
              <w:t>ValidationService via Gateway</w:t>
            </w:r>
          </w:p>
        </w:tc>
      </w:tr>
      <w:tr>
        <w:trPr>
          <w:cantSplit/>
        </w:trPr>
        <w:tc>
          <w:tcPr>
            <w:tcW w:type="dxa" w:w="2381"/>
            <w:vAlign w:val="center"/>
            <w:shd w:fill="F3F5F7"/>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5"/>
              </w:rPr>
              <w:t>ImportService</w:t>
            </w:r>
          </w:p>
        </w:tc>
        <w:tc>
          <w:tcPr>
            <w:tcW w:type="dxa" w:w="2608"/>
            <w:vAlign w:val="center"/>
            <w:shd w:fill="F3F5F7"/>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5"/>
              </w:rPr>
              <w:t>Lista + validação</w:t>
            </w:r>
          </w:p>
        </w:tc>
        <w:tc>
          <w:tcPr>
            <w:tcW w:type="dxa" w:w="2268"/>
            <w:vAlign w:val="center"/>
            <w:shd w:fill="F3F5F7"/>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5"/>
              </w:rPr>
              <w:t>ImportResult</w:t>
            </w:r>
          </w:p>
        </w:tc>
        <w:tc>
          <w:tcPr>
            <w:tcW w:type="dxa" w:w="2098"/>
            <w:vAlign w:val="center"/>
            <w:shd w:fill="F3F5F7"/>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5"/>
              </w:rPr>
              <w:t>Importador</w:t>
            </w:r>
          </w:p>
        </w:tc>
      </w:tr>
      <w:tr>
        <w:trPr>
          <w:cantSplit/>
        </w:trPr>
        <w:tc>
          <w:tcPr>
            <w:tcW w:type="dxa" w:w="2381"/>
            <w:vAlign w:val="center"/>
            <w:shd w:fill="FFFFFF"/>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5"/>
              </w:rPr>
              <w:t>BatchTransport</w:t>
            </w:r>
          </w:p>
        </w:tc>
        <w:tc>
          <w:tcPr>
            <w:tcW w:type="dxa" w:w="2608"/>
            <w:vAlign w:val="center"/>
            <w:shd w:fill="FFFFFF"/>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5"/>
              </w:rPr>
              <w:t>ValidatedRow[]</w:t>
            </w:r>
          </w:p>
        </w:tc>
        <w:tc>
          <w:tcPr>
            <w:tcW w:type="dxa" w:w="2268"/>
            <w:vAlign w:val="center"/>
            <w:shd w:fill="FFFFFF"/>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5"/>
              </w:rPr>
              <w:t>ImportRowResult[]</w:t>
            </w:r>
          </w:p>
        </w:tc>
        <w:tc>
          <w:tcPr>
            <w:tcW w:type="dxa" w:w="2098"/>
            <w:vAlign w:val="center"/>
            <w:shd w:fill="FFFFFF"/>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5"/>
              </w:rPr>
              <w:t>ImportService via Gateway</w:t>
            </w:r>
          </w:p>
        </w:tc>
      </w:tr>
    </w:tbl>
    <w:p>
      <w:pPr>
        <w:spacing w:after="20"/>
      </w:pPr>
    </w:p>
    <w:p>
      <w:pPr>
        <w:pStyle w:val="Heading2"/>
      </w:pPr>
      <w:r>
        <w:t>17.5 Como a validação funciona</w:t>
      </w:r>
    </w:p>
    <w:p>
      <w:pPr>
        <w:spacing w:after="40"/>
        <w:ind w:left="312" w:hanging="255"/>
      </w:pPr>
      <w:r>
        <w:rPr>
          <w:b/>
        </w:rPr>
        <w:t xml:space="preserve">1. </w:t>
      </w:r>
      <w:r>
        <w:t>mapTargets relaciona cada campo de destino a uma coluna de origem. O mapeamento explícito prevalece sobre a correspondência automática pelo título.</w:t>
      </w:r>
    </w:p>
    <w:p>
      <w:pPr>
        <w:spacing w:after="40"/>
        <w:ind w:left="312" w:hanging="255"/>
      </w:pPr>
      <w:r>
        <w:rPr>
          <w:b/>
        </w:rPr>
        <w:t xml:space="preserve">2. </w:t>
      </w:r>
      <w:r>
        <w:t>A primeira passagem verifica estrutura, cabeçalhos repetidos, campos obrigatórios, campos não suportados e colunas extras.</w:t>
      </w:r>
    </w:p>
    <w:p>
      <w:pPr>
        <w:spacing w:after="40"/>
        <w:ind w:left="312" w:hanging="255"/>
      </w:pPr>
      <w:r>
        <w:rPr>
          <w:b/>
        </w:rPr>
        <w:t xml:space="preserve">3. </w:t>
      </w:r>
      <w:r>
        <w:t>O serviço reúne pessoas, lookups e datas distintas para resolver cada valor uma vez, reduzindo consultas repetidas.</w:t>
      </w:r>
    </w:p>
    <w:p>
      <w:pPr>
        <w:spacing w:after="40"/>
        <w:ind w:left="312" w:hanging="255"/>
      </w:pPr>
      <w:r>
        <w:rPr>
          <w:b/>
        </w:rPr>
        <w:t xml:space="preserve">4. </w:t>
      </w:r>
      <w:r>
        <w:t>A segunda passagem percorre cada linha, converte as células e constrói o payload usando nomes internos do SharePoint.</w:t>
      </w:r>
    </w:p>
    <w:p>
      <w:pPr>
        <w:spacing w:after="40"/>
        <w:ind w:left="312" w:hanging="255"/>
      </w:pPr>
      <w:r>
        <w:rPr>
          <w:b/>
        </w:rPr>
        <w:t xml:space="preserve">5. </w:t>
      </w:r>
      <w:r>
        <w:t>Erros são ligados à linha física. Somente linhas sem erro entram em ValidationResult.rows.</w:t>
      </w:r>
    </w:p>
    <w:p>
      <w:pPr>
        <w:spacing w:after="40"/>
        <w:ind w:left="312" w:hanging="255"/>
      </w:pPr>
      <w:r>
        <w:rPr>
          <w:b/>
        </w:rPr>
        <w:t xml:space="preserve">6. </w:t>
      </w:r>
      <w:r>
        <w:t>O total invalid conta linhas distintas; a coleção errors pode conter vários problemas para a mesma linha.</w:t>
      </w:r>
    </w:p>
    <w:p>
      <w:pPr>
        <w:pStyle w:val="Heading2"/>
      </w:pPr>
      <w:r>
        <w:t>17.6 Como um valor vira payload</w:t>
      </w:r>
    </w:p>
    <w:tbl>
      <w:tblPr>
        <w:tblW w:type="auto" w:w="0"/>
        <w:jc w:val="center"/>
        <w:tblLayout w:type="fixed"/>
        <w:tblLook w:firstColumn="1" w:firstRow="1" w:lastColumn="0" w:lastRow="0" w:noHBand="0" w:noVBand="1" w:val="04A0"/>
      </w:tblPr>
      <w:tblGrid>
        <w:gridCol w:w="3251"/>
        <w:gridCol w:w="3251"/>
        <w:gridCol w:w="3251"/>
      </w:tblGrid>
      <w:tr>
        <w:trPr>
          <w:tblHeader/>
        </w:trPr>
        <w:tc>
          <w:tcPr>
            <w:tcW w:type="dxa" w:w="2268"/>
            <w:vAlign w:val="center"/>
            <w:shd w:fill="075E54"/>
            <w:tcBorders>
              <w:top w:val="single" w:sz="5" w:color="075E54"/>
              <w:left w:val="single" w:sz="5" w:color="075E54"/>
              <w:bottom w:val="single" w:sz="5" w:color="075E54"/>
              <w:right w:val="single" w:sz="5" w:color="075E54"/>
            </w:tcBorders>
          </w:tcPr>
          <w:p>
            <w:pPr>
              <w:spacing w:after="0"/>
            </w:pPr>
            <w:r/>
            <w:r>
              <w:rPr>
                <w:rFonts w:ascii="Aptos" w:hAnsi="Aptos"/>
                <w:b/>
                <w:color w:val="FFFFFF"/>
                <w:sz w:val="15"/>
              </w:rPr>
              <w:t>Origem</w:t>
            </w:r>
          </w:p>
        </w:tc>
        <w:tc>
          <w:tcPr>
            <w:tcW w:type="dxa" w:w="3402"/>
            <w:vAlign w:val="center"/>
            <w:shd w:fill="075E54"/>
            <w:tcBorders>
              <w:top w:val="single" w:sz="5" w:color="075E54"/>
              <w:left w:val="single" w:sz="5" w:color="075E54"/>
              <w:bottom w:val="single" w:sz="5" w:color="075E54"/>
              <w:right w:val="single" w:sz="5" w:color="075E54"/>
            </w:tcBorders>
          </w:tcPr>
          <w:p>
            <w:pPr>
              <w:spacing w:after="0"/>
            </w:pPr>
            <w:r/>
            <w:r>
              <w:rPr>
                <w:rFonts w:ascii="Aptos" w:hAnsi="Aptos"/>
                <w:b/>
                <w:color w:val="FFFFFF"/>
                <w:sz w:val="15"/>
              </w:rPr>
              <w:t>Conversão</w:t>
            </w:r>
          </w:p>
        </w:tc>
        <w:tc>
          <w:tcPr>
            <w:tcW w:type="dxa" w:w="3685"/>
            <w:vAlign w:val="center"/>
            <w:shd w:fill="075E54"/>
            <w:tcBorders>
              <w:top w:val="single" w:sz="5" w:color="075E54"/>
              <w:left w:val="single" w:sz="5" w:color="075E54"/>
              <w:bottom w:val="single" w:sz="5" w:color="075E54"/>
              <w:right w:val="single" w:sz="5" w:color="075E54"/>
            </w:tcBorders>
          </w:tcPr>
          <w:p>
            <w:pPr>
              <w:spacing w:after="0"/>
            </w:pPr>
            <w:r/>
            <w:r>
              <w:rPr>
                <w:rFonts w:ascii="Aptos" w:hAnsi="Aptos"/>
                <w:b/>
                <w:color w:val="FFFFFF"/>
                <w:sz w:val="15"/>
              </w:rPr>
              <w:t>Formato no payload</w:t>
            </w:r>
          </w:p>
        </w:tc>
      </w:tr>
      <w:tr>
        <w:trPr>
          <w:cantSplit/>
        </w:trPr>
        <w:tc>
          <w:tcPr>
            <w:tcW w:type="dxa" w:w="2268"/>
            <w:vAlign w:val="center"/>
            <w:shd w:fill="FFFFFF"/>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5"/>
              </w:rPr>
              <w:t>Número/moeda</w:t>
            </w:r>
          </w:p>
        </w:tc>
        <w:tc>
          <w:tcPr>
            <w:tcW w:type="dxa" w:w="3402"/>
            <w:vAlign w:val="center"/>
            <w:shd w:fill="FFFFFF"/>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5"/>
              </w:rPr>
              <w:t>parseNumber com cultura</w:t>
            </w:r>
          </w:p>
        </w:tc>
        <w:tc>
          <w:tcPr>
            <w:tcW w:type="dxa" w:w="3685"/>
            <w:vAlign w:val="center"/>
            <w:shd w:fill="FFFFFF"/>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5"/>
              </w:rPr>
              <w:t>number</w:t>
            </w:r>
          </w:p>
        </w:tc>
      </w:tr>
      <w:tr>
        <w:trPr>
          <w:cantSplit/>
        </w:trPr>
        <w:tc>
          <w:tcPr>
            <w:tcW w:type="dxa" w:w="2268"/>
            <w:vAlign w:val="center"/>
            <w:shd w:fill="F3F5F7"/>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5"/>
              </w:rPr>
              <w:t>Sim/Não</w:t>
            </w:r>
          </w:p>
        </w:tc>
        <w:tc>
          <w:tcPr>
            <w:tcW w:type="dxa" w:w="3402"/>
            <w:vAlign w:val="center"/>
            <w:shd w:fill="F3F5F7"/>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5"/>
              </w:rPr>
              <w:t>parseBoolean</w:t>
            </w:r>
          </w:p>
        </w:tc>
        <w:tc>
          <w:tcPr>
            <w:tcW w:type="dxa" w:w="3685"/>
            <w:vAlign w:val="center"/>
            <w:shd w:fill="F3F5F7"/>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5"/>
              </w:rPr>
              <w:t>boolean</w:t>
            </w:r>
          </w:p>
        </w:tc>
      </w:tr>
      <w:tr>
        <w:trPr>
          <w:cantSplit/>
        </w:trPr>
        <w:tc>
          <w:tcPr>
            <w:tcW w:type="dxa" w:w="2268"/>
            <w:vAlign w:val="center"/>
            <w:shd w:fill="FFFFFF"/>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5"/>
              </w:rPr>
              <w:t>Data</w:t>
            </w:r>
          </w:p>
        </w:tc>
        <w:tc>
          <w:tcPr>
            <w:tcW w:type="dxa" w:w="3402"/>
            <w:vAlign w:val="center"/>
            <w:shd w:fill="FFFFFF"/>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5"/>
              </w:rPr>
              <w:t>parseDate + localToUtc quando necessário</w:t>
            </w:r>
          </w:p>
        </w:tc>
        <w:tc>
          <w:tcPr>
            <w:tcW w:type="dxa" w:w="3685"/>
            <w:vAlign w:val="center"/>
            <w:shd w:fill="FFFFFF"/>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5"/>
              </w:rPr>
              <w:t>ISO ou data normalizada</w:t>
            </w:r>
          </w:p>
        </w:tc>
      </w:tr>
      <w:tr>
        <w:trPr>
          <w:cantSplit/>
        </w:trPr>
        <w:tc>
          <w:tcPr>
            <w:tcW w:type="dxa" w:w="2268"/>
            <w:vAlign w:val="center"/>
            <w:shd w:fill="F3F5F7"/>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5"/>
              </w:rPr>
              <w:t>Choice múltiplo</w:t>
            </w:r>
          </w:p>
        </w:tc>
        <w:tc>
          <w:tcPr>
            <w:tcW w:type="dxa" w:w="3402"/>
            <w:vAlign w:val="center"/>
            <w:shd w:fill="F3F5F7"/>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5"/>
              </w:rPr>
              <w:t>splitValues + validação</w:t>
            </w:r>
          </w:p>
        </w:tc>
        <w:tc>
          <w:tcPr>
            <w:tcW w:type="dxa" w:w="3685"/>
            <w:vAlign w:val="center"/>
            <w:shd w:fill="F3F5F7"/>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5"/>
              </w:rPr>
              <w:t>{ results: string[] }</w:t>
            </w:r>
          </w:p>
        </w:tc>
      </w:tr>
      <w:tr>
        <w:trPr>
          <w:cantSplit/>
        </w:trPr>
        <w:tc>
          <w:tcPr>
            <w:tcW w:type="dxa" w:w="2268"/>
            <w:vAlign w:val="center"/>
            <w:shd w:fill="FFFFFF"/>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5"/>
              </w:rPr>
              <w:t>Lookup/Pessoa</w:t>
            </w:r>
          </w:p>
        </w:tc>
        <w:tc>
          <w:tcPr>
            <w:tcW w:type="dxa" w:w="3402"/>
            <w:vAlign w:val="center"/>
            <w:shd w:fill="FFFFFF"/>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5"/>
              </w:rPr>
              <w:t>ReferenceService.resolve</w:t>
            </w:r>
          </w:p>
        </w:tc>
        <w:tc>
          <w:tcPr>
            <w:tcW w:type="dxa" w:w="3685"/>
            <w:vAlign w:val="center"/>
            <w:shd w:fill="FFFFFF"/>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5"/>
              </w:rPr>
              <w:t>CampoInternalNameId; múltiplo usa results</w:t>
            </w:r>
          </w:p>
        </w:tc>
      </w:tr>
    </w:tbl>
    <w:p>
      <w:pPr>
        <w:spacing w:after="20"/>
      </w:pPr>
    </w:p>
    <w:p>
      <w:r>
        <w:t>Para corrigir uma validação, determine primeiro se o problema está na descoberta do schema, na conversão da célula, na resolução da referência ou na apresentação do erro. Alterar apenas a mensagem pode esconder uma falha no payload.</w:t>
      </w:r>
    </w:p>
    <w:p>
      <w:r>
        <w:br w:type="page"/>
      </w:r>
    </w:p>
    <w:p>
      <w:pPr>
        <w:pStyle w:val="Heading2"/>
      </w:pPr>
      <w:r>
        <w:t>17.7 Caminho da gravação</w:t>
      </w:r>
    </w:p>
    <w:p>
      <w:pPr>
        <w:spacing w:before="40" w:after="80"/>
        <w:ind w:left="198" w:right="198"/>
        <w:shd w:fill="EEF1F4"/>
      </w:pPr>
      <w:r>
        <w:rPr>
          <w:rFonts w:ascii="Cascadia Mono" w:hAnsi="Cascadia Mono"/>
          <w:sz w:val="15"/>
        </w:rPr>
        <w:t>Importador.import</w:t>
        <w:br/>
        <w:t xml:space="preserve">  └─ ImportService.run</w:t>
        <w:br/>
        <w:t xml:space="preserve">      ├─ Gateway.schema        # revalida schema e permissão</w:t>
        <w:br/>
        <w:t xml:space="preserve">      ├─ Gateway.checkAudit    # somente quando configurado</w:t>
        <w:br/>
        <w:t xml:space="preserve">      └─ Gateway.batch</w:t>
        <w:br/>
        <w:t xml:space="preserve">          └─ BatchTransport.send</w:t>
        <w:br/>
        <w:t xml:space="preserve">              ├─ 1 linha  → POST /items</w:t>
        <w:br/>
        <w:t xml:space="preserve">              └─ N linhas → POST /$batch + Content-ID</w:t>
      </w:r>
    </w:p>
    <w:p>
      <w:r>
        <w:t>ImportService mantém o controle da execução. Ele rejeita schema alterado, divide as linhas pelo batchSize, atualiza progresso, trata a interrupção após o lote e consolida imported, failed, unknown e pending.</w:t>
      </w:r>
    </w:p>
    <w:p>
      <w:pPr>
        <w:pStyle w:val="Heading2"/>
      </w:pPr>
      <w:r>
        <w:t>17.8 Leitura do retorno HTTP</w:t>
      </w:r>
    </w:p>
    <w:tbl>
      <w:tblPr>
        <w:tblW w:type="auto" w:w="0"/>
        <w:jc w:val="center"/>
        <w:tblLayout w:type="fixed"/>
        <w:tblLook w:firstColumn="1" w:firstRow="1" w:lastColumn="0" w:lastRow="0" w:noHBand="0" w:noVBand="1" w:val="04A0"/>
      </w:tblPr>
      <w:tblGrid>
        <w:gridCol w:w="4876"/>
        <w:gridCol w:w="4876"/>
      </w:tblGrid>
      <w:tr>
        <w:trPr>
          <w:tblHeader/>
        </w:trPr>
        <w:tc>
          <w:tcPr>
            <w:tcW w:type="dxa" w:w="3175"/>
            <w:vAlign w:val="center"/>
            <w:shd w:fill="075E54"/>
            <w:tcBorders>
              <w:top w:val="single" w:sz="5" w:color="075E54"/>
              <w:left w:val="single" w:sz="5" w:color="075E54"/>
              <w:bottom w:val="single" w:sz="5" w:color="075E54"/>
              <w:right w:val="single" w:sz="5" w:color="075E54"/>
            </w:tcBorders>
          </w:tcPr>
          <w:p>
            <w:pPr>
              <w:spacing w:after="0"/>
            </w:pPr>
            <w:r/>
            <w:r>
              <w:rPr>
                <w:rFonts w:ascii="Aptos" w:hAnsi="Aptos"/>
                <w:b/>
                <w:color w:val="FFFFFF"/>
                <w:sz w:val="16"/>
              </w:rPr>
              <w:t>Local</w:t>
            </w:r>
          </w:p>
        </w:tc>
        <w:tc>
          <w:tcPr>
            <w:tcW w:type="dxa" w:w="6180"/>
            <w:vAlign w:val="center"/>
            <w:shd w:fill="075E54"/>
            <w:tcBorders>
              <w:top w:val="single" w:sz="5" w:color="075E54"/>
              <w:left w:val="single" w:sz="5" w:color="075E54"/>
              <w:bottom w:val="single" w:sz="5" w:color="075E54"/>
              <w:right w:val="single" w:sz="5" w:color="075E54"/>
            </w:tcBorders>
          </w:tcPr>
          <w:p>
            <w:pPr>
              <w:spacing w:after="0"/>
            </w:pPr>
            <w:r/>
            <w:r>
              <w:rPr>
                <w:rFonts w:ascii="Aptos" w:hAnsi="Aptos"/>
                <w:b/>
                <w:color w:val="FFFFFF"/>
                <w:sz w:val="16"/>
              </w:rPr>
              <w:t>Responsabilidade</w:t>
            </w:r>
          </w:p>
        </w:tc>
      </w:tr>
      <w:tr>
        <w:trPr>
          <w:cantSplit/>
        </w:trPr>
        <w:tc>
          <w:tcPr>
            <w:tcW w:type="dxa" w:w="3175"/>
            <w:vAlign w:val="center"/>
            <w:shd w:fill="FFFFFF"/>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6"/>
              </w:rPr>
              <w:t>RestClient.request</w:t>
            </w:r>
          </w:p>
        </w:tc>
        <w:tc>
          <w:tcPr>
            <w:tcW w:type="dxa" w:w="6180"/>
            <w:vAlign w:val="center"/>
            <w:shd w:fill="FFFFFF"/>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6"/>
              </w:rPr>
              <w:t>Monta endpoint _api, aplica timeout de 60 segundos e restringe a origem SharePoint.</w:t>
            </w:r>
          </w:p>
        </w:tc>
      </w:tr>
      <w:tr>
        <w:trPr>
          <w:cantSplit/>
        </w:trPr>
        <w:tc>
          <w:tcPr>
            <w:tcW w:type="dxa" w:w="3175"/>
            <w:vAlign w:val="center"/>
            <w:shd w:fill="F3F5F7"/>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6"/>
              </w:rPr>
              <w:t>RestClient.digest</w:t>
            </w:r>
          </w:p>
        </w:tc>
        <w:tc>
          <w:tcPr>
            <w:tcW w:type="dxa" w:w="6180"/>
            <w:vAlign w:val="center"/>
            <w:shd w:fill="F3F5F7"/>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6"/>
              </w:rPr>
              <w:t>Obtém e mantém em cache o form digest necessário aos POSTs.</w:t>
            </w:r>
          </w:p>
        </w:tc>
      </w:tr>
      <w:tr>
        <w:trPr>
          <w:cantSplit/>
        </w:trPr>
        <w:tc>
          <w:tcPr>
            <w:tcW w:type="dxa" w:w="3175"/>
            <w:vAlign w:val="center"/>
            <w:shd w:fill="FFFFFF"/>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6"/>
              </w:rPr>
              <w:t>BatchTransport.send — direto</w:t>
            </w:r>
          </w:p>
        </w:tc>
        <w:tc>
          <w:tcPr>
            <w:tcW w:type="dxa" w:w="6180"/>
            <w:vAlign w:val="center"/>
            <w:shd w:fill="FFFFFF"/>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6"/>
              </w:rPr>
              <w:t>Interpreta JSON, corpo vazio, Location e OData-EntityId; preserva HTTP e mensagem.</w:t>
            </w:r>
          </w:p>
        </w:tc>
      </w:tr>
      <w:tr>
        <w:trPr>
          <w:cantSplit/>
        </w:trPr>
        <w:tc>
          <w:tcPr>
            <w:tcW w:type="dxa" w:w="3175"/>
            <w:vAlign w:val="center"/>
            <w:shd w:fill="F3F5F7"/>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6"/>
              </w:rPr>
              <w:t>parseBatch</w:t>
            </w:r>
          </w:p>
        </w:tc>
        <w:tc>
          <w:tcPr>
            <w:tcW w:type="dxa" w:w="6180"/>
            <w:vAlign w:val="center"/>
            <w:shd w:fill="F3F5F7"/>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6"/>
              </w:rPr>
              <w:t>Separa respostas HTTP, lê Content-ID e relaciona a resposta à linha correspondente.</w:t>
            </w:r>
          </w:p>
        </w:tc>
      </w:tr>
      <w:tr>
        <w:trPr>
          <w:cantSplit/>
        </w:trPr>
        <w:tc>
          <w:tcPr>
            <w:tcW w:type="dxa" w:w="3175"/>
            <w:vAlign w:val="center"/>
            <w:shd w:fill="FFFFFF"/>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6"/>
              </w:rPr>
              <w:t>ImportService</w:t>
            </w:r>
          </w:p>
        </w:tc>
        <w:tc>
          <w:tcPr>
            <w:tcW w:type="dxa" w:w="6180"/>
            <w:vAlign w:val="center"/>
            <w:shd w:fill="FFFFFF"/>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6"/>
              </w:rPr>
              <w:t>Repete somente 429/503 confirmados; unknown interrompe para reconciliação.</w:t>
            </w:r>
          </w:p>
        </w:tc>
      </w:tr>
    </w:tbl>
    <w:p>
      <w:pPr>
        <w:spacing w:after="20"/>
      </w:pPr>
    </w:p>
    <w:p>
      <w:pPr>
        <w:pStyle w:val="Heading2"/>
      </w:pPr>
      <w:r>
        <w:t>17.9 Onde alterar cada comportamento</w:t>
      </w:r>
    </w:p>
    <w:tbl>
      <w:tblPr>
        <w:tblW w:type="auto" w:w="0"/>
        <w:jc w:val="center"/>
        <w:tblLayout w:type="fixed"/>
        <w:tblLook w:firstColumn="1" w:firstRow="1" w:lastColumn="0" w:lastRow="0" w:noHBand="0" w:noVBand="1" w:val="04A0"/>
      </w:tblPr>
      <w:tblGrid>
        <w:gridCol w:w="3251"/>
        <w:gridCol w:w="3251"/>
        <w:gridCol w:w="3251"/>
      </w:tblGrid>
      <w:tr>
        <w:trPr>
          <w:tblHeader/>
        </w:trPr>
        <w:tc>
          <w:tcPr>
            <w:tcW w:type="dxa" w:w="2324"/>
            <w:vAlign w:val="center"/>
            <w:shd w:fill="075E54"/>
            <w:tcBorders>
              <w:top w:val="single" w:sz="5" w:color="075E54"/>
              <w:left w:val="single" w:sz="5" w:color="075E54"/>
              <w:bottom w:val="single" w:sz="5" w:color="075E54"/>
              <w:right w:val="single" w:sz="5" w:color="075E54"/>
            </w:tcBorders>
          </w:tcPr>
          <w:p>
            <w:pPr>
              <w:spacing w:after="0"/>
            </w:pPr>
            <w:r/>
            <w:r>
              <w:rPr>
                <w:rFonts w:ascii="Aptos" w:hAnsi="Aptos"/>
                <w:b/>
                <w:color w:val="FFFFFF"/>
                <w:sz w:val="14"/>
              </w:rPr>
              <w:t>Necessidade</w:t>
            </w:r>
          </w:p>
        </w:tc>
        <w:tc>
          <w:tcPr>
            <w:tcW w:type="dxa" w:w="3005"/>
            <w:vAlign w:val="center"/>
            <w:shd w:fill="075E54"/>
            <w:tcBorders>
              <w:top w:val="single" w:sz="5" w:color="075E54"/>
              <w:left w:val="single" w:sz="5" w:color="075E54"/>
              <w:bottom w:val="single" w:sz="5" w:color="075E54"/>
              <w:right w:val="single" w:sz="5" w:color="075E54"/>
            </w:tcBorders>
          </w:tcPr>
          <w:p>
            <w:pPr>
              <w:spacing w:after="0"/>
            </w:pPr>
            <w:r/>
            <w:r>
              <w:rPr>
                <w:rFonts w:ascii="Aptos" w:hAnsi="Aptos"/>
                <w:b/>
                <w:color w:val="FFFFFF"/>
                <w:sz w:val="14"/>
              </w:rPr>
              <w:t>Arquivo principal</w:t>
            </w:r>
          </w:p>
        </w:tc>
        <w:tc>
          <w:tcPr>
            <w:tcW w:type="dxa" w:w="4025"/>
            <w:vAlign w:val="center"/>
            <w:shd w:fill="075E54"/>
            <w:tcBorders>
              <w:top w:val="single" w:sz="5" w:color="075E54"/>
              <w:left w:val="single" w:sz="5" w:color="075E54"/>
              <w:bottom w:val="single" w:sz="5" w:color="075E54"/>
              <w:right w:val="single" w:sz="5" w:color="075E54"/>
            </w:tcBorders>
          </w:tcPr>
          <w:p>
            <w:pPr>
              <w:spacing w:after="0"/>
            </w:pPr>
            <w:r/>
            <w:r>
              <w:rPr>
                <w:rFonts w:ascii="Aptos" w:hAnsi="Aptos"/>
                <w:b/>
                <w:color w:val="FFFFFF"/>
                <w:sz w:val="14"/>
              </w:rPr>
              <w:t>Arquivos que também devem ser revistos</w:t>
            </w:r>
          </w:p>
        </w:tc>
      </w:tr>
      <w:tr>
        <w:trPr>
          <w:cantSplit/>
        </w:trPr>
        <w:tc>
          <w:tcPr>
            <w:tcW w:type="dxa" w:w="2324"/>
            <w:vAlign w:val="center"/>
            <w:shd w:fill="FFFFFF"/>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4"/>
              </w:rPr>
              <w:t>Novo tipo de campo</w:t>
            </w:r>
          </w:p>
        </w:tc>
        <w:tc>
          <w:tcPr>
            <w:tcW w:type="dxa" w:w="3005"/>
            <w:vAlign w:val="center"/>
            <w:shd w:fill="FFFFFF"/>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4"/>
              </w:rPr>
              <w:t>models/index.ts e conversions.ts</w:t>
            </w:r>
          </w:p>
        </w:tc>
        <w:tc>
          <w:tcPr>
            <w:tcW w:type="dxa" w:w="4025"/>
            <w:vAlign w:val="center"/>
            <w:shd w:fill="FFFFFF"/>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4"/>
              </w:rPr>
              <w:t>SchemaService, ValidationService, ExcelParserService e testes</w:t>
            </w:r>
          </w:p>
        </w:tc>
      </w:tr>
      <w:tr>
        <w:trPr>
          <w:cantSplit/>
        </w:trPr>
        <w:tc>
          <w:tcPr>
            <w:tcW w:type="dxa" w:w="2324"/>
            <w:vAlign w:val="center"/>
            <w:shd w:fill="F3F5F7"/>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4"/>
              </w:rPr>
              <w:t>Nova regra de validação</w:t>
            </w:r>
          </w:p>
        </w:tc>
        <w:tc>
          <w:tcPr>
            <w:tcW w:type="dxa" w:w="3005"/>
            <w:vAlign w:val="center"/>
            <w:shd w:fill="F3F5F7"/>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4"/>
              </w:rPr>
              <w:t>ValidationService.ts</w:t>
            </w:r>
          </w:p>
        </w:tc>
        <w:tc>
          <w:tcPr>
            <w:tcW w:type="dxa" w:w="4025"/>
            <w:vAlign w:val="center"/>
            <w:shd w:fill="F3F5F7"/>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4"/>
              </w:rPr>
              <w:t>validationPresentation, ErrorGrid e testes</w:t>
            </w:r>
          </w:p>
        </w:tc>
      </w:tr>
      <w:tr>
        <w:trPr>
          <w:cantSplit/>
        </w:trPr>
        <w:tc>
          <w:tcPr>
            <w:tcW w:type="dxa" w:w="2324"/>
            <w:vAlign w:val="center"/>
            <w:shd w:fill="FFFFFF"/>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4"/>
              </w:rPr>
              <w:t>Pesquisa de listas</w:t>
            </w:r>
          </w:p>
        </w:tc>
        <w:tc>
          <w:tcPr>
            <w:tcW w:type="dxa" w:w="3005"/>
            <w:vAlign w:val="center"/>
            <w:shd w:fill="FFFFFF"/>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4"/>
              </w:rPr>
              <w:t>SearchService.ts</w:t>
            </w:r>
          </w:p>
        </w:tc>
        <w:tc>
          <w:tcPr>
            <w:tcW w:type="dxa" w:w="4025"/>
            <w:vAlign w:val="center"/>
            <w:shd w:fill="FFFFFF"/>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4"/>
              </w:rPr>
              <w:t>configuração, Gateway e testes de permissão</w:t>
            </w:r>
          </w:p>
        </w:tc>
      </w:tr>
      <w:tr>
        <w:trPr>
          <w:cantSplit/>
        </w:trPr>
        <w:tc>
          <w:tcPr>
            <w:tcW w:type="dxa" w:w="2324"/>
            <w:vAlign w:val="center"/>
            <w:shd w:fill="F3F5F7"/>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4"/>
              </w:rPr>
              <w:t>Pessoa ou lookup</w:t>
            </w:r>
          </w:p>
        </w:tc>
        <w:tc>
          <w:tcPr>
            <w:tcW w:type="dxa" w:w="3005"/>
            <w:vAlign w:val="center"/>
            <w:shd w:fill="F3F5F7"/>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4"/>
              </w:rPr>
              <w:t>ReferenceService.ts</w:t>
            </w:r>
          </w:p>
        </w:tc>
        <w:tc>
          <w:tcPr>
            <w:tcW w:type="dxa" w:w="4025"/>
            <w:vAlign w:val="center"/>
            <w:shd w:fill="F3F5F7"/>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4"/>
              </w:rPr>
              <w:t>template, validação e testes no tenant</w:t>
            </w:r>
          </w:p>
        </w:tc>
      </w:tr>
      <w:tr>
        <w:trPr>
          <w:cantSplit/>
        </w:trPr>
        <w:tc>
          <w:tcPr>
            <w:tcW w:type="dxa" w:w="2324"/>
            <w:vAlign w:val="center"/>
            <w:shd w:fill="FFFFFF"/>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4"/>
              </w:rPr>
              <w:t>Gravação/retorno</w:t>
            </w:r>
          </w:p>
        </w:tc>
        <w:tc>
          <w:tcPr>
            <w:tcW w:type="dxa" w:w="3005"/>
            <w:vAlign w:val="center"/>
            <w:shd w:fill="FFFFFF"/>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4"/>
              </w:rPr>
              <w:t>BatchTransport.ts</w:t>
            </w:r>
          </w:p>
        </w:tc>
        <w:tc>
          <w:tcPr>
            <w:tcW w:type="dxa" w:w="4025"/>
            <w:vAlign w:val="center"/>
            <w:shd w:fill="FFFFFF"/>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4"/>
              </w:rPr>
              <w:t>ImportService, exportação e testes direct/$batch</w:t>
            </w:r>
          </w:p>
        </w:tc>
      </w:tr>
      <w:tr>
        <w:trPr>
          <w:cantSplit/>
        </w:trPr>
        <w:tc>
          <w:tcPr>
            <w:tcW w:type="dxa" w:w="2324"/>
            <w:vAlign w:val="center"/>
            <w:shd w:fill="F3F5F7"/>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4"/>
              </w:rPr>
              <w:t>Tela e fluxo</w:t>
            </w:r>
          </w:p>
        </w:tc>
        <w:tc>
          <w:tcPr>
            <w:tcW w:type="dxa" w:w="3005"/>
            <w:vAlign w:val="center"/>
            <w:shd w:fill="F3F5F7"/>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4"/>
              </w:rPr>
              <w:t>Importador.tsx</w:t>
            </w:r>
          </w:p>
        </w:tc>
        <w:tc>
          <w:tcPr>
            <w:tcW w:type="dxa" w:w="4025"/>
            <w:vAlign w:val="center"/>
            <w:shd w:fill="F3F5F7"/>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4"/>
              </w:rPr>
              <w:t>componentes, SCSS e acessibilidade</w:t>
            </w:r>
          </w:p>
        </w:tc>
      </w:tr>
      <w:tr>
        <w:trPr>
          <w:cantSplit/>
        </w:trPr>
        <w:tc>
          <w:tcPr>
            <w:tcW w:type="dxa" w:w="2324"/>
            <w:vAlign w:val="center"/>
            <w:shd w:fill="FFFFFF"/>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4"/>
              </w:rPr>
              <w:t>Propriedades</w:t>
            </w:r>
          </w:p>
        </w:tc>
        <w:tc>
          <w:tcPr>
            <w:tcW w:type="dxa" w:w="3005"/>
            <w:vAlign w:val="center"/>
            <w:shd w:fill="FFFFFF"/>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4"/>
              </w:rPr>
              <w:t>ImportadorWebPart.ts</w:t>
            </w:r>
          </w:p>
        </w:tc>
        <w:tc>
          <w:tcPr>
            <w:tcW w:type="dxa" w:w="4025"/>
            <w:vAlign w:val="center"/>
            <w:shd w:fill="FFFFFF"/>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4"/>
              </w:rPr>
              <w:t>models, defaults e documentação</w:t>
            </w:r>
          </w:p>
        </w:tc>
      </w:tr>
    </w:tbl>
    <w:p>
      <w:pPr>
        <w:spacing w:after="20"/>
      </w:pPr>
    </w:p>
    <w:tbl>
      <w:tblPr>
        <w:tblW w:type="auto" w:w="0"/>
        <w:jc w:val="center"/>
        <w:tblLook w:firstColumn="1" w:firstRow="1" w:lastColumn="0" w:lastRow="0" w:noHBand="0" w:noVBand="1" w:val="04A0"/>
      </w:tblPr>
      <w:tblGrid>
        <w:gridCol w:w="9752"/>
      </w:tblGrid>
      <w:tr>
        <w:tc>
          <w:tcPr>
            <w:tcW w:type="dxa" w:w="9752"/>
            <w:shd w:fill="DDEFEA"/>
            <w:tcBorders>
              <w:top w:val="single" w:sz="8" w:color="075E54"/>
              <w:left w:val="single" w:sz="8" w:color="075E54"/>
              <w:bottom w:val="single" w:sz="8" w:color="075E54"/>
              <w:right w:val="single" w:sz="8" w:color="075E54"/>
            </w:tcBorders>
          </w:tcPr>
          <w:p>
            <w:pPr>
              <w:spacing w:after="60"/>
            </w:pPr>
            <w:r/>
            <w:r>
              <w:rPr>
                <w:rFonts w:ascii="Aptos" w:hAnsi="Aptos"/>
                <w:b/>
                <w:sz w:val="20"/>
              </w:rPr>
              <w:t>Regra de manutenção</w:t>
            </w:r>
          </w:p>
          <w:p>
            <w:pPr>
              <w:spacing w:after="0"/>
            </w:pPr>
            <w:r>
              <w:rPr>
                <w:rFonts w:ascii="Aptos" w:hAnsi="Aptos"/>
                <w:sz w:val="18"/>
              </w:rPr>
              <w:t>Qualquer alteração em BatchTransport ou ImportService deve preservar a diferença entre falha confirmada e resultado desconhecido. Repetir automaticamente um POST sem confirmação pode criar duplicidades.</w:t>
            </w:r>
          </w:p>
        </w:tc>
      </w:tr>
    </w:tbl>
    <w:p>
      <w:pPr>
        <w:spacing w:after="20"/>
      </w:pPr>
    </w:p>
    <w:p>
      <w:r>
        <w:br w:type="page"/>
      </w:r>
    </w:p>
    <w:p>
      <w:pPr>
        <w:pStyle w:val="Heading1"/>
      </w:pPr>
      <w:r>
        <w:t>18. Edição do projeto no Visual Studio Code</w:t>
      </w:r>
    </w:p>
    <w:p>
      <w:r>
        <w:t>Use o Visual Studio Code para editar este projeto. Ele é adequado ao ecossistema Node.js, TypeScript, React e SPFx e oferece terminal integrado, navegação de tipos e depuração no navegador. O Visual Studio completo pode abrir os arquivos como texto, mas não acrescenta uma vantagem necessária ao fluxo desta solução.</w:t>
      </w:r>
    </w:p>
    <w:p>
      <w:pPr>
        <w:pStyle w:val="Heading2"/>
      </w:pPr>
      <w:r>
        <w:t>18.1 Abrir o projeto</w:t>
      </w:r>
    </w:p>
    <w:p>
      <w:pPr>
        <w:spacing w:after="40"/>
        <w:ind w:left="312" w:hanging="255"/>
      </w:pPr>
      <w:r>
        <w:rPr>
          <w:b/>
        </w:rPr>
        <w:t xml:space="preserve">1. </w:t>
      </w:r>
      <w:r>
        <w:t>Instale uma versão do Node.js entre 22.14.0 e 22.x; não use Node 23 ou superior neste projeto.</w:t>
      </w:r>
    </w:p>
    <w:p>
      <w:pPr>
        <w:spacing w:after="40"/>
        <w:ind w:left="312" w:hanging="255"/>
      </w:pPr>
      <w:r>
        <w:rPr>
          <w:b/>
        </w:rPr>
        <w:t xml:space="preserve">2. </w:t>
      </w:r>
      <w:r>
        <w:t>Abra o Visual Studio Code e escolha Arquivo &gt; Abrir Pasta.</w:t>
      </w:r>
    </w:p>
    <w:p>
      <w:pPr>
        <w:spacing w:after="40"/>
        <w:ind w:left="312" w:hanging="255"/>
      </w:pPr>
      <w:r>
        <w:rPr>
          <w:b/>
        </w:rPr>
        <w:t xml:space="preserve">3. </w:t>
      </w:r>
      <w:r>
        <w:t>Selecione a pasta 111 - Importador Inteligente de Listas SharePoint.</w:t>
      </w:r>
    </w:p>
    <w:p>
      <w:pPr>
        <w:spacing w:after="40"/>
        <w:ind w:left="312" w:hanging="255"/>
      </w:pPr>
      <w:r>
        <w:rPr>
          <w:b/>
        </w:rPr>
        <w:t xml:space="preserve">4. </w:t>
      </w:r>
      <w:r>
        <w:t>Abra Terminal &gt; Novo Terminal e confirme que o terminal está na raiz do projeto.</w:t>
      </w:r>
    </w:p>
    <w:p>
      <w:pPr>
        <w:spacing w:after="40"/>
        <w:ind w:left="312" w:hanging="255"/>
      </w:pPr>
      <w:r>
        <w:rPr>
          <w:b/>
        </w:rPr>
        <w:t xml:space="preserve">5. </w:t>
      </w:r>
      <w:r>
        <w:t>Instale as dependências e execute a verificação inicial antes de editar.</w:t>
      </w:r>
    </w:p>
    <w:p>
      <w:pPr>
        <w:spacing w:before="40" w:after="80"/>
        <w:ind w:left="198" w:right="198"/>
        <w:shd w:fill="EEF1F4"/>
      </w:pPr>
      <w:r>
        <w:rPr>
          <w:rFonts w:ascii="Cascadia Mono" w:hAnsi="Cascadia Mono"/>
          <w:sz w:val="15"/>
        </w:rPr>
        <w:t>./scripts/npm.ps1 install</w:t>
        <w:br/>
        <w:t>./scripts/npm.ps1 run typecheck</w:t>
        <w:br/>
        <w:t>./scripts/npm.ps1 test</w:t>
      </w:r>
    </w:p>
    <w:p>
      <w:pPr>
        <w:pStyle w:val="Heading2"/>
      </w:pPr>
      <w:r>
        <w:t>18.2 Ciclo de alteração</w:t>
      </w:r>
    </w:p>
    <w:tbl>
      <w:tblPr>
        <w:tblW w:type="auto" w:w="0"/>
        <w:jc w:val="center"/>
        <w:tblLayout w:type="fixed"/>
        <w:tblLook w:firstColumn="1" w:firstRow="1" w:lastColumn="0" w:lastRow="0" w:noHBand="0" w:noVBand="1" w:val="04A0"/>
      </w:tblPr>
      <w:tblGrid>
        <w:gridCol w:w="4876"/>
        <w:gridCol w:w="4876"/>
      </w:tblGrid>
      <w:tr>
        <w:trPr>
          <w:tblHeader/>
        </w:trPr>
        <w:tc>
          <w:tcPr>
            <w:tcW w:type="dxa" w:w="1928"/>
            <w:vAlign w:val="center"/>
            <w:shd w:fill="075E54"/>
            <w:tcBorders>
              <w:top w:val="single" w:sz="5" w:color="075E54"/>
              <w:left w:val="single" w:sz="5" w:color="075E54"/>
              <w:bottom w:val="single" w:sz="5" w:color="075E54"/>
              <w:right w:val="single" w:sz="5" w:color="075E54"/>
            </w:tcBorders>
          </w:tcPr>
          <w:p>
            <w:pPr>
              <w:spacing w:after="0"/>
            </w:pPr>
            <w:r/>
            <w:r>
              <w:rPr>
                <w:rFonts w:ascii="Aptos" w:hAnsi="Aptos"/>
                <w:b/>
                <w:color w:val="FFFFFF"/>
                <w:sz w:val="16"/>
              </w:rPr>
              <w:t>Etapa</w:t>
            </w:r>
          </w:p>
        </w:tc>
        <w:tc>
          <w:tcPr>
            <w:tcW w:type="dxa" w:w="7427"/>
            <w:vAlign w:val="center"/>
            <w:shd w:fill="075E54"/>
            <w:tcBorders>
              <w:top w:val="single" w:sz="5" w:color="075E54"/>
              <w:left w:val="single" w:sz="5" w:color="075E54"/>
              <w:bottom w:val="single" w:sz="5" w:color="075E54"/>
              <w:right w:val="single" w:sz="5" w:color="075E54"/>
            </w:tcBorders>
          </w:tcPr>
          <w:p>
            <w:pPr>
              <w:spacing w:after="0"/>
            </w:pPr>
            <w:r/>
            <w:r>
              <w:rPr>
                <w:rFonts w:ascii="Aptos" w:hAnsi="Aptos"/>
                <w:b/>
                <w:color w:val="FFFFFF"/>
                <w:sz w:val="16"/>
              </w:rPr>
              <w:t>Ação</w:t>
            </w:r>
          </w:p>
        </w:tc>
      </w:tr>
      <w:tr>
        <w:trPr>
          <w:cantSplit/>
        </w:trPr>
        <w:tc>
          <w:tcPr>
            <w:tcW w:type="dxa" w:w="1928"/>
            <w:vAlign w:val="center"/>
            <w:shd w:fill="FFFFFF"/>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6"/>
              </w:rPr>
              <w:t>1. Reproduzir</w:t>
            </w:r>
          </w:p>
        </w:tc>
        <w:tc>
          <w:tcPr>
            <w:tcW w:type="dxa" w:w="7427"/>
            <w:vAlign w:val="center"/>
            <w:shd w:fill="FFFFFF"/>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6"/>
              </w:rPr>
              <w:t>Use o mesmo arquivo, lista, cultura, mapeamento e conta do incidente.</w:t>
            </w:r>
          </w:p>
        </w:tc>
      </w:tr>
      <w:tr>
        <w:trPr>
          <w:cantSplit/>
        </w:trPr>
        <w:tc>
          <w:tcPr>
            <w:tcW w:type="dxa" w:w="1928"/>
            <w:vAlign w:val="center"/>
            <w:shd w:fill="F3F5F7"/>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6"/>
              </w:rPr>
              <w:t>2. Localizar</w:t>
            </w:r>
          </w:p>
        </w:tc>
        <w:tc>
          <w:tcPr>
            <w:tcW w:type="dxa" w:w="7427"/>
            <w:vAlign w:val="center"/>
            <w:shd w:fill="F3F5F7"/>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6"/>
              </w:rPr>
              <w:t>Siga a seção 17 e encontre o serviço responsável pelo comportamento.</w:t>
            </w:r>
          </w:p>
        </w:tc>
      </w:tr>
      <w:tr>
        <w:trPr>
          <w:cantSplit/>
        </w:trPr>
        <w:tc>
          <w:tcPr>
            <w:tcW w:type="dxa" w:w="1928"/>
            <w:vAlign w:val="center"/>
            <w:shd w:fill="FFFFFF"/>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6"/>
              </w:rPr>
              <w:t>3. Alterar</w:t>
            </w:r>
          </w:p>
        </w:tc>
        <w:tc>
          <w:tcPr>
            <w:tcW w:type="dxa" w:w="7427"/>
            <w:vAlign w:val="center"/>
            <w:shd w:fill="FFFFFF"/>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6"/>
              </w:rPr>
              <w:t>Faça uma mudança pequena e mantenha contratos e mensagens por linha.</w:t>
            </w:r>
          </w:p>
        </w:tc>
      </w:tr>
      <w:tr>
        <w:trPr>
          <w:cantSplit/>
        </w:trPr>
        <w:tc>
          <w:tcPr>
            <w:tcW w:type="dxa" w:w="1928"/>
            <w:vAlign w:val="center"/>
            <w:shd w:fill="F3F5F7"/>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6"/>
              </w:rPr>
              <w:t>4. Testar</w:t>
            </w:r>
          </w:p>
        </w:tc>
        <w:tc>
          <w:tcPr>
            <w:tcW w:type="dxa" w:w="7427"/>
            <w:vAlign w:val="center"/>
            <w:shd w:fill="F3F5F7"/>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6"/>
              </w:rPr>
              <w:t>Execute typecheck e a suíte automatizada; acrescente teste quando houver regra nova.</w:t>
            </w:r>
          </w:p>
        </w:tc>
      </w:tr>
      <w:tr>
        <w:trPr>
          <w:cantSplit/>
        </w:trPr>
        <w:tc>
          <w:tcPr>
            <w:tcW w:type="dxa" w:w="1928"/>
            <w:vAlign w:val="center"/>
            <w:shd w:fill="FFFFFF"/>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6"/>
              </w:rPr>
              <w:t>5. Visualizar</w:t>
            </w:r>
          </w:p>
        </w:tc>
        <w:tc>
          <w:tcPr>
            <w:tcW w:type="dxa" w:w="7427"/>
            <w:vAlign w:val="center"/>
            <w:shd w:fill="FFFFFF"/>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6"/>
              </w:rPr>
              <w:t>Execute start-local.ps1 e carregue a web part no workbench hospedado.</w:t>
            </w:r>
          </w:p>
        </w:tc>
      </w:tr>
      <w:tr>
        <w:trPr>
          <w:cantSplit/>
        </w:trPr>
        <w:tc>
          <w:tcPr>
            <w:tcW w:type="dxa" w:w="1928"/>
            <w:vAlign w:val="center"/>
            <w:shd w:fill="F3F5F7"/>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6"/>
              </w:rPr>
              <w:t>6. Empacotar</w:t>
            </w:r>
          </w:p>
        </w:tc>
        <w:tc>
          <w:tcPr>
            <w:tcW w:type="dxa" w:w="7427"/>
            <w:vAlign w:val="center"/>
            <w:shd w:fill="F3F5F7"/>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6"/>
              </w:rPr>
              <w:t>Atualize a versão e execute o build de produção.</w:t>
            </w:r>
          </w:p>
        </w:tc>
      </w:tr>
      <w:tr>
        <w:trPr>
          <w:cantSplit/>
        </w:trPr>
        <w:tc>
          <w:tcPr>
            <w:tcW w:type="dxa" w:w="1928"/>
            <w:vAlign w:val="center"/>
            <w:shd w:fill="FFFFFF"/>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6"/>
              </w:rPr>
              <w:t>7. Homologar</w:t>
            </w:r>
          </w:p>
        </w:tc>
        <w:tc>
          <w:tcPr>
            <w:tcW w:type="dxa" w:w="7427"/>
            <w:vAlign w:val="center"/>
            <w:shd w:fill="FFFFFF"/>
            <w:tcBorders>
              <w:top w:val="single" w:sz="5" w:color="B8C0C8"/>
              <w:left w:val="single" w:sz="5" w:color="B8C0C8"/>
              <w:bottom w:val="single" w:sz="5" w:color="B8C0C8"/>
              <w:right w:val="single" w:sz="5" w:color="B8C0C8"/>
            </w:tcBorders>
          </w:tcPr>
          <w:p>
            <w:pPr>
              <w:spacing w:after="0"/>
            </w:pPr>
            <w:r/>
            <w:r>
              <w:rPr>
                <w:rFonts w:ascii="Aptos" w:hAnsi="Aptos"/>
                <w:b w:val="0"/>
                <w:color w:val="111111"/>
                <w:sz w:val="16"/>
              </w:rPr>
              <w:t>Publique no grupo piloto e repita os cenários afetados.</w:t>
            </w:r>
          </w:p>
        </w:tc>
      </w:tr>
    </w:tbl>
    <w:p>
      <w:pPr>
        <w:spacing w:after="20"/>
      </w:pPr>
    </w:p>
    <w:p>
      <w:pPr>
        <w:pStyle w:val="Heading2"/>
      </w:pPr>
      <w:r>
        <w:t>18.3 Comandos</w:t>
      </w:r>
    </w:p>
    <w:p>
      <w:pPr>
        <w:spacing w:before="40" w:after="80"/>
        <w:ind w:left="198" w:right="198"/>
        <w:shd w:fill="EEF1F4"/>
      </w:pPr>
      <w:r>
        <w:rPr>
          <w:rFonts w:ascii="Cascadia Mono" w:hAnsi="Cascadia Mono"/>
          <w:sz w:val="15"/>
        </w:rPr>
        <w:t>./scripts/start-local.ps1              # servidor de desenvolvimento</w:t>
        <w:br/>
        <w:t>./scripts/npm.ps1 run typecheck       # checagem TypeScript</w:t>
        <w:br/>
        <w:t>./scripts/npm.ps1 test                # testes automatizados</w:t>
        <w:br/>
        <w:t>./scripts/npm.ps1 run build           # build e pacote de produção</w:t>
      </w:r>
    </w:p>
    <w:p>
      <w:pPr>
        <w:pStyle w:val="Heading2"/>
      </w:pPr>
      <w:r>
        <w:t>18.4 Recursos úteis do editor</w:t>
      </w:r>
    </w:p>
    <w:p>
      <w:pPr>
        <w:pStyle w:val="ListBullet"/>
        <w:spacing w:after="40"/>
      </w:pPr>
      <w:r>
        <w:t>Use Ir para definição sobre Gateway, ListDefinition e ValidationResult para navegar entre contratos e implementações.</w:t>
      </w:r>
    </w:p>
    <w:p>
      <w:pPr>
        <w:pStyle w:val="ListBullet"/>
        <w:spacing w:after="40"/>
      </w:pPr>
      <w:r>
        <w:t>Use Localizar em arquivos para pesquisar internalName, mensagens de erro, endpoint REST ou nome de método.</w:t>
      </w:r>
    </w:p>
    <w:p>
      <w:pPr>
        <w:pStyle w:val="ListBullet"/>
        <w:spacing w:after="40"/>
      </w:pPr>
      <w:r>
        <w:t>Use pontos de interrupção no navegador para a interface; o código executa na página SharePoint, não no processo Node.</w:t>
      </w:r>
    </w:p>
    <w:p>
      <w:pPr>
        <w:pStyle w:val="ListBullet"/>
        <w:spacing w:after="40"/>
      </w:pPr>
      <w:r>
        <w:t>Evite editar arquivos gerados em sharepoint/solution ou diretórios de build. A fonte está em src, config, tests e docs.</w:t>
      </w:r>
    </w:p>
    <w:p>
      <w:pPr>
        <w:pStyle w:val="Heading2"/>
      </w:pPr>
      <w:r>
        <w:t>18.5 Arquivos para começar</w:t>
      </w:r>
    </w:p>
    <w:p>
      <w:pPr>
        <w:spacing w:before="40" w:after="80"/>
        <w:ind w:left="198" w:right="198"/>
        <w:shd w:fill="EEF1F4"/>
      </w:pPr>
      <w:r>
        <w:rPr>
          <w:rFonts w:ascii="Cascadia Mono" w:hAnsi="Cascadia Mono"/>
          <w:sz w:val="15"/>
        </w:rPr>
        <w:t>src/webparts/importador/ImportadorWebPart.ts</w:t>
        <w:br/>
        <w:t>src/webparts/importador/components/Importador.tsx</w:t>
        <w:br/>
        <w:t>src/models/index.ts</w:t>
        <w:br/>
        <w:t>src/services/contracts.ts</w:t>
        <w:br/>
        <w:t>src/services/ValidationService.ts</w:t>
        <w:br/>
        <w:t>src/services/ImportService.ts</w:t>
        <w:br/>
        <w:t>src/services/BatchTransport.ts</w:t>
      </w:r>
    </w:p>
    <w:p>
      <w:pPr>
        <w:jc w:val="center"/>
      </w:pPr>
      <w:r>
        <w:t>Fim do documento.</w:t>
      </w:r>
    </w:p>
    <w:sectPr w:rsidR="00FC693F" w:rsidRPr="0006063C" w:rsidSect="00034616">
      <w:headerReference w:type="default" r:id="rId9"/>
      <w:footerReference w:type="default" r:id="rId10"/>
      <w:headerReference w:type="first" r:id="rId11"/>
      <w:footerReference w:type="first" r:id="rId12"/>
      <w:pgSz w:w="11906" w:h="16838"/>
      <w:pgMar w:top="1020" w:right="1020"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5"/>
      </w:rPr>
      <w:t xml:space="preserve">Instituto Clima e Sociedade  •  Uso interno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B6573"/>
        <w:sz w:val="15"/>
      </w:rPr>
      <w:t>IMPORTADOR INTELIGENTE  /  DOCUMENTAÇÃO TÉCNICA DE SUSTENTAÇÃO</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color w:val="11111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11111"/>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75E54"/>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11111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11111"/>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footer" Target="footer2.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B2827F697F9CE24F89ECA6B85596FAD6" ma:contentTypeVersion="27" ma:contentTypeDescription="Crie um novo documento." ma:contentTypeScope="" ma:versionID="6a2d3ab728ec33af9e559a08a04fb1c5">
  <xsd:schema xmlns:xsd="http://www.w3.org/2001/XMLSchema" xmlns:xs="http://www.w3.org/2001/XMLSchema" xmlns:p="http://schemas.microsoft.com/office/2006/metadata/properties" xmlns:ns2="20800f42-8df8-4851-be8a-90ff3e192453" xmlns:ns3="4b617b33-1c04-4620-ba2d-fbf294570e8b" targetNamespace="http://schemas.microsoft.com/office/2006/metadata/properties" ma:root="true" ma:fieldsID="661de7156bd35d7be2f7f69097e1a4eb" ns2:_="" ns3:_="">
    <xsd:import namespace="20800f42-8df8-4851-be8a-90ff3e192453"/>
    <xsd:import namespace="4b617b33-1c04-4620-ba2d-fbf294570e8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bjectDetectorVersions" minOccurs="0"/>
                <xsd:element ref="ns2:MediaServiceOCR" minOccurs="0"/>
                <xsd:element ref="ns2:MediaServiceSearchProperties" minOccurs="0"/>
                <xsd:element ref="ns2:Statusprojeto" minOccurs="0"/>
                <xsd:element ref="ns2:Coment_x00e1_rios" minOccurs="0"/>
                <xsd:element ref="ns2:Datainicio" minOccurs="0"/>
                <xsd:element ref="ns2:DatadeEncerramento" minOccurs="0"/>
                <xsd:element ref="ns2:Observa_x00e7__x00f5_es" minOccurs="0"/>
                <xsd:element ref="ns2:Respons_x00e1_velTI" minOccurs="0"/>
                <xsd:element ref="ns2:Origem" minOccurs="0"/>
                <xsd:element ref="ns2:DataFIMReal" minOccurs="0"/>
                <xsd:element ref="ns2:Usu_x00e1_riorespons_x00e1_vel" minOccurs="0"/>
                <xsd:element ref="ns2:Pr_x00f3_ximosPassos" minOccurs="0"/>
                <xsd:element ref="ns2:Descri_x00e7__x00e3_odoProjeto" minOccurs="0"/>
                <xsd:element ref="ns2:POdoProjet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800f42-8df8-4851-be8a-90ff3e192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4776fc8d-3ec1-4e01-b5d0-6bef55643cc3"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Statusprojeto" ma:index="22" nillable="true" ma:displayName="Status projeto" ma:default="OUTROS" ma:format="Dropdown" ma:indexed="true" ma:internalName="Statusprojeto">
      <xsd:simpleType>
        <xsd:restriction base="dms:Choice">
          <xsd:enumeration value="ENCERRADO"/>
          <xsd:enumeration value="EM ANDAMENTO"/>
          <xsd:enumeration value="NÃO INICIADO"/>
          <xsd:enumeration value="SUSPENSO"/>
          <xsd:enumeration value="OUTROS"/>
          <xsd:enumeration value="HOMOLOGAÇÃO"/>
          <xsd:enumeration value="EM ANÁLISE"/>
          <xsd:enumeration value="CANCELADO"/>
        </xsd:restriction>
      </xsd:simpleType>
    </xsd:element>
    <xsd:element name="Coment_x00e1_rios" ma:index="23" nillable="true" ma:displayName="Comentários" ma:format="Dropdown" ma:internalName="Coment_x00e1_rios">
      <xsd:simpleType>
        <xsd:restriction base="dms:Note"/>
      </xsd:simpleType>
    </xsd:element>
    <xsd:element name="Datainicio" ma:index="24" nillable="true" ma:displayName="Data inicio" ma:description="Data em que foi dado o start no projeto" ma:format="DateOnly" ma:internalName="Datainicio">
      <xsd:simpleType>
        <xsd:restriction base="dms:DateTime"/>
      </xsd:simpleType>
    </xsd:element>
    <xsd:element name="DatadeEncerramento" ma:index="25" nillable="true" ma:displayName="Data de Encerramento" ma:format="DateOnly" ma:internalName="DatadeEncerramento">
      <xsd:simpleType>
        <xsd:restriction base="dms:DateTime"/>
      </xsd:simpleType>
    </xsd:element>
    <xsd:element name="Observa_x00e7__x00f5_es" ma:index="26" nillable="true" ma:displayName="Observações" ma:format="Dropdown" ma:internalName="Observa_x00e7__x00f5_es">
      <xsd:simpleType>
        <xsd:restriction base="dms:Note">
          <xsd:maxLength value="255"/>
        </xsd:restriction>
      </xsd:simpleType>
    </xsd:element>
    <xsd:element name="Respons_x00e1_velTI" ma:index="27" nillable="true" ma:displayName="Responsável TI" ma:format="Dropdown" ma:internalName="Respons_x00e1_velTI">
      <xsd:simpleType>
        <xsd:restriction base="dms:Choice">
          <xsd:enumeration value="Lucia"/>
          <xsd:enumeration value="Thadeu"/>
          <xsd:enumeration value="Castela"/>
          <xsd:enumeration value="Patricia"/>
          <xsd:enumeration value="Sávio"/>
          <xsd:enumeration value="Lucas"/>
        </xsd:restriction>
      </xsd:simpleType>
    </xsd:element>
    <xsd:element name="Origem" ma:index="28" nillable="true" ma:displayName="Origem" ma:description="numero da demanda que originou o projeto" ma:format="Dropdown" ma:internalName="Origem">
      <xsd:simpleType>
        <xsd:restriction base="dms:Text">
          <xsd:maxLength value="255"/>
        </xsd:restriction>
      </xsd:simpleType>
    </xsd:element>
    <xsd:element name="DataFIMReal" ma:index="29" nillable="true" ma:displayName="Data FIM Real" ma:description="Data real de finalização do projeto" ma:format="DateOnly" ma:internalName="DataFIMReal">
      <xsd:simpleType>
        <xsd:restriction base="dms:DateTime"/>
      </xsd:simpleType>
    </xsd:element>
    <xsd:element name="Usu_x00e1_riorespons_x00e1_vel" ma:index="30" nillable="true" ma:displayName="Usuário responsável" ma:format="Dropdown" ma:internalName="Usu_x00e1_riorespons_x00e1_vel">
      <xsd:simpleType>
        <xsd:restriction base="dms:Text">
          <xsd:maxLength value="255"/>
        </xsd:restriction>
      </xsd:simpleType>
    </xsd:element>
    <xsd:element name="Pr_x00f3_ximosPassos" ma:index="31" nillable="true" ma:displayName="Próximos Passos" ma:format="Dropdown" ma:internalName="Pr_x00f3_ximosPassos">
      <xsd:simpleType>
        <xsd:restriction base="dms:Note">
          <xsd:maxLength value="255"/>
        </xsd:restriction>
      </xsd:simpleType>
    </xsd:element>
    <xsd:element name="Descri_x00e7__x00e3_odoProjeto" ma:index="32" nillable="true" ma:displayName="Descrição do Projeto" ma:description="Definição do objetivo do projeto" ma:format="Dropdown" ma:internalName="Descri_x00e7__x00e3_odoProjeto">
      <xsd:simpleType>
        <xsd:restriction base="dms:Note">
          <xsd:maxLength value="255"/>
        </xsd:restriction>
      </xsd:simpleType>
    </xsd:element>
    <xsd:element name="POdoProjeto" ma:index="33" nillable="true" ma:displayName="PO do Projeto" ma:description="Project Officer - " ma:format="Dropdown" ma:list="UserInfo" ma:SharePointGroup="0" ma:internalName="POdoProjet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b617b33-1c04-4620-ba2d-fbf294570e8b"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58d87984-aee5-4c4a-bb85-a052d8147219}" ma:internalName="TaxCatchAll" ma:showField="CatchAllData" ma:web="4b617b33-1c04-4620-ba2d-fbf294570e8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escri_x00e7__x00e3_odoProjeto xmlns="20800f42-8df8-4851-be8a-90ff3e192453" xsi:nil="true"/>
    <Statusprojeto xmlns="20800f42-8df8-4851-be8a-90ff3e192453">OUTROS</Statusprojeto>
    <Respons_x00e1_velTI xmlns="20800f42-8df8-4851-be8a-90ff3e192453" xsi:nil="true"/>
    <Origem xmlns="20800f42-8df8-4851-be8a-90ff3e192453" xsi:nil="true"/>
    <Usu_x00e1_riorespons_x00e1_vel xmlns="20800f42-8df8-4851-be8a-90ff3e192453" xsi:nil="true"/>
    <Observa_x00e7__x00f5_es xmlns="20800f42-8df8-4851-be8a-90ff3e192453" xsi:nil="true"/>
    <Coment_x00e1_rios xmlns="20800f42-8df8-4851-be8a-90ff3e192453" xsi:nil="true"/>
    <DatadeEncerramento xmlns="20800f42-8df8-4851-be8a-90ff3e192453" xsi:nil="true"/>
    <Datainicio xmlns="20800f42-8df8-4851-be8a-90ff3e192453" xsi:nil="true"/>
    <POdoProjeto xmlns="20800f42-8df8-4851-be8a-90ff3e192453">
      <UserInfo>
        <DisplayName/>
        <AccountId xsi:nil="true"/>
        <AccountType/>
      </UserInfo>
    </POdoProjeto>
    <TaxCatchAll xmlns="4b617b33-1c04-4620-ba2d-fbf294570e8b" xsi:nil="true"/>
    <DataFIMReal xmlns="20800f42-8df8-4851-be8a-90ff3e192453" xsi:nil="true"/>
    <lcf76f155ced4ddcb4097134ff3c332f xmlns="20800f42-8df8-4851-be8a-90ff3e192453">
      <Terms xmlns="http://schemas.microsoft.com/office/infopath/2007/PartnerControls"/>
    </lcf76f155ced4ddcb4097134ff3c332f>
    <Pr_x00f3_ximosPassos xmlns="20800f42-8df8-4851-be8a-90ff3e19245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45F982C-76E5-4D9E-8B0A-08C34487B84B}"/>
</file>

<file path=customXml/itemProps3.xml><?xml version="1.0" encoding="utf-8"?>
<ds:datastoreItem xmlns:ds="http://schemas.openxmlformats.org/officeDocument/2006/customXml" ds:itemID="{705CC3EC-38C8-4961-96A3-6E66C4FF8973}"/>
</file>

<file path=customXml/itemProps4.xml><?xml version="1.0" encoding="utf-8"?>
<ds:datastoreItem xmlns:ds="http://schemas.openxmlformats.org/officeDocument/2006/customXml" ds:itemID="{79993B71-6B78-4405-A40B-B20245E12F0A}"/>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Documentação Técnica de Sustentação — Importador Inteligente</dc:title>
  <dc:subject>Transferência técnica da solução SPFx para sustentação</dc:subject>
  <dc:creator>Instituto Clima e Sociedade</dc:creator>
  <cp:keywords>SharePoint, SPFx, sustentação, importação, Excel</cp:keywords>
  <dc:description>Base técnica da solução versão 1.0.0.10 — revisão 1.1 com leitura guiada do código-fonte</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0x010100B2827F697F9CE24F89ECA6B85596FAD6</vt:lpwstr>
  </property>
  <property fmtid="{D5CDD505-2E9C-101B-9397-08002B2CF9AE}" pid="4" name="docLang">
    <vt:lpwstr>pt</vt:lpwstr>
  </property>
  <property fmtid="{D5CDD505-2E9C-101B-9397-08002B2CF9AE}" pid="5" name="MediaServiceImageTags">
    <vt:lpwstr/>
  </property>
</Properties>
</file>