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00"/>
      </w:pPr>
    </w:p>
    <w:p>
      <w:r>
        <w:rPr>
          <w:rFonts w:ascii="Aptos" w:hAnsi="Aptos"/>
          <w:b/>
          <w:color w:val="007C6C"/>
          <w:sz w:val="20"/>
        </w:rPr>
        <w:t>SHAREPOINT • GUIA RÁPIDO</w:t>
      </w:r>
    </w:p>
    <w:p>
      <w:pPr>
        <w:pStyle w:val="Title"/>
      </w:pPr>
      <w:r>
        <w:t>Importador Inteligente</w:t>
      </w:r>
    </w:p>
    <w:p>
      <w:r>
        <w:rPr>
          <w:rFonts w:ascii="Aptos Display" w:hAnsi="Aptos Display"/>
          <w:color w:val="075E54"/>
          <w:sz w:val="38"/>
        </w:rPr>
        <w:t>Guia do usuário</w:t>
      </w:r>
    </w:p>
    <w:p>
      <w:pPr>
        <w:spacing w:after="8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DDEFEA"/>
            <w:tcBorders>
              <w:top w:val="single" w:sz="8" w:color="075E54"/>
              <w:left w:val="single" w:sz="8" w:color="075E54"/>
              <w:bottom w:val="single" w:sz="8" w:color="075E54"/>
              <w:right w:val="single" w:sz="8" w:color="075E54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sz w:val="21"/>
              </w:rPr>
              <w:t>O que você fará</w:t>
            </w:r>
          </w:p>
          <w:p>
            <w:pPr>
              <w:spacing w:after="0"/>
            </w:pPr>
            <w:r>
              <w:rPr>
                <w:rFonts w:ascii="Aptos" w:hAnsi="Aptos"/>
                <w:sz w:val="19"/>
              </w:rPr>
              <w:t>Escolher uma lista do SharePoint, conferir as colunas, validar uma planilha Excel e importar novos registros com segurança usando suas permissões atuais.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2835"/>
            <w:vAlign w:val="center"/>
            <w:shd w:fill="075E54"/>
            <w:tcBorders>
              <w:top w:val="single" w:sz="5" w:color="075E54"/>
              <w:left w:val="single" w:sz="5" w:color="075E54"/>
              <w:bottom w:val="single" w:sz="5" w:color="075E54"/>
              <w:right w:val="single" w:sz="5" w:color="075E5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Referência</w:t>
            </w:r>
          </w:p>
        </w:tc>
        <w:tc>
          <w:tcPr>
            <w:tcW w:type="dxa" w:w="6520"/>
            <w:vAlign w:val="center"/>
            <w:shd w:fill="075E54"/>
            <w:tcBorders>
              <w:top w:val="single" w:sz="5" w:color="075E54"/>
              <w:left w:val="single" w:sz="5" w:color="075E54"/>
              <w:bottom w:val="single" w:sz="5" w:color="075E54"/>
              <w:right w:val="single" w:sz="5" w:color="075E5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Informação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Versão da solução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1.0.0.10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Público</w:t>
            </w:r>
          </w:p>
        </w:tc>
        <w:tc>
          <w:tcPr>
            <w:tcW w:type="dxa" w:w="6520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Usuários que precisam importar dados em listas SharePoint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Onde usar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Página do SharePoint ou Microsoft Teams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Atualização</w:t>
            </w:r>
          </w:p>
        </w:tc>
        <w:tc>
          <w:tcPr>
            <w:tcW w:type="dxa" w:w="6520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13 de setembro de 2026</w:t>
            </w:r>
          </w:p>
        </w:tc>
      </w:tr>
    </w:tbl>
    <w:p>
      <w:pPr>
        <w:spacing w:after="20"/>
      </w:pPr>
    </w:p>
    <w:p>
      <w:r>
        <w:t>Não é necessário instalar programa no computador nem configurar uma lista auxiliar para usar o importador.</w:t>
      </w:r>
    </w:p>
    <w:p>
      <w:r>
        <w:br w:type="page"/>
      </w:r>
    </w:p>
    <w:p>
      <w:pPr>
        <w:pStyle w:val="Heading1"/>
      </w:pPr>
      <w:r>
        <w:t>Sumário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1134"/>
            <w:vAlign w:val="center"/>
            <w:shd w:fill="075E54"/>
            <w:tcBorders>
              <w:top w:val="single" w:sz="5" w:color="075E54"/>
              <w:left w:val="single" w:sz="5" w:color="075E54"/>
              <w:bottom w:val="single" w:sz="5" w:color="075E54"/>
              <w:right w:val="single" w:sz="5" w:color="075E5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7087"/>
            <w:vAlign w:val="center"/>
            <w:shd w:fill="075E54"/>
            <w:tcBorders>
              <w:top w:val="single" w:sz="5" w:color="075E54"/>
              <w:left w:val="single" w:sz="5" w:color="075E54"/>
              <w:bottom w:val="single" w:sz="5" w:color="075E54"/>
              <w:right w:val="single" w:sz="5" w:color="075E5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Assunto</w:t>
            </w:r>
          </w:p>
        </w:tc>
        <w:tc>
          <w:tcPr>
            <w:tcW w:type="dxa" w:w="1134"/>
            <w:vAlign w:val="center"/>
            <w:shd w:fill="075E54"/>
            <w:tcBorders>
              <w:top w:val="single" w:sz="5" w:color="075E54"/>
              <w:left w:val="single" w:sz="5" w:color="075E54"/>
              <w:bottom w:val="single" w:sz="5" w:color="075E54"/>
              <w:right w:val="single" w:sz="5" w:color="075E5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Página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1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Conheça a solução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2</w:t>
            </w:r>
          </w:p>
        </w:tc>
        <w:tc>
          <w:tcPr>
            <w:tcW w:type="dxa" w:w="7087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Escolher a lista de destino</w:t>
            </w:r>
          </w:p>
        </w:tc>
        <w:tc>
          <w:tcPr>
            <w:tcW w:type="dxa" w:w="1134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3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Preparar e selecionar o arquivo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4</w:t>
            </w:r>
          </w:p>
        </w:tc>
        <w:tc>
          <w:tcPr>
            <w:tcW w:type="dxa" w:w="7087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Mapear as colunas</w:t>
            </w:r>
          </w:p>
        </w:tc>
        <w:tc>
          <w:tcPr>
            <w:tcW w:type="dxa" w:w="1134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5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Validar e corrigir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6</w:t>
            </w:r>
          </w:p>
        </w:tc>
        <w:tc>
          <w:tcPr>
            <w:tcW w:type="dxa" w:w="7087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Importar e conferir o resultado</w:t>
            </w:r>
          </w:p>
        </w:tc>
        <w:tc>
          <w:tcPr>
            <w:tcW w:type="dxa" w:w="1134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7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Resolver problemas comuns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8</w:t>
            </w:r>
          </w:p>
        </w:tc>
        <w:tc>
          <w:tcPr>
            <w:tcW w:type="dxa" w:w="7087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Boas práticas e solicitação de suporte</w:t>
            </w:r>
          </w:p>
        </w:tc>
        <w:tc>
          <w:tcPr>
            <w:tcW w:type="dxa" w:w="1134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10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DDEFEA"/>
            <w:tcBorders>
              <w:top w:val="single" w:sz="8" w:color="075E54"/>
              <w:left w:val="single" w:sz="8" w:color="075E54"/>
              <w:bottom w:val="single" w:sz="8" w:color="075E54"/>
              <w:right w:val="single" w:sz="8" w:color="075E54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sz w:val="21"/>
              </w:rPr>
              <w:t>Fluxo em uma frase</w:t>
            </w:r>
          </w:p>
          <w:p>
            <w:pPr>
              <w:spacing w:after="0"/>
            </w:pPr>
            <w:r>
              <w:rPr>
                <w:rFonts w:ascii="Aptos" w:hAnsi="Aptos"/>
                <w:sz w:val="19"/>
              </w:rPr>
              <w:t>Lista → arquivo → mapeamento → validação → importação → resultado.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Conheça a solução</w:t>
      </w:r>
    </w:p>
    <w:p>
      <w:r>
        <w:t>O Importador Inteligente cria novos itens em listas do SharePoint a partir de uma planilha Excel. Ele mostra somente listas que você consegue acessar e usa o endereço da própria lista selecionada para consultar e gravar os dados.</w:t>
      </w:r>
    </w:p>
    <w:p>
      <w:pPr>
        <w:pStyle w:val="Heading2"/>
      </w:pPr>
      <w:r>
        <w:t>1.1 O que a solução faz</w:t>
      </w:r>
    </w:p>
    <w:p>
      <w:pPr>
        <w:pStyle w:val="ListBullet"/>
        <w:spacing w:after="60"/>
      </w:pPr>
      <w:r>
        <w:t>Pesquisa listas pelo título e respeita suas permissões do Microsoft 365.</w:t>
      </w:r>
    </w:p>
    <w:p>
      <w:pPr>
        <w:pStyle w:val="ListBullet"/>
        <w:spacing w:after="60"/>
      </w:pPr>
      <w:r>
        <w:t>Lê as colunas e os tipos de conteúdo da lista escolhida.</w:t>
      </w:r>
    </w:p>
    <w:p>
      <w:pPr>
        <w:pStyle w:val="ListBullet"/>
        <w:spacing w:after="60"/>
      </w:pPr>
      <w:r>
        <w:t>Gera um modelo de planilha compatível com a lista.</w:t>
      </w:r>
    </w:p>
    <w:p>
      <w:pPr>
        <w:pStyle w:val="ListBullet"/>
        <w:spacing w:after="60"/>
      </w:pPr>
      <w:r>
        <w:t>Valida dados, pessoas, grupos, escolhas, lookups, números e datas.</w:t>
      </w:r>
    </w:p>
    <w:p>
      <w:pPr>
        <w:pStyle w:val="ListBullet"/>
        <w:spacing w:after="60"/>
      </w:pPr>
      <w:r>
        <w:t>Permite importar somente as linhas válidas quando não há problema estrutural.</w:t>
      </w:r>
    </w:p>
    <w:p>
      <w:pPr>
        <w:pStyle w:val="ListBullet"/>
        <w:spacing w:after="60"/>
      </w:pPr>
      <w:r>
        <w:t>Mostra o resultado por linha e permite exportar os erros e o resultado completo.</w:t>
      </w:r>
    </w:p>
    <w:p>
      <w:pPr>
        <w:pStyle w:val="Heading2"/>
      </w:pPr>
      <w:r>
        <w:t>1.2 Antes de começar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2835"/>
            <w:vAlign w:val="center"/>
            <w:shd w:fill="075E54"/>
            <w:tcBorders>
              <w:top w:val="single" w:sz="5" w:color="075E54"/>
              <w:left w:val="single" w:sz="5" w:color="075E54"/>
              <w:bottom w:val="single" w:sz="5" w:color="075E54"/>
              <w:right w:val="single" w:sz="5" w:color="075E5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Você precisa</w:t>
            </w:r>
          </w:p>
        </w:tc>
        <w:tc>
          <w:tcPr>
            <w:tcW w:type="dxa" w:w="6520"/>
            <w:vAlign w:val="center"/>
            <w:shd w:fill="075E54"/>
            <w:tcBorders>
              <w:top w:val="single" w:sz="5" w:color="075E54"/>
              <w:left w:val="single" w:sz="5" w:color="075E54"/>
              <w:bottom w:val="single" w:sz="5" w:color="075E54"/>
              <w:right w:val="single" w:sz="5" w:color="075E5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Como confirmar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Acesso à solução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Abra a página do SharePoint ou a guia do Teams onde o importador foi disponibilizado.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Permissão de leitura</w:t>
            </w:r>
          </w:p>
        </w:tc>
        <w:tc>
          <w:tcPr>
            <w:tcW w:type="dxa" w:w="6520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Você consegue abrir a lista e consultar seus itens.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Permissão de inclusão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Você consegue criar um novo item manualmente na lista.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Arquivo XLSX ou XLS</w:t>
            </w:r>
          </w:p>
        </w:tc>
        <w:tc>
          <w:tcPr>
            <w:tcW w:type="dxa" w:w="6520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A primeira linha contém os nomes das colunas e cada linha seguinte representa um registro.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AF2FA"/>
            <w:tcBorders>
              <w:top w:val="single" w:sz="8" w:color="467AA5"/>
              <w:left w:val="single" w:sz="8" w:color="467AA5"/>
              <w:bottom w:val="single" w:sz="8" w:color="467AA5"/>
              <w:right w:val="single" w:sz="8" w:color="467AA5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sz w:val="21"/>
              </w:rPr>
              <w:t>Seus dados e permissões</w:t>
            </w:r>
          </w:p>
          <w:p>
            <w:pPr>
              <w:spacing w:after="0"/>
            </w:pPr>
            <w:r>
              <w:rPr>
                <w:rFonts w:ascii="Aptos" w:hAnsi="Aptos"/>
                <w:sz w:val="19"/>
              </w:rPr>
              <w:t>A planilha é processada no navegador. A solução não solicita sua senha e não aumenta suas permissões. O SharePoint confirma as regras da lista no momento da gravação.</w:t>
            </w:r>
          </w:p>
        </w:tc>
      </w:tr>
    </w:tbl>
    <w:p>
      <w:pPr>
        <w:spacing w:after="20"/>
      </w:pPr>
    </w:p>
    <w:p>
      <w:pPr>
        <w:pStyle w:val="Heading2"/>
      </w:pPr>
      <w:r>
        <w:t>1.3 Limites padrão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3969"/>
            <w:vAlign w:val="center"/>
            <w:shd w:fill="075E54"/>
            <w:tcBorders>
              <w:top w:val="single" w:sz="5" w:color="075E54"/>
              <w:left w:val="single" w:sz="5" w:color="075E54"/>
              <w:bottom w:val="single" w:sz="5" w:color="075E54"/>
              <w:right w:val="single" w:sz="5" w:color="075E5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86"/>
            <w:vAlign w:val="center"/>
            <w:shd w:fill="075E54"/>
            <w:tcBorders>
              <w:top w:val="single" w:sz="5" w:color="075E54"/>
              <w:left w:val="single" w:sz="5" w:color="075E54"/>
              <w:bottom w:val="single" w:sz="5" w:color="075E54"/>
              <w:right w:val="single" w:sz="5" w:color="075E5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Limite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Tamanho do arquivo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20 MB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Linhas</w:t>
            </w:r>
          </w:p>
        </w:tc>
        <w:tc>
          <w:tcPr>
            <w:tcW w:type="dxa" w:w="5386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10.000 por aba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Colunas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100 por aba</w:t>
            </w:r>
          </w:p>
        </w:tc>
      </w:tr>
    </w:tbl>
    <w:p>
      <w:pPr>
        <w:spacing w:after="20"/>
      </w:pPr>
    </w:p>
    <w:p>
      <w:r>
        <w:t>Esses limites podem ser ajustados pela equipe responsável pela solução.</w:t>
      </w:r>
    </w:p>
    <w:p>
      <w:r>
        <w:br w:type="page"/>
      </w:r>
    </w:p>
    <w:p>
      <w:pPr>
        <w:pStyle w:val="Heading1"/>
      </w:pPr>
      <w:r>
        <w:t>2. Escolher a lista de destino</w:t>
      </w:r>
    </w:p>
    <w:p>
      <w:pPr>
        <w:spacing w:after="80"/>
        <w:ind w:left="369" w:hanging="312"/>
      </w:pPr>
      <w:r>
        <w:rPr>
          <w:b/>
          <w:color w:val="075E54"/>
        </w:rPr>
        <w:t xml:space="preserve">1. </w:t>
      </w:r>
      <w:r>
        <w:t>Abra o Importador Inteligente.</w:t>
      </w:r>
    </w:p>
    <w:p>
      <w:pPr>
        <w:spacing w:after="80"/>
        <w:ind w:left="369" w:hanging="312"/>
      </w:pPr>
      <w:r>
        <w:rPr>
          <w:b/>
          <w:color w:val="075E54"/>
        </w:rPr>
        <w:t xml:space="preserve">2. </w:t>
      </w:r>
      <w:r>
        <w:t>Na etapa Escolha a lista de destino, digite pelo menos dois caracteres do título da lista.</w:t>
      </w:r>
    </w:p>
    <w:p>
      <w:pPr>
        <w:spacing w:after="80"/>
        <w:ind w:left="369" w:hanging="312"/>
      </w:pPr>
      <w:r>
        <w:rPr>
          <w:b/>
          <w:color w:val="075E54"/>
        </w:rPr>
        <w:t xml:space="preserve">3. </w:t>
      </w:r>
      <w:r>
        <w:t>Clique em Pesquisar.</w:t>
      </w:r>
    </w:p>
    <w:p>
      <w:pPr>
        <w:spacing w:after="80"/>
        <w:ind w:left="369" w:hanging="312"/>
      </w:pPr>
      <w:r>
        <w:rPr>
          <w:b/>
          <w:color w:val="075E54"/>
        </w:rPr>
        <w:t xml:space="preserve">4. </w:t>
      </w:r>
      <w:r>
        <w:t>Confira o título e o site apresentados no resultado.</w:t>
      </w:r>
    </w:p>
    <w:p>
      <w:pPr>
        <w:spacing w:after="80"/>
        <w:ind w:left="369" w:hanging="312"/>
      </w:pPr>
      <w:r>
        <w:rPr>
          <w:b/>
          <w:color w:val="075E54"/>
        </w:rPr>
        <w:t xml:space="preserve">5. </w:t>
      </w:r>
      <w:r>
        <w:t>Selecione a lista correta.</w:t>
      </w:r>
    </w:p>
    <w:p>
      <w:pPr>
        <w:pStyle w:val="Heading2"/>
      </w:pPr>
      <w:r>
        <w:t>2.1 Como funciona a pesquisa</w:t>
      </w:r>
    </w:p>
    <w:p>
      <w:pPr>
        <w:pStyle w:val="ListBullet"/>
        <w:spacing w:after="60"/>
      </w:pPr>
      <w:r>
        <w:t>Pesquise pelo nome da lista, e não pelo nome de uma coluna.</w:t>
      </w:r>
    </w:p>
    <w:p>
      <w:pPr>
        <w:pStyle w:val="ListBullet"/>
        <w:spacing w:after="60"/>
      </w:pPr>
      <w:r>
        <w:t>Você pode digitar parte do título; usar um trecho mais específico reduz resultados semelhantes.</w:t>
      </w:r>
    </w:p>
    <w:p>
      <w:pPr>
        <w:pStyle w:val="ListBullet"/>
        <w:spacing w:after="60"/>
      </w:pPr>
      <w:r>
        <w:t>A pesquisa considera o site atual e o índice do SharePoint.</w:t>
      </w:r>
    </w:p>
    <w:p>
      <w:pPr>
        <w:pStyle w:val="ListBullet"/>
        <w:spacing w:after="60"/>
      </w:pPr>
      <w:r>
        <w:t>Uma lista recém-criada ou renomeada pode levar alguns minutos para aparecer na pesquisa.</w:t>
      </w:r>
    </w:p>
    <w:p>
      <w:pPr>
        <w:pStyle w:val="ListBullet"/>
        <w:spacing w:after="60"/>
      </w:pPr>
      <w:r>
        <w:t>Se a lista aparece e pode ser selecionada, o importador passa a usar automaticamente o site daquela lista.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DDEFEA"/>
            <w:tcBorders>
              <w:top w:val="single" w:sz="8" w:color="075E54"/>
              <w:left w:val="single" w:sz="8" w:color="075E54"/>
              <w:bottom w:val="single" w:sz="8" w:color="075E54"/>
              <w:right w:val="single" w:sz="8" w:color="075E54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sz w:val="21"/>
              </w:rPr>
              <w:t>Exemplo</w:t>
            </w:r>
          </w:p>
          <w:p>
            <w:pPr>
              <w:spacing w:after="0"/>
            </w:pPr>
            <w:r>
              <w:rPr>
                <w:rFonts w:ascii="Aptos" w:hAnsi="Aptos"/>
                <w:sz w:val="19"/>
              </w:rPr>
              <w:t>Para localizar a lista “ConectaICS_Base”, pesquise por “ConectaICS”, “ICS_Base” ou pelo título completo. Não pesquise pelo nome de um campo da lista.</w:t>
            </w:r>
          </w:p>
        </w:tc>
      </w:tr>
    </w:tbl>
    <w:p>
      <w:pPr>
        <w:spacing w:after="20"/>
      </w:pPr>
    </w:p>
    <w:p>
      <w:pPr>
        <w:pStyle w:val="Heading2"/>
      </w:pPr>
      <w:r>
        <w:t>2.2 Depois da seleção</w:t>
      </w:r>
    </w:p>
    <w:p>
      <w:r>
        <w:t>A tela mostra o nome da lista, o endereço do site, os tipos de conteúdo disponíveis e todas as colunas editáveis. As colunas obrigatórias aparecem com Sim e, depois, com * no mapeamento.</w:t>
      </w:r>
    </w:p>
    <w:p>
      <w:pPr>
        <w:pStyle w:val="Heading2"/>
      </w:pPr>
      <w:r>
        <w:t>2.3 Trocar a lista</w:t>
      </w:r>
    </w:p>
    <w:p>
      <w:r>
        <w:t>Use Trocar lista quando perceber que selecionou o destino errado. Essa ação limpa o arquivo, o mapeamento e a validação anteriores para evitar que dados sejam enviados à lista incorreta.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1CC"/>
            <w:tcBorders>
              <w:top w:val="single" w:sz="8" w:color="B17800"/>
              <w:left w:val="single" w:sz="8" w:color="B17800"/>
              <w:bottom w:val="single" w:sz="8" w:color="B17800"/>
              <w:right w:val="single" w:sz="8" w:color="B1780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sz w:val="21"/>
              </w:rPr>
              <w:t>Atenção ao destino</w:t>
            </w:r>
          </w:p>
          <w:p>
            <w:pPr>
              <w:spacing w:after="0"/>
            </w:pPr>
            <w:r>
              <w:rPr>
                <w:rFonts w:ascii="Aptos" w:hAnsi="Aptos"/>
                <w:sz w:val="19"/>
              </w:rPr>
              <w:t>Antes de continuar, confira sempre o título e o endereço do site. A importação cria itens na lista selecionada; ela não move nem atualiza itens existentes.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Preparar e selecionar o arquivo</w:t>
      </w:r>
    </w:p>
    <w:p>
      <w:pPr>
        <w:pStyle w:val="Heading2"/>
      </w:pPr>
      <w:r>
        <w:t>3.1 Opção recomendada: baixar o modelo</w:t>
      </w:r>
    </w:p>
    <w:p>
      <w:pPr>
        <w:spacing w:after="80"/>
        <w:ind w:left="369" w:hanging="312"/>
      </w:pPr>
      <w:r>
        <w:rPr>
          <w:b/>
          <w:color w:val="075E54"/>
        </w:rPr>
        <w:t xml:space="preserve">1. </w:t>
      </w:r>
      <w:r>
        <w:t>Depois de selecionar a lista, clique em Baixar template.</w:t>
      </w:r>
    </w:p>
    <w:p>
      <w:pPr>
        <w:spacing w:after="80"/>
        <w:ind w:left="369" w:hanging="312"/>
      </w:pPr>
      <w:r>
        <w:rPr>
          <w:b/>
          <w:color w:val="075E54"/>
        </w:rPr>
        <w:t xml:space="preserve">2. </w:t>
      </w:r>
      <w:r>
        <w:t>Preencha a aba de dados mantendo os cabeçalhos.</w:t>
      </w:r>
    </w:p>
    <w:p>
      <w:pPr>
        <w:spacing w:after="80"/>
        <w:ind w:left="369" w:hanging="312"/>
      </w:pPr>
      <w:r>
        <w:rPr>
          <w:b/>
          <w:color w:val="075E54"/>
        </w:rPr>
        <w:t xml:space="preserve">3. </w:t>
      </w:r>
      <w:r>
        <w:t>Consulte a aba de instruções para formatos, obrigatoriedade e opções de lookup.</w:t>
      </w:r>
    </w:p>
    <w:p>
      <w:pPr>
        <w:spacing w:after="80"/>
        <w:ind w:left="369" w:hanging="312"/>
      </w:pPr>
      <w:r>
        <w:rPr>
          <w:b/>
          <w:color w:val="075E54"/>
        </w:rPr>
        <w:t xml:space="preserve">4. </w:t>
      </w:r>
      <w:r>
        <w:t>Salve como XLSX e volte ao importador.</w:t>
      </w:r>
    </w:p>
    <w:p>
      <w:pPr>
        <w:pStyle w:val="Heading2"/>
      </w:pPr>
      <w:r>
        <w:t>3.2 Usar uma planilha existente</w:t>
      </w:r>
    </w:p>
    <w:p>
      <w:pPr>
        <w:pStyle w:val="ListBullet"/>
        <w:spacing w:after="60"/>
      </w:pPr>
      <w:r>
        <w:t>A primeira linha deve conter os cabeçalhos.</w:t>
      </w:r>
    </w:p>
    <w:p>
      <w:pPr>
        <w:pStyle w:val="ListBullet"/>
        <w:spacing w:after="60"/>
      </w:pPr>
      <w:r>
        <w:t>Cada linha abaixo deve representar um item a ser criado.</w:t>
      </w:r>
    </w:p>
    <w:p>
      <w:pPr>
        <w:pStyle w:val="ListBullet"/>
        <w:spacing w:after="60"/>
      </w:pPr>
      <w:r>
        <w:t>Evite cabeçalhos duplicados ou vazios.</w:t>
      </w:r>
    </w:p>
    <w:p>
      <w:pPr>
        <w:pStyle w:val="ListBullet"/>
        <w:spacing w:after="60"/>
      </w:pPr>
      <w:r>
        <w:t>Colunas adicionais podem permanecer no arquivo; elas serão ignoradas quando não forem mapeadas.</w:t>
      </w:r>
    </w:p>
    <w:p>
      <w:pPr>
        <w:pStyle w:val="ListBullet"/>
        <w:spacing w:after="60"/>
      </w:pPr>
      <w:r>
        <w:t>Colunas de sistema de uma exportação do SharePoint, como ID, Criado e Modificado, são ignoradas.</w:t>
      </w:r>
    </w:p>
    <w:p>
      <w:pPr>
        <w:pStyle w:val="Heading2"/>
      </w:pPr>
      <w:r>
        <w:t>3.3 Selecionar arquivo, aba e formato regional</w:t>
      </w:r>
    </w:p>
    <w:p>
      <w:pPr>
        <w:spacing w:after="80"/>
        <w:ind w:left="369" w:hanging="312"/>
      </w:pPr>
      <w:r>
        <w:rPr>
          <w:b/>
          <w:color w:val="075E54"/>
        </w:rPr>
        <w:t xml:space="preserve">1. </w:t>
      </w:r>
      <w:r>
        <w:t>Clique em Escolher arquivo e selecione um XLSX ou XLS.</w:t>
      </w:r>
    </w:p>
    <w:p>
      <w:pPr>
        <w:spacing w:after="80"/>
        <w:ind w:left="369" w:hanging="312"/>
      </w:pPr>
      <w:r>
        <w:rPr>
          <w:b/>
          <w:color w:val="075E54"/>
        </w:rPr>
        <w:t xml:space="preserve">2. </w:t>
      </w:r>
      <w:r>
        <w:t>Confira a aba escolhida. A aba Dados é selecionada automaticamente quando existe; caso contrário, a primeira aba é usada.</w:t>
      </w:r>
    </w:p>
    <w:p>
      <w:pPr>
        <w:spacing w:after="80"/>
        <w:ind w:left="369" w:hanging="312"/>
      </w:pPr>
      <w:r>
        <w:rPr>
          <w:b/>
          <w:color w:val="075E54"/>
        </w:rPr>
        <w:t xml:space="preserve">3. </w:t>
      </w:r>
      <w:r>
        <w:t>Escolha Brasileiro para números e datas no padrão brasileiro, ou en-US para o padrão americano.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2835"/>
            <w:vAlign w:val="center"/>
            <w:shd w:fill="075E54"/>
            <w:tcBorders>
              <w:top w:val="single" w:sz="5" w:color="075E54"/>
              <w:left w:val="single" w:sz="5" w:color="075E54"/>
              <w:bottom w:val="single" w:sz="5" w:color="075E54"/>
              <w:right w:val="single" w:sz="5" w:color="075E5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Formato regional</w:t>
            </w:r>
          </w:p>
        </w:tc>
        <w:tc>
          <w:tcPr>
            <w:tcW w:type="dxa" w:w="3118"/>
            <w:vAlign w:val="center"/>
            <w:shd w:fill="075E54"/>
            <w:tcBorders>
              <w:top w:val="single" w:sz="5" w:color="075E54"/>
              <w:left w:val="single" w:sz="5" w:color="075E54"/>
              <w:bottom w:val="single" w:sz="5" w:color="075E54"/>
              <w:right w:val="single" w:sz="5" w:color="075E5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Exemplo de número</w:t>
            </w:r>
          </w:p>
        </w:tc>
        <w:tc>
          <w:tcPr>
            <w:tcW w:type="dxa" w:w="3402"/>
            <w:vAlign w:val="center"/>
            <w:shd w:fill="075E54"/>
            <w:tcBorders>
              <w:top w:val="single" w:sz="5" w:color="075E54"/>
              <w:left w:val="single" w:sz="5" w:color="075E54"/>
              <w:bottom w:val="single" w:sz="5" w:color="075E54"/>
              <w:right w:val="single" w:sz="5" w:color="075E5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Exemplo de data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Brasileiro (pt-BR)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1.234,56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25/01/2026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Americano (en-US)</w:t>
            </w:r>
          </w:p>
        </w:tc>
        <w:tc>
          <w:tcPr>
            <w:tcW w:type="dxa" w:w="3118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1,234.56</w:t>
            </w:r>
          </w:p>
        </w:tc>
        <w:tc>
          <w:tcPr>
            <w:tcW w:type="dxa" w:w="3402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01/25/2026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DDEFEA"/>
            <w:tcBorders>
              <w:top w:val="single" w:sz="8" w:color="075E54"/>
              <w:left w:val="single" w:sz="8" w:color="075E54"/>
              <w:bottom w:val="single" w:sz="8" w:color="075E54"/>
              <w:right w:val="single" w:sz="8" w:color="075E54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sz w:val="21"/>
              </w:rPr>
              <w:t>Datas do Excel</w:t>
            </w:r>
          </w:p>
          <w:p>
            <w:pPr>
              <w:spacing w:after="0"/>
            </w:pPr>
            <w:r>
              <w:rPr>
                <w:rFonts w:ascii="Aptos" w:hAnsi="Aptos"/>
                <w:sz w:val="19"/>
              </w:rPr>
              <w:t>Datas armazenadas como data real do Excel são interpretadas pelo valor da célula. Se a data estiver como texto, o formato regional selecionado determina a leitura.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Mapear as colunas</w:t>
      </w:r>
    </w:p>
    <w:p>
      <w:r>
        <w:t>O mapeamento informa qual coluna do Excel deve preencher cada campo da lista. Todas as colunas editáveis do destino aparecem na tela.</w:t>
      </w:r>
    </w:p>
    <w:p>
      <w:pPr>
        <w:pStyle w:val="Heading2"/>
      </w:pPr>
      <w:r>
        <w:t>4.1 Conferir o mapeamento</w:t>
      </w:r>
    </w:p>
    <w:p>
      <w:pPr>
        <w:spacing w:after="80"/>
        <w:ind w:left="369" w:hanging="312"/>
      </w:pPr>
      <w:r>
        <w:rPr>
          <w:b/>
          <w:color w:val="075E54"/>
        </w:rPr>
        <w:t xml:space="preserve">1. </w:t>
      </w:r>
      <w:r>
        <w:t>Leia o nome do campo da lista apresentado acima de cada seleção.</w:t>
      </w:r>
    </w:p>
    <w:p>
      <w:pPr>
        <w:spacing w:after="80"/>
        <w:ind w:left="369" w:hanging="312"/>
      </w:pPr>
      <w:r>
        <w:rPr>
          <w:b/>
          <w:color w:val="075E54"/>
        </w:rPr>
        <w:t xml:space="preserve">2. </w:t>
      </w:r>
      <w:r>
        <w:t>Confira a coluna do Excel escolhida automaticamente.</w:t>
      </w:r>
    </w:p>
    <w:p>
      <w:pPr>
        <w:spacing w:after="80"/>
        <w:ind w:left="369" w:hanging="312"/>
      </w:pPr>
      <w:r>
        <w:rPr>
          <w:b/>
          <w:color w:val="075E54"/>
        </w:rPr>
        <w:t xml:space="preserve">3. </w:t>
      </w:r>
      <w:r>
        <w:t>Altere a seleção quando o cabeçalho do Excel tiver outro nome.</w:t>
      </w:r>
    </w:p>
    <w:p>
      <w:pPr>
        <w:spacing w:after="80"/>
        <w:ind w:left="369" w:hanging="312"/>
      </w:pPr>
      <w:r>
        <w:rPr>
          <w:b/>
          <w:color w:val="075E54"/>
        </w:rPr>
        <w:t xml:space="preserve">4. </w:t>
      </w:r>
      <w:r>
        <w:t>Escolha Não importar esta coluna para um campo opcional que não será preenchido.</w:t>
      </w:r>
    </w:p>
    <w:p>
      <w:pPr>
        <w:spacing w:after="80"/>
        <w:ind w:left="369" w:hanging="312"/>
      </w:pPr>
      <w:r>
        <w:rPr>
          <w:b/>
          <w:color w:val="075E54"/>
        </w:rPr>
        <w:t xml:space="preserve">5. </w:t>
      </w:r>
      <w:r>
        <w:t>Preencha todos os campos marcados com * ou confirme que a lista oferece um valor padrão válido.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2835"/>
            <w:vAlign w:val="center"/>
            <w:shd w:fill="075E54"/>
            <w:tcBorders>
              <w:top w:val="single" w:sz="5" w:color="075E54"/>
              <w:left w:val="single" w:sz="5" w:color="075E54"/>
              <w:bottom w:val="single" w:sz="5" w:color="075E54"/>
              <w:right w:val="single" w:sz="5" w:color="075E5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6520"/>
            <w:vAlign w:val="center"/>
            <w:shd w:fill="075E54"/>
            <w:tcBorders>
              <w:top w:val="single" w:sz="5" w:color="075E54"/>
              <w:left w:val="single" w:sz="5" w:color="075E54"/>
              <w:bottom w:val="single" w:sz="5" w:color="075E54"/>
              <w:right w:val="single" w:sz="5" w:color="075E5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 que fazer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Cabeçalhos iguais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Confirme manualmente o campo correto; cabeçalhos duplicados no Excel devem ser corrigidos.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Mesma origem para dois campos</w:t>
            </w:r>
          </w:p>
        </w:tc>
        <w:tc>
          <w:tcPr>
            <w:tcW w:type="dxa" w:w="6520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É permitido selecionar a mesma coluna do Excel para mais de um campo da lista.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Coluna extra no Excel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Deixe sem uso. Ela não será enviada e não deve invalidar as linhas.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Campo opcional sem dado</w:t>
            </w:r>
          </w:p>
        </w:tc>
        <w:tc>
          <w:tcPr>
            <w:tcW w:type="dxa" w:w="6520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Selecione Não importar esta coluna ou deixe as células vazias.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Campo obrigatório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Selecione uma origem com valor em todas as linhas ou use o padrão definido na lista.</w:t>
            </w:r>
          </w:p>
        </w:tc>
      </w:tr>
    </w:tbl>
    <w:p>
      <w:pPr>
        <w:spacing w:after="20"/>
      </w:pPr>
    </w:p>
    <w:p>
      <w:pPr>
        <w:pStyle w:val="Heading2"/>
      </w:pPr>
      <w:r>
        <w:t>4.2 Formatos especiais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2268"/>
            <w:vAlign w:val="center"/>
            <w:shd w:fill="075E54"/>
            <w:tcBorders>
              <w:top w:val="single" w:sz="5" w:color="075E54"/>
              <w:left w:val="single" w:sz="5" w:color="075E54"/>
              <w:bottom w:val="single" w:sz="5" w:color="075E54"/>
              <w:right w:val="single" w:sz="5" w:color="075E5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vAlign w:val="center"/>
            <w:shd w:fill="075E54"/>
            <w:tcBorders>
              <w:top w:val="single" w:sz="5" w:color="075E54"/>
              <w:left w:val="single" w:sz="5" w:color="075E54"/>
              <w:bottom w:val="single" w:sz="5" w:color="075E54"/>
              <w:right w:val="single" w:sz="5" w:color="075E5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Formato recomendado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Pessoa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E-mail ou UPN. Nome visível é aceito somente quando identifica uma única pessoa no site.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Grupo</w:t>
            </w:r>
          </w:p>
        </w:tc>
        <w:tc>
          <w:tcPr>
            <w:tcW w:type="dxa" w:w="7087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GRUPO:Nome do grupo, quando o campo aceitar grupos.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Lookup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ID:123 ou valor de exibição que seja único.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Múltiplos valores</w:t>
            </w:r>
          </w:p>
        </w:tc>
        <w:tc>
          <w:tcPr>
            <w:tcW w:type="dxa" w:w="7087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Separe por ponto e vírgula. Para um ponto e vírgula literal, use \;.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1CC"/>
            <w:tcBorders>
              <w:top w:val="single" w:sz="8" w:color="B17800"/>
              <w:left w:val="single" w:sz="8" w:color="B17800"/>
              <w:bottom w:val="single" w:sz="8" w:color="B17800"/>
              <w:right w:val="single" w:sz="8" w:color="B1780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sz w:val="21"/>
              </w:rPr>
              <w:t>Quando o mapeamento muda</w:t>
            </w:r>
          </w:p>
          <w:p>
            <w:pPr>
              <w:spacing w:after="0"/>
            </w:pPr>
            <w:r>
              <w:rPr>
                <w:rFonts w:ascii="Aptos" w:hAnsi="Aptos"/>
                <w:sz w:val="19"/>
              </w:rPr>
              <w:t>Qualquer alteração no mapeamento apaga a validação anterior. Clique novamente em Validar arquivo antes de importar.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Validar e corrigir</w:t>
      </w:r>
    </w:p>
    <w:p>
      <w:r>
        <w:t>Clique em Validar arquivo depois de conferir a lista, a aba, o formato regional e o mapeamento. Nenhum item é criado durante a validação.</w:t>
      </w:r>
    </w:p>
    <w:p>
      <w:pPr>
        <w:pStyle w:val="Heading2"/>
      </w:pPr>
      <w:r>
        <w:t>5.1 Como ler o resultado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2835"/>
            <w:vAlign w:val="center"/>
            <w:shd w:fill="075E54"/>
            <w:tcBorders>
              <w:top w:val="single" w:sz="5" w:color="075E54"/>
              <w:left w:val="single" w:sz="5" w:color="075E54"/>
              <w:bottom w:val="single" w:sz="5" w:color="075E54"/>
              <w:right w:val="single" w:sz="5" w:color="075E5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6520"/>
            <w:vAlign w:val="center"/>
            <w:shd w:fill="075E54"/>
            <w:tcBorders>
              <w:top w:val="single" w:sz="5" w:color="075E54"/>
              <w:left w:val="single" w:sz="5" w:color="075E54"/>
              <w:bottom w:val="single" w:sz="5" w:color="075E54"/>
              <w:right w:val="single" w:sz="5" w:color="075E5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Registros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Quantidade total de linhas de dados analisadas.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Linhas válidas</w:t>
            </w:r>
          </w:p>
        </w:tc>
        <w:tc>
          <w:tcPr>
            <w:tcW w:type="dxa" w:w="6520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Linhas prontas para importação.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Linhas inválidas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Quantidade de linhas com pelo menos um erro.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Problemas de estrutura</w:t>
            </w:r>
          </w:p>
        </w:tc>
        <w:tc>
          <w:tcPr>
            <w:tcW w:type="dxa" w:w="6520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Erros de arquivo, cabeçalho ou mapeamento que bloqueiam a importação.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Avisos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Informações que merecem atenção, mas não invalidam a linha.</w:t>
            </w:r>
          </w:p>
        </w:tc>
      </w:tr>
    </w:tbl>
    <w:p>
      <w:pPr>
        <w:spacing w:after="20"/>
      </w:pPr>
    </w:p>
    <w:p>
      <w:r>
        <w:t>Uma linha pode ter vários erros e continua sendo contada uma única vez em Linhas inválidas. O log e o arquivo exportado mostram cada problema separadamente.</w:t>
      </w:r>
    </w:p>
    <w:p>
      <w:pPr>
        <w:pStyle w:val="Heading2"/>
      </w:pPr>
      <w:r>
        <w:t>5.2 Corrigir os erros</w:t>
      </w:r>
    </w:p>
    <w:p>
      <w:pPr>
        <w:spacing w:after="80"/>
        <w:ind w:left="369" w:hanging="312"/>
      </w:pPr>
      <w:r>
        <w:rPr>
          <w:b/>
          <w:color w:val="075E54"/>
        </w:rPr>
        <w:t xml:space="preserve">1. </w:t>
      </w:r>
      <w:r>
        <w:t>Leia a linha, a coluna, o valor e a mensagem apresentados no log.</w:t>
      </w:r>
    </w:p>
    <w:p>
      <w:pPr>
        <w:spacing w:after="80"/>
        <w:ind w:left="369" w:hanging="312"/>
      </w:pPr>
      <w:r>
        <w:rPr>
          <w:b/>
          <w:color w:val="075E54"/>
        </w:rPr>
        <w:t xml:space="preserve">2. </w:t>
      </w:r>
      <w:r>
        <w:t>Use a linha física indicada para localizar o registro no Excel.</w:t>
      </w:r>
    </w:p>
    <w:p>
      <w:pPr>
        <w:spacing w:after="80"/>
        <w:ind w:left="369" w:hanging="312"/>
      </w:pPr>
      <w:r>
        <w:rPr>
          <w:b/>
          <w:color w:val="075E54"/>
        </w:rPr>
        <w:t xml:space="preserve">3. </w:t>
      </w:r>
      <w:r>
        <w:t>Corrija o arquivo ou o mapeamento.</w:t>
      </w:r>
    </w:p>
    <w:p>
      <w:pPr>
        <w:spacing w:after="80"/>
        <w:ind w:left="369" w:hanging="312"/>
      </w:pPr>
      <w:r>
        <w:rPr>
          <w:b/>
          <w:color w:val="075E54"/>
        </w:rPr>
        <w:t xml:space="preserve">4. </w:t>
      </w:r>
      <w:r>
        <w:t>Selecione novamente o arquivo quando tiver alterado a planilha.</w:t>
      </w:r>
    </w:p>
    <w:p>
      <w:pPr>
        <w:spacing w:after="80"/>
        <w:ind w:left="369" w:hanging="312"/>
      </w:pPr>
      <w:r>
        <w:rPr>
          <w:b/>
          <w:color w:val="075E54"/>
        </w:rPr>
        <w:t xml:space="preserve">5. </w:t>
      </w:r>
      <w:r>
        <w:t>Clique outra vez em Validar arquivo.</w:t>
      </w:r>
    </w:p>
    <w:p>
      <w:pPr>
        <w:pStyle w:val="Heading2"/>
      </w:pPr>
      <w:r>
        <w:t>5.3 Importar somente as linhas válidas</w:t>
      </w:r>
    </w:p>
    <w:p>
      <w:r>
        <w:t>Quando existem linhas válidas e inválidas, e não há erro estrutural, a tela oferece a opção de importar apenas as linhas válidas. Marque a opção, confira as quantidades e prossiga. As linhas inválidas serão ignoradas e permanecerão disponíveis no relatório de erros.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CE8E6"/>
            <w:tcBorders>
              <w:top w:val="single" w:sz="8" w:color="C43E32"/>
              <w:left w:val="single" w:sz="8" w:color="C43E32"/>
              <w:bottom w:val="single" w:sz="8" w:color="C43E32"/>
              <w:right w:val="single" w:sz="8" w:color="C43E32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sz w:val="21"/>
              </w:rPr>
              <w:t>Problema estrutural</w:t>
            </w:r>
          </w:p>
          <w:p>
            <w:pPr>
              <w:spacing w:after="0"/>
            </w:pPr>
            <w:r>
              <w:rPr>
                <w:rFonts w:ascii="Aptos" w:hAnsi="Aptos"/>
                <w:sz w:val="19"/>
              </w:rPr>
              <w:t>Cabeçalho duplicado, campo obrigatório sem mapeamento ou outro problema de estrutura impede a importação inteira. Corrija a estrutura antes de tentar enviar somente as linhas válidas.</w:t>
            </w:r>
          </w:p>
        </w:tc>
      </w:tr>
    </w:tbl>
    <w:p>
      <w:pPr>
        <w:spacing w:after="20"/>
      </w:pPr>
    </w:p>
    <w:p>
      <w:pPr>
        <w:pStyle w:val="Heading2"/>
      </w:pPr>
      <w:r>
        <w:t>5.4 Valores repetidos</w:t>
      </w:r>
    </w:p>
    <w:p>
      <w:r>
        <w:t>A solução verifica repetições dentro do arquivo quando a coluna da lista exige valor único. Registros iguais aos que já existem na lista podem ser aceitos quando a lista não possui uma regra de exclusividade. A decisão final é do SharePoint.</w:t>
      </w:r>
    </w:p>
    <w:p>
      <w:r>
        <w:br w:type="page"/>
      </w:r>
    </w:p>
    <w:p>
      <w:pPr>
        <w:pStyle w:val="Heading1"/>
      </w:pPr>
      <w:r>
        <w:t>6. Importar e conferir o resultado</w:t>
      </w:r>
    </w:p>
    <w:p>
      <w:pPr>
        <w:pStyle w:val="Heading2"/>
      </w:pPr>
      <w:r>
        <w:t>6.1 Iniciar a importação</w:t>
      </w:r>
    </w:p>
    <w:p>
      <w:pPr>
        <w:spacing w:after="80"/>
        <w:ind w:left="369" w:hanging="312"/>
      </w:pPr>
      <w:r>
        <w:rPr>
          <w:b/>
          <w:color w:val="075E54"/>
        </w:rPr>
        <w:t xml:space="preserve">1. </w:t>
      </w:r>
      <w:r>
        <w:t>Confirme o total exibido no botão Importar.</w:t>
      </w:r>
    </w:p>
    <w:p>
      <w:pPr>
        <w:spacing w:after="80"/>
        <w:ind w:left="369" w:hanging="312"/>
      </w:pPr>
      <w:r>
        <w:rPr>
          <w:b/>
          <w:color w:val="075E54"/>
        </w:rPr>
        <w:t xml:space="preserve">2. </w:t>
      </w:r>
      <w:r>
        <w:t>Clique em Importar registros.</w:t>
      </w:r>
    </w:p>
    <w:p>
      <w:pPr>
        <w:spacing w:after="80"/>
        <w:ind w:left="369" w:hanging="312"/>
      </w:pPr>
      <w:r>
        <w:rPr>
          <w:b/>
          <w:color w:val="075E54"/>
        </w:rPr>
        <w:t xml:space="preserve">3. </w:t>
      </w:r>
      <w:r>
        <w:t>Mantenha a página aberta até a conclusão.</w:t>
      </w:r>
    </w:p>
    <w:p>
      <w:pPr>
        <w:spacing w:after="80"/>
        <w:ind w:left="369" w:hanging="312"/>
      </w:pPr>
      <w:r>
        <w:rPr>
          <w:b/>
          <w:color w:val="075E54"/>
        </w:rPr>
        <w:t xml:space="preserve">4. </w:t>
      </w:r>
      <w:r>
        <w:t>Se precisar parar, use Interromper após o lote atual. Os itens já enviados não serão desfeitos.</w:t>
      </w:r>
    </w:p>
    <w:p>
      <w:pPr>
        <w:pStyle w:val="Heading2"/>
      </w:pPr>
      <w:r>
        <w:t>6.2 Status possíveis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</w:trPr>
        <w:tc>
          <w:tcPr>
            <w:tcW w:type="dxa" w:w="2041"/>
            <w:vAlign w:val="center"/>
            <w:shd w:fill="075E54"/>
            <w:tcBorders>
              <w:top w:val="single" w:sz="5" w:color="075E54"/>
              <w:left w:val="single" w:sz="5" w:color="075E54"/>
              <w:bottom w:val="single" w:sz="5" w:color="075E54"/>
              <w:right w:val="single" w:sz="5" w:color="075E5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15"/>
            <w:vAlign w:val="center"/>
            <w:shd w:fill="075E54"/>
            <w:tcBorders>
              <w:top w:val="single" w:sz="5" w:color="075E54"/>
              <w:left w:val="single" w:sz="5" w:color="075E54"/>
              <w:bottom w:val="single" w:sz="5" w:color="075E54"/>
              <w:right w:val="single" w:sz="5" w:color="075E5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Significado</w:t>
            </w:r>
          </w:p>
        </w:tc>
        <w:tc>
          <w:tcPr>
            <w:tcW w:type="dxa" w:w="3798"/>
            <w:vAlign w:val="center"/>
            <w:shd w:fill="075E54"/>
            <w:tcBorders>
              <w:top w:val="single" w:sz="5" w:color="075E54"/>
              <w:left w:val="single" w:sz="5" w:color="075E54"/>
              <w:bottom w:val="single" w:sz="5" w:color="075E54"/>
              <w:right w:val="single" w:sz="5" w:color="075E5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Próxima ação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Importado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O SharePoint confirmou a criação do item.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Nenhuma correção necessária.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Parcial</w:t>
            </w:r>
          </w:p>
        </w:tc>
        <w:tc>
          <w:tcPr>
            <w:tcW w:type="dxa" w:w="3515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Parte dos registros foi criada e parte falhou ou foi ignorada.</w:t>
            </w:r>
          </w:p>
        </w:tc>
        <w:tc>
          <w:tcPr>
            <w:tcW w:type="dxa" w:w="3798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Exporte o resultado e trate somente as linhas necessárias.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Falhou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O SharePoint rejeitou o registro.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Leia o HTTP e a mensagem, corrija e valide novamente.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Interrompido</w:t>
            </w:r>
          </w:p>
        </w:tc>
        <w:tc>
          <w:tcPr>
            <w:tcW w:type="dxa" w:w="3515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A execução parou depois do lote em andamento.</w:t>
            </w:r>
          </w:p>
        </w:tc>
        <w:tc>
          <w:tcPr>
            <w:tcW w:type="dxa" w:w="3798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Confira o resultado antes de iniciar outra execução.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Resultado desconhecido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A solução não conseguiu confirmar se a gravação ocorreu.</w:t>
            </w:r>
          </w:p>
        </w:tc>
        <w:tc>
          <w:tcPr>
            <w:tcW w:type="dxa" w:w="3798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Confira a lista antes de reenviar.</w:t>
            </w:r>
          </w:p>
        </w:tc>
      </w:tr>
    </w:tbl>
    <w:p>
      <w:pPr>
        <w:spacing w:after="20"/>
      </w:pPr>
    </w:p>
    <w:p>
      <w:pPr>
        <w:pStyle w:val="Heading2"/>
      </w:pPr>
      <w:r>
        <w:t>6.3 Log e exportação</w:t>
      </w:r>
    </w:p>
    <w:p>
      <w:pPr>
        <w:pStyle w:val="ListBullet"/>
        <w:spacing w:after="60"/>
      </w:pPr>
      <w:r>
        <w:t>O log da importação mostra linha, status, HTTP e mensagem para as ocorrências com problema.</w:t>
      </w:r>
    </w:p>
    <w:p>
      <w:pPr>
        <w:pStyle w:val="ListBullet"/>
        <w:spacing w:after="60"/>
      </w:pPr>
      <w:r>
        <w:t>A tela apresenta até 50 ocorrências; use Exportar resultado para consultar o conjunto completo.</w:t>
      </w:r>
    </w:p>
    <w:p>
      <w:pPr>
        <w:pStyle w:val="ListBullet"/>
        <w:spacing w:after="60"/>
      </w:pPr>
      <w:r>
        <w:t>O ID do item aparece quando o SharePoint o devolve.</w:t>
      </w:r>
    </w:p>
    <w:p>
      <w:pPr>
        <w:pStyle w:val="ListBullet"/>
        <w:spacing w:after="60"/>
      </w:pPr>
      <w:r>
        <w:t>Guarde o arquivo de resultado quando a importação for importante ou precisar de suporte.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1CC"/>
            <w:tcBorders>
              <w:top w:val="single" w:sz="8" w:color="B17800"/>
              <w:left w:val="single" w:sz="8" w:color="B17800"/>
              <w:bottom w:val="single" w:sz="8" w:color="B17800"/>
              <w:right w:val="single" w:sz="8" w:color="B17800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sz w:val="21"/>
              </w:rPr>
              <w:t>Resultado desconhecido</w:t>
            </w:r>
          </w:p>
          <w:p>
            <w:pPr>
              <w:spacing w:after="0"/>
            </w:pPr>
            <w:r>
              <w:rPr>
                <w:rFonts w:ascii="Aptos" w:hAnsi="Aptos"/>
                <w:sz w:val="19"/>
              </w:rPr>
              <w:t>Não clique novamente por tentativa. Primeiro abra a lista e procure o registro usando uma informação que o identifique. Ele pode ter sido criado mesmo sem a confirmação exibida na tela.</w:t>
            </w:r>
          </w:p>
        </w:tc>
      </w:tr>
    </w:tbl>
    <w:p>
      <w:pPr>
        <w:spacing w:after="20"/>
      </w:pPr>
    </w:p>
    <w:p>
      <w:pPr>
        <w:pStyle w:val="Heading2"/>
      </w:pPr>
      <w:r>
        <w:t>6.4 O que a importação não faz</w:t>
      </w:r>
    </w:p>
    <w:p>
      <w:pPr>
        <w:pStyle w:val="ListBullet"/>
        <w:spacing w:after="60"/>
      </w:pPr>
      <w:r>
        <w:t>Não atualiza nem exclui itens existentes.</w:t>
      </w:r>
    </w:p>
    <w:p>
      <w:pPr>
        <w:pStyle w:val="ListBullet"/>
        <w:spacing w:after="60"/>
      </w:pPr>
      <w:r>
        <w:t>Não importa anexos.</w:t>
      </w:r>
    </w:p>
    <w:p>
      <w:pPr>
        <w:pStyle w:val="ListBullet"/>
        <w:spacing w:after="60"/>
      </w:pPr>
      <w:r>
        <w:t>Não retoma automaticamente depois que a página é fechada ou recarregada.</w:t>
      </w:r>
    </w:p>
    <w:p>
      <w:r>
        <w:br w:type="page"/>
      </w:r>
    </w:p>
    <w:p>
      <w:pPr>
        <w:pStyle w:val="Heading1"/>
      </w:pPr>
      <w:r>
        <w:t>7. Resolver problemas comuns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2835"/>
            <w:vAlign w:val="center"/>
            <w:shd w:fill="075E54"/>
            <w:tcBorders>
              <w:top w:val="single" w:sz="5" w:color="075E54"/>
              <w:left w:val="single" w:sz="5" w:color="075E54"/>
              <w:bottom w:val="single" w:sz="5" w:color="075E54"/>
              <w:right w:val="single" w:sz="5" w:color="075E5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Problema</w:t>
            </w:r>
          </w:p>
        </w:tc>
        <w:tc>
          <w:tcPr>
            <w:tcW w:type="dxa" w:w="6520"/>
            <w:vAlign w:val="center"/>
            <w:shd w:fill="075E54"/>
            <w:tcBorders>
              <w:top w:val="single" w:sz="5" w:color="075E54"/>
              <w:left w:val="single" w:sz="5" w:color="075E54"/>
              <w:bottom w:val="single" w:sz="5" w:color="075E54"/>
              <w:right w:val="single" w:sz="5" w:color="075E5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 que verificar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A lista não aparece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Pesquise por parte do título, confirme que consegue abrir a lista e tente novamente depois de alguns minutos.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A lista aparece com nome parecido</w:t>
            </w:r>
          </w:p>
        </w:tc>
        <w:tc>
          <w:tcPr>
            <w:tcW w:type="dxa" w:w="6520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Confira o endereço do site antes de selecionar.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Uma coluna não aparece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Ela pode ser oculta, somente leitura ou não fazer parte do tipo de conteúdo selecionado.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Muitas linhas ficaram inválidas</w:t>
            </w:r>
          </w:p>
        </w:tc>
        <w:tc>
          <w:tcPr>
            <w:tcW w:type="dxa" w:w="6520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Confira aba, formato regional e mapeamento. Exporte os erros e examine uma linha completa.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Data interpretada incorretamente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Confirme pt-BR/en-US e se a célula é data real ou texto. Para data/hora ambígua, use ISO com fuso.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Pessoa não encontrada</w:t>
            </w:r>
          </w:p>
        </w:tc>
        <w:tc>
          <w:tcPr>
            <w:tcW w:type="dxa" w:w="6520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Use e-mail ou UPN. Um nome repetido não pode ser escolhido com segurança.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Lookup não encontrado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Use ID:123 ou confirme se o valor existe e é único na lista relacionada.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Valor de escolha rejeitado</w:t>
            </w:r>
          </w:p>
        </w:tc>
        <w:tc>
          <w:tcPr>
            <w:tcW w:type="dxa" w:w="6520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Use exatamente uma opção da lista; novos valores só são aceitos quando o campo permite preenchimento livre.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Campo obrigatório vazio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Mapeie a coluna correta e preencha o valor em todas as linhas.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Nada foi importado</w:t>
            </w:r>
          </w:p>
        </w:tc>
        <w:tc>
          <w:tcPr>
            <w:tcW w:type="dxa" w:w="6520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Leia o log, confirme permissão para criar itens e teste uma linha simples.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HTTP 429 ou 503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O SharePoint está temporariamente ocupado. Aguarde e tente novamente apenas para falhas confirmadas.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Resultado desconhecido</w:t>
            </w:r>
          </w:p>
        </w:tc>
        <w:tc>
          <w:tcPr>
            <w:tcW w:type="dxa" w:w="6520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6"/>
              </w:rPr>
              <w:t>Confira a lista por uma informação única antes de reenviar.</w:t>
            </w:r>
          </w:p>
        </w:tc>
      </w:tr>
    </w:tbl>
    <w:p>
      <w:pPr>
        <w:spacing w:after="20"/>
      </w:pPr>
    </w:p>
    <w:p>
      <w:pPr>
        <w:pStyle w:val="Heading2"/>
      </w:pPr>
      <w:r>
        <w:t>7.1 Quando repetir a validação</w:t>
      </w:r>
    </w:p>
    <w:p>
      <w:r>
        <w:t>Valide novamente sempre que trocar a lista, o tipo de conteúdo, o arquivo, a aba, o formato regional ou qualquer mapeamento. A própria tela descarta resultados anteriores nessas situações.</w:t>
      </w:r>
    </w:p>
    <w:p>
      <w:pPr>
        <w:pStyle w:val="Heading2"/>
      </w:pPr>
      <w:r>
        <w:t>7.2 Quando procurar a equipe responsável</w:t>
      </w:r>
    </w:p>
    <w:p>
      <w:pPr>
        <w:pStyle w:val="ListBullet"/>
        <w:spacing w:after="60"/>
      </w:pPr>
      <w:r>
        <w:t>A lista não aparece mesmo com acesso confirmado e após aguardar a pesquisa.</w:t>
      </w:r>
    </w:p>
    <w:p>
      <w:pPr>
        <w:pStyle w:val="ListBullet"/>
        <w:spacing w:after="60"/>
      </w:pPr>
      <w:r>
        <w:t>Uma coluna editável e pertencente ao tipo de conteúdo não aparece no mapeamento.</w:t>
      </w:r>
    </w:p>
    <w:p>
      <w:pPr>
        <w:pStyle w:val="ListBullet"/>
        <w:spacing w:after="60"/>
      </w:pPr>
      <w:r>
        <w:t>O log mostra resultado desconhecido ou mensagem que não permite identificar a correção.</w:t>
      </w:r>
    </w:p>
    <w:p>
      <w:pPr>
        <w:pStyle w:val="ListBullet"/>
        <w:spacing w:after="60"/>
      </w:pPr>
      <w:r>
        <w:t>O mesmo erro ocorre em uma planilha mínima com uma única linha válida.</w:t>
      </w:r>
    </w:p>
    <w:p>
      <w:r>
        <w:br w:type="page"/>
      </w:r>
    </w:p>
    <w:p>
      <w:pPr>
        <w:pStyle w:val="Heading1"/>
      </w:pPr>
      <w:r>
        <w:t>8. Boas práticas e solicitação de suporte</w:t>
      </w:r>
    </w:p>
    <w:p>
      <w:pPr>
        <w:pStyle w:val="Heading2"/>
      </w:pPr>
      <w:r>
        <w:t>8.1 Antes de importar</w:t>
      </w:r>
    </w:p>
    <w:p>
      <w:pPr>
        <w:pStyle w:val="ListBullet"/>
        <w:spacing w:after="60"/>
      </w:pPr>
      <w:r>
        <w:t>Prefira o template baixado para a lista selecionada.</w:t>
      </w:r>
    </w:p>
    <w:p>
      <w:pPr>
        <w:pStyle w:val="ListBullet"/>
        <w:spacing w:after="60"/>
      </w:pPr>
      <w:r>
        <w:t>Faça um primeiro teste com poucas linhas quando usar uma lista nova.</w:t>
      </w:r>
    </w:p>
    <w:p>
      <w:pPr>
        <w:pStyle w:val="ListBullet"/>
        <w:spacing w:after="60"/>
      </w:pPr>
      <w:r>
        <w:t>Confira o site, a lista, o tipo de conteúdo, a aba e o formato regional.</w:t>
      </w:r>
    </w:p>
    <w:p>
      <w:pPr>
        <w:pStyle w:val="ListBullet"/>
        <w:spacing w:after="60"/>
      </w:pPr>
      <w:r>
        <w:t>Use e-mail/UPN para pessoas e ID:número para lookups com nomes repetidos.</w:t>
      </w:r>
    </w:p>
    <w:p>
      <w:pPr>
        <w:pStyle w:val="ListBullet"/>
        <w:spacing w:after="60"/>
      </w:pPr>
      <w:r>
        <w:t>Evite manter fórmulas nas células que serão importadas; use valores finais quando possível.</w:t>
      </w:r>
    </w:p>
    <w:p>
      <w:pPr>
        <w:pStyle w:val="Heading2"/>
      </w:pPr>
      <w:r>
        <w:t>8.2 Durante e depois</w:t>
      </w:r>
    </w:p>
    <w:p>
      <w:pPr>
        <w:pStyle w:val="ListBullet"/>
        <w:spacing w:after="60"/>
      </w:pPr>
      <w:r>
        <w:t>Mantenha a página aberta durante a importação.</w:t>
      </w:r>
    </w:p>
    <w:p>
      <w:pPr>
        <w:pStyle w:val="ListBullet"/>
        <w:spacing w:after="60"/>
      </w:pPr>
      <w:r>
        <w:t>Não inicie outra importação da mesma planilha enquanto a primeira estiver em andamento.</w:t>
      </w:r>
    </w:p>
    <w:p>
      <w:pPr>
        <w:pStyle w:val="ListBullet"/>
        <w:spacing w:after="60"/>
      </w:pPr>
      <w:r>
        <w:t>Confira o resumo e a lista de destino antes de encerrar.</w:t>
      </w:r>
    </w:p>
    <w:p>
      <w:pPr>
        <w:pStyle w:val="ListBullet"/>
        <w:spacing w:after="60"/>
      </w:pPr>
      <w:r>
        <w:t>Exporte o resultado em importações parciais, falhas ou resultados desconhecidos.</w:t>
      </w:r>
    </w:p>
    <w:p>
      <w:pPr>
        <w:pStyle w:val="Heading2"/>
      </w:pPr>
      <w:r>
        <w:t>8.3 Informações para solicitar suporte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2835"/>
            <w:vAlign w:val="center"/>
            <w:shd w:fill="075E54"/>
            <w:tcBorders>
              <w:top w:val="single" w:sz="5" w:color="075E54"/>
              <w:left w:val="single" w:sz="5" w:color="075E54"/>
              <w:bottom w:val="single" w:sz="5" w:color="075E54"/>
              <w:right w:val="single" w:sz="5" w:color="075E5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Informe</w:t>
            </w:r>
          </w:p>
        </w:tc>
        <w:tc>
          <w:tcPr>
            <w:tcW w:type="dxa" w:w="6520"/>
            <w:vAlign w:val="center"/>
            <w:shd w:fill="075E54"/>
            <w:tcBorders>
              <w:top w:val="single" w:sz="5" w:color="075E54"/>
              <w:left w:val="single" w:sz="5" w:color="075E54"/>
              <w:bottom w:val="single" w:sz="5" w:color="075E54"/>
              <w:right w:val="single" w:sz="5" w:color="075E5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Exemplo ou orientação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Data e horário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Inclua o horário aproximado da ocorrência.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Lista e site</w:t>
            </w:r>
          </w:p>
        </w:tc>
        <w:tc>
          <w:tcPr>
            <w:tcW w:type="dxa" w:w="6520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Título da lista e endereço do site.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Versão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1.0.0.10, salvo se a tela ou a equipe informar outra versão.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Linha e coluna</w:t>
            </w:r>
          </w:p>
        </w:tc>
        <w:tc>
          <w:tcPr>
            <w:tcW w:type="dxa" w:w="6520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Use os números e nomes mostrados no log.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Mensagem e HTTP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Copie exatamente o texto apresentado.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Arquivo de resultado</w:t>
            </w:r>
          </w:p>
        </w:tc>
        <w:tc>
          <w:tcPr>
            <w:tcW w:type="dxa" w:w="6520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Anexe o XLSX exportado pela solução quando permitido.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Confirmação na lista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7"/>
              </w:rPr>
              <w:t>Informe se o item apareceu ou não depois do erro.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AF2FA"/>
            <w:tcBorders>
              <w:top w:val="single" w:sz="8" w:color="467AA5"/>
              <w:left w:val="single" w:sz="8" w:color="467AA5"/>
              <w:bottom w:val="single" w:sz="8" w:color="467AA5"/>
              <w:right w:val="single" w:sz="8" w:color="467AA5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sz w:val="21"/>
              </w:rPr>
              <w:t>Proteção dos dados</w:t>
            </w:r>
          </w:p>
          <w:p>
            <w:pPr>
              <w:spacing w:after="0"/>
            </w:pPr>
            <w:r>
              <w:rPr>
                <w:rFonts w:ascii="Aptos" w:hAnsi="Aptos"/>
                <w:sz w:val="19"/>
              </w:rPr>
              <w:t>Compartilhe somente as informações necessárias para o diagnóstico e siga as regras internas de tratamento de dados. Se a planilha contiver informações sensíveis, use um exemplo reduzido e autorizado.</w:t>
            </w:r>
          </w:p>
        </w:tc>
      </w:tr>
    </w:tbl>
    <w:p>
      <w:pPr>
        <w:spacing w:after="20"/>
      </w:pPr>
    </w:p>
    <w:p>
      <w:pPr>
        <w:pStyle w:val="Heading2"/>
      </w:pPr>
      <w:r>
        <w:t>8.4 Checklist rápido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850"/>
            <w:vAlign w:val="center"/>
            <w:shd w:fill="075E54"/>
            <w:tcBorders>
              <w:top w:val="single" w:sz="5" w:color="075E54"/>
              <w:left w:val="single" w:sz="5" w:color="075E54"/>
              <w:bottom w:val="single" w:sz="5" w:color="075E54"/>
              <w:right w:val="single" w:sz="5" w:color="075E5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✓</w:t>
            </w:r>
          </w:p>
        </w:tc>
        <w:tc>
          <w:tcPr>
            <w:tcW w:type="dxa" w:w="8504"/>
            <w:vAlign w:val="center"/>
            <w:shd w:fill="075E54"/>
            <w:tcBorders>
              <w:top w:val="single" w:sz="5" w:color="075E54"/>
              <w:left w:val="single" w:sz="5" w:color="075E54"/>
              <w:bottom w:val="single" w:sz="5" w:color="075E54"/>
              <w:right w:val="single" w:sz="5" w:color="075E5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Conferência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☐</w:t>
            </w:r>
          </w:p>
        </w:tc>
        <w:tc>
          <w:tcPr>
            <w:tcW w:type="dxa" w:w="8504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Lista e site corretos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☐</w:t>
            </w:r>
          </w:p>
        </w:tc>
        <w:tc>
          <w:tcPr>
            <w:tcW w:type="dxa" w:w="8504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Arquivo e aba corretos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☐</w:t>
            </w:r>
          </w:p>
        </w:tc>
        <w:tc>
          <w:tcPr>
            <w:tcW w:type="dxa" w:w="8504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Formato regional correto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☐</w:t>
            </w:r>
          </w:p>
        </w:tc>
        <w:tc>
          <w:tcPr>
            <w:tcW w:type="dxa" w:w="8504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Campos obrigatórios mapeados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☐</w:t>
            </w:r>
          </w:p>
        </w:tc>
        <w:tc>
          <w:tcPr>
            <w:tcW w:type="dxa" w:w="8504"/>
            <w:vAlign w:val="center"/>
            <w:shd w:fill="FFFFFF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Quantidade de linhas válidas conferida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☐</w:t>
            </w:r>
          </w:p>
        </w:tc>
        <w:tc>
          <w:tcPr>
            <w:tcW w:type="dxa" w:w="8504"/>
            <w:vAlign w:val="center"/>
            <w:shd w:fill="F3F5F7"/>
            <w:tcBorders>
              <w:top w:val="single" w:sz="5" w:color="B8C0C8"/>
              <w:left w:val="single" w:sz="5" w:color="B8C0C8"/>
              <w:bottom w:val="single" w:sz="5" w:color="B8C0C8"/>
              <w:right w:val="single" w:sz="5" w:color="B8C0C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111"/>
                <w:sz w:val="18"/>
              </w:rPr>
              <w:t>Resultado exportado quando necessário</w:t>
            </w:r>
          </w:p>
        </w:tc>
      </w:tr>
    </w:tbl>
    <w:p>
      <w:pPr>
        <w:spacing w:after="20"/>
      </w:pPr>
    </w:p>
    <w:p>
      <w:pPr>
        <w:jc w:val="center"/>
      </w:pPr>
      <w:r>
        <w:t>Fim do guia.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96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5"/>
      </w:rPr>
      <w:t xml:space="preserve">Instituto Clima e Sociedade  •  Guia do usuário  •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573"/>
        <w:sz w:val="15"/>
      </w:rPr>
      <w:t>IMPORTADOR INTELIGENTE  /  GUIA DO USUÁRIO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75E5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111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1111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827F697F9CE24F89ECA6B85596FAD6" ma:contentTypeVersion="27" ma:contentTypeDescription="Create a new document." ma:contentTypeScope="" ma:versionID="0881a5a6ffd6f64e6003757c380bde3f">
  <xsd:schema xmlns:xsd="http://www.w3.org/2001/XMLSchema" xmlns:xs="http://www.w3.org/2001/XMLSchema" xmlns:p="http://schemas.microsoft.com/office/2006/metadata/properties" xmlns:ns2="20800f42-8df8-4851-be8a-90ff3e192453" xmlns:ns3="4b617b33-1c04-4620-ba2d-fbf294570e8b" targetNamespace="http://schemas.microsoft.com/office/2006/metadata/properties" ma:root="true" ma:fieldsID="9cc222e60da2e6947d2c5c8f960e464d" ns2:_="" ns3:_="">
    <xsd:import namespace="20800f42-8df8-4851-be8a-90ff3e192453"/>
    <xsd:import namespace="4b617b33-1c04-4620-ba2d-fbf294570e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OCR" minOccurs="0"/>
                <xsd:element ref="ns2:MediaServiceSearchProperties" minOccurs="0"/>
                <xsd:element ref="ns2:Statusprojeto" minOccurs="0"/>
                <xsd:element ref="ns2:Coment_x00e1_rios" minOccurs="0"/>
                <xsd:element ref="ns2:Datainicio" minOccurs="0"/>
                <xsd:element ref="ns2:DatadeEncerramento" minOccurs="0"/>
                <xsd:element ref="ns2:Observa_x00e7__x00f5_es" minOccurs="0"/>
                <xsd:element ref="ns2:Respons_x00e1_velTI" minOccurs="0"/>
                <xsd:element ref="ns2:Origem" minOccurs="0"/>
                <xsd:element ref="ns2:DataFIMReal" minOccurs="0"/>
                <xsd:element ref="ns2:Usu_x00e1_riorespons_x00e1_vel" minOccurs="0"/>
                <xsd:element ref="ns2:Pr_x00f3_ximosPassos" minOccurs="0"/>
                <xsd:element ref="ns2:Descri_x00e7__x00e3_odoProjeto" minOccurs="0"/>
                <xsd:element ref="ns2:POdoProjet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00f42-8df8-4851-be8a-90ff3e1924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776fc8d-3ec1-4e01-b5d0-6bef55643c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tatusprojeto" ma:index="22" nillable="true" ma:displayName="Status projeto" ma:default="OUTROS" ma:format="Dropdown" ma:indexed="true" ma:internalName="Statusprojeto">
      <xsd:simpleType>
        <xsd:restriction base="dms:Choice">
          <xsd:enumeration value="ENCERRADO"/>
          <xsd:enumeration value="EM ANDAMENTO"/>
          <xsd:enumeration value="NÃO INICIADO"/>
          <xsd:enumeration value="SUSPENSO"/>
          <xsd:enumeration value="OUTROS"/>
          <xsd:enumeration value="HOMOLOGAÇÃO"/>
          <xsd:enumeration value="EM ANÁLISE"/>
          <xsd:enumeration value="CANCELADO"/>
        </xsd:restriction>
      </xsd:simpleType>
    </xsd:element>
    <xsd:element name="Coment_x00e1_rios" ma:index="23" nillable="true" ma:displayName="Comentários" ma:format="Dropdown" ma:internalName="Coment_x00e1_rios">
      <xsd:simpleType>
        <xsd:restriction base="dms:Note"/>
      </xsd:simpleType>
    </xsd:element>
    <xsd:element name="Datainicio" ma:index="24" nillable="true" ma:displayName="Data inicio" ma:description="Data em que foi dado o start no projeto" ma:format="DateOnly" ma:internalName="Datainicio">
      <xsd:simpleType>
        <xsd:restriction base="dms:DateTime"/>
      </xsd:simpleType>
    </xsd:element>
    <xsd:element name="DatadeEncerramento" ma:index="25" nillable="true" ma:displayName="Data de Encerramento" ma:format="DateOnly" ma:internalName="DatadeEncerramento">
      <xsd:simpleType>
        <xsd:restriction base="dms:DateTime"/>
      </xsd:simpleType>
    </xsd:element>
    <xsd:element name="Observa_x00e7__x00f5_es" ma:index="26" nillable="true" ma:displayName="Observações" ma:format="Dropdown" ma:internalName="Observa_x00e7__x00f5_es">
      <xsd:simpleType>
        <xsd:restriction base="dms:Note">
          <xsd:maxLength value="255"/>
        </xsd:restriction>
      </xsd:simpleType>
    </xsd:element>
    <xsd:element name="Respons_x00e1_velTI" ma:index="27" nillable="true" ma:displayName="Responsável TI" ma:format="Dropdown" ma:internalName="Respons_x00e1_velTI">
      <xsd:simpleType>
        <xsd:restriction base="dms:Choice">
          <xsd:enumeration value="Lucia"/>
          <xsd:enumeration value="Thadeu"/>
          <xsd:enumeration value="Castela"/>
          <xsd:enumeration value="Patricia"/>
          <xsd:enumeration value="Sávio"/>
          <xsd:enumeration value="Lucas"/>
        </xsd:restriction>
      </xsd:simpleType>
    </xsd:element>
    <xsd:element name="Origem" ma:index="28" nillable="true" ma:displayName="Origem" ma:description="numero da demanda que originou o projeto" ma:format="Dropdown" ma:internalName="Origem">
      <xsd:simpleType>
        <xsd:restriction base="dms:Text">
          <xsd:maxLength value="255"/>
        </xsd:restriction>
      </xsd:simpleType>
    </xsd:element>
    <xsd:element name="DataFIMReal" ma:index="29" nillable="true" ma:displayName="Data FIM Real" ma:description="Data real de finalização do projeto" ma:format="DateOnly" ma:internalName="DataFIMReal">
      <xsd:simpleType>
        <xsd:restriction base="dms:DateTime"/>
      </xsd:simpleType>
    </xsd:element>
    <xsd:element name="Usu_x00e1_riorespons_x00e1_vel" ma:index="30" nillable="true" ma:displayName="Usuário responsável" ma:format="Dropdown" ma:internalName="Usu_x00e1_riorespons_x00e1_vel">
      <xsd:simpleType>
        <xsd:restriction base="dms:Text">
          <xsd:maxLength value="255"/>
        </xsd:restriction>
      </xsd:simpleType>
    </xsd:element>
    <xsd:element name="Pr_x00f3_ximosPassos" ma:index="31" nillable="true" ma:displayName="Próximos Passos" ma:format="Dropdown" ma:internalName="Pr_x00f3_ximosPassos">
      <xsd:simpleType>
        <xsd:restriction base="dms:Note">
          <xsd:maxLength value="255"/>
        </xsd:restriction>
      </xsd:simpleType>
    </xsd:element>
    <xsd:element name="Descri_x00e7__x00e3_odoProjeto" ma:index="32" nillable="true" ma:displayName="Descrição do Projeto" ma:description="Definição do objetivo do projeto" ma:format="Dropdown" ma:internalName="Descri_x00e7__x00e3_odoProjeto">
      <xsd:simpleType>
        <xsd:restriction base="dms:Note">
          <xsd:maxLength value="255"/>
        </xsd:restriction>
      </xsd:simpleType>
    </xsd:element>
    <xsd:element name="POdoProjeto" ma:index="33" nillable="true" ma:displayName="PO do Projeto" ma:description="Project Officer - " ma:format="Dropdown" ma:list="UserInfo" ma:SharePointGroup="0" ma:internalName="POdoProjet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17b33-1c04-4620-ba2d-fbf294570e8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8d87984-aee5-4c4a-bb85-a052d8147219}" ma:internalName="TaxCatchAll" ma:showField="CatchAllData" ma:web="4b617b33-1c04-4620-ba2d-fbf294570e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_x00e7__x00e3_odoProjeto xmlns="20800f42-8df8-4851-be8a-90ff3e192453" xsi:nil="true"/>
    <Statusprojeto xmlns="20800f42-8df8-4851-be8a-90ff3e192453">OUTROS</Statusprojeto>
    <Respons_x00e1_velTI xmlns="20800f42-8df8-4851-be8a-90ff3e192453" xsi:nil="true"/>
    <Origem xmlns="20800f42-8df8-4851-be8a-90ff3e192453" xsi:nil="true"/>
    <Usu_x00e1_riorespons_x00e1_vel xmlns="20800f42-8df8-4851-be8a-90ff3e192453" xsi:nil="true"/>
    <Observa_x00e7__x00f5_es xmlns="20800f42-8df8-4851-be8a-90ff3e192453" xsi:nil="true"/>
    <Coment_x00e1_rios xmlns="20800f42-8df8-4851-be8a-90ff3e192453" xsi:nil="true"/>
    <DatadeEncerramento xmlns="20800f42-8df8-4851-be8a-90ff3e192453" xsi:nil="true"/>
    <Datainicio xmlns="20800f42-8df8-4851-be8a-90ff3e192453" xsi:nil="true"/>
    <POdoProjeto xmlns="20800f42-8df8-4851-be8a-90ff3e192453">
      <UserInfo>
        <DisplayName/>
        <AccountId xsi:nil="true"/>
        <AccountType/>
      </UserInfo>
    </POdoProjeto>
    <TaxCatchAll xmlns="4b617b33-1c04-4620-ba2d-fbf294570e8b" xsi:nil="true"/>
    <DataFIMReal xmlns="20800f42-8df8-4851-be8a-90ff3e192453" xsi:nil="true"/>
    <lcf76f155ced4ddcb4097134ff3c332f xmlns="20800f42-8df8-4851-be8a-90ff3e192453">
      <Terms xmlns="http://schemas.microsoft.com/office/infopath/2007/PartnerControls"/>
    </lcf76f155ced4ddcb4097134ff3c332f>
    <Pr_x00f3_ximosPassos xmlns="20800f42-8df8-4851-be8a-90ff3e19245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308C0B-880D-416D-9041-6AE60EFFE28B}"/>
</file>

<file path=customXml/itemProps3.xml><?xml version="1.0" encoding="utf-8"?>
<ds:datastoreItem xmlns:ds="http://schemas.openxmlformats.org/officeDocument/2006/customXml" ds:itemID="{0681BE76-8876-4088-BC62-F32301DDE497}"/>
</file>

<file path=customXml/itemProps4.xml><?xml version="1.0" encoding="utf-8"?>
<ds:datastoreItem xmlns:ds="http://schemas.openxmlformats.org/officeDocument/2006/customXml" ds:itemID="{E8BEEB0E-685A-452C-B81D-9C763C43F7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Importador Inteligente — Guia do usuário</dc:title>
  <dc:subject>Uso do Importador Inteligente de Listas SharePoint</dc:subject>
  <dc:creator>Instituto Clima e Sociedade</dc:creator>
  <cp:keywords>SharePoint, Excel, importação, guia do usuário</cp:keywords>
  <dc:description>Guia do usuário da solução versão 1.0.0.10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0x010100B2827F697F9CE24F89ECA6B85596FAD6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