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690"/>
        <w:gridCol w:w="4036"/>
        <w:gridCol w:w="2685"/>
      </w:tblGrid>
      <w:tr w:rsidR="00B75850" w:rsidRPr="00466774" w14:paraId="6FBF6DA6" w14:textId="77777777" w:rsidTr="00586587"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22CB7" w14:textId="77777777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466774">
              <w:rPr>
                <w:rFonts w:ascii="Segoe UI Variable Display" w:eastAsia="Times New Roman" w:hAnsi="Segoe UI Variable Display" w:cs="Times New Roman"/>
                <w:b/>
                <w:bCs/>
                <w:color w:val="37352F"/>
                <w:sz w:val="21"/>
                <w:szCs w:val="21"/>
                <w:lang w:eastAsia="et-EE"/>
              </w:rPr>
              <w:t>Seaduse nimi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5A4AB6" w14:textId="77777777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466774">
              <w:rPr>
                <w:rFonts w:ascii="Segoe UI Variable Display" w:eastAsia="Times New Roman" w:hAnsi="Segoe UI Variable Display" w:cs="Times New Roman"/>
                <w:b/>
                <w:bCs/>
                <w:color w:val="37352F"/>
                <w:sz w:val="21"/>
                <w:szCs w:val="21"/>
                <w:lang w:eastAsia="et-EE"/>
              </w:rPr>
              <w:t>Allikas</w:t>
            </w:r>
          </w:p>
        </w:tc>
        <w:tc>
          <w:tcPr>
            <w:tcW w:w="4036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F106FA" w14:textId="77777777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466774">
              <w:rPr>
                <w:rFonts w:ascii="Segoe UI Variable Display" w:eastAsia="Times New Roman" w:hAnsi="Segoe UI Variable Display" w:cs="Times New Roman"/>
                <w:b/>
                <w:bCs/>
                <w:color w:val="37352F"/>
                <w:sz w:val="21"/>
                <w:szCs w:val="21"/>
                <w:lang w:eastAsia="et-EE"/>
              </w:rPr>
              <w:t>Eesmärk</w:t>
            </w:r>
          </w:p>
        </w:tc>
        <w:tc>
          <w:tcPr>
            <w:tcW w:w="2685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A57D2A" w14:textId="77777777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466774">
              <w:rPr>
                <w:rFonts w:ascii="Segoe UI Variable Display" w:eastAsia="Times New Roman" w:hAnsi="Segoe UI Variable Display" w:cs="Times New Roman"/>
                <w:b/>
                <w:bCs/>
                <w:color w:val="37352F"/>
                <w:sz w:val="21"/>
                <w:szCs w:val="21"/>
                <w:lang w:eastAsia="et-EE"/>
              </w:rPr>
              <w:t>Rakendamise näide</w:t>
            </w:r>
          </w:p>
        </w:tc>
      </w:tr>
      <w:tr w:rsidR="00B75850" w:rsidRPr="00466774" w14:paraId="7A6003DC" w14:textId="77777777" w:rsidTr="00586587"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DE7EC1" w14:textId="5689D588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466774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ISO/IEC 42001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B178EB" w14:textId="27E9F1D9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hyperlink r:id="rId4" w:history="1">
              <w:r w:rsidRPr="00466774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I</w:t>
              </w:r>
              <w:r w:rsidRPr="00466774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S</w:t>
              </w:r>
              <w:r w:rsidRPr="00466774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O</w:t>
              </w:r>
            </w:hyperlink>
          </w:p>
        </w:tc>
        <w:tc>
          <w:tcPr>
            <w:tcW w:w="4036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8C229" w14:textId="7FFC508C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466774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See on mõeldud tehisintellektil põhinevaid tooteid või teenuseid pakkuvatele või kasutavatele üksustele, tagades tehisintellektisüsteemide vastutustundliku arendamise ja kasutamise.</w:t>
            </w:r>
          </w:p>
        </w:tc>
        <w:tc>
          <w:tcPr>
            <w:tcW w:w="2685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D8339" w14:textId="7464C06B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466774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 xml:space="preserve">See käsitleb ainulaadseid </w:t>
            </w:r>
            <w:proofErr w:type="spellStart"/>
            <w:r w:rsidRPr="00466774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AI-ga</w:t>
            </w:r>
            <w:proofErr w:type="spellEnd"/>
            <w:r w:rsidRPr="00466774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 xml:space="preserve"> seotud väljakutseid, nagu eetilised kaalutlused, läbipaistvus ja pidev õppimine. Organisatsioonide jaoks sätestab see struktureeritud viisi tehisintellektiga seotud riskide ja võimaluste haldamiseks, tasakaalustades innovatsiooni ja juhtimist.</w:t>
            </w:r>
          </w:p>
        </w:tc>
      </w:tr>
      <w:tr w:rsidR="00B75850" w:rsidRPr="00466774" w14:paraId="11BE0F6E" w14:textId="77777777" w:rsidTr="00586587"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810D2D" w14:textId="7131B799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466774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ISO/IEC 27002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E353BD" w14:textId="5BDECBDF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hyperlink r:id="rId5" w:history="1">
              <w:r w:rsidRPr="00466774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IS</w:t>
              </w:r>
              <w:r w:rsidRPr="00466774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O</w:t>
              </w:r>
            </w:hyperlink>
          </w:p>
        </w:tc>
        <w:tc>
          <w:tcPr>
            <w:tcW w:w="4036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102BB7" w14:textId="06AB4AD5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A</w:t>
            </w:r>
            <w:r w:rsidRPr="00466774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n</w:t>
            </w:r>
            <w:r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da</w:t>
            </w:r>
            <w:r w:rsidRPr="00466774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 xml:space="preserve"> juhiseid organisatsioonidele, kes soovivad luua, rakendada ja täiustada </w:t>
            </w:r>
            <w:proofErr w:type="spellStart"/>
            <w:r w:rsidRPr="00466774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küberturvalisusele</w:t>
            </w:r>
            <w:proofErr w:type="spellEnd"/>
            <w:r w:rsidRPr="00466774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 xml:space="preserve"> keskenduvat infoturbe haldussüsteemi (ISMS).</w:t>
            </w:r>
          </w:p>
        </w:tc>
        <w:tc>
          <w:tcPr>
            <w:tcW w:w="2685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9CBD9" w14:textId="2BCB2253" w:rsidR="00466774" w:rsidRPr="00466774" w:rsidRDefault="00B75850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See varustab ettevõtted proovitud ja testitud parimate tavade raamistikuga, tagades, et nad mitte ainult ei kaitse oma tundlikke andmeid, vaid suurendavad ka usaldust sidusrühmade, klientide ja partnerite vahel.</w:t>
            </w:r>
          </w:p>
        </w:tc>
      </w:tr>
      <w:tr w:rsidR="00B75850" w:rsidRPr="00466774" w14:paraId="37A0FBE4" w14:textId="77777777" w:rsidTr="00586587"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629DB7" w14:textId="77777777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466774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ISO/IEC 27001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495C82" w14:textId="0AC51CAF" w:rsidR="00466774" w:rsidRPr="00466774" w:rsidRDefault="00B75850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hyperlink r:id="rId6" w:history="1">
              <w:r w:rsidR="00466774" w:rsidRPr="00466774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I</w:t>
              </w:r>
              <w:r w:rsidR="00466774" w:rsidRPr="00466774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S</w:t>
              </w:r>
              <w:r w:rsidR="00466774" w:rsidRPr="00466774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O</w:t>
              </w:r>
            </w:hyperlink>
          </w:p>
        </w:tc>
        <w:tc>
          <w:tcPr>
            <w:tcW w:w="4036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6EB7B3" w14:textId="77777777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466774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Informatsiooni turvalisuse tagamine</w:t>
            </w:r>
          </w:p>
        </w:tc>
        <w:tc>
          <w:tcPr>
            <w:tcW w:w="2685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A2B04" w14:textId="77777777" w:rsidR="00466774" w:rsidRPr="00466774" w:rsidRDefault="00466774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466774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Ettevõte rakendab ISO 27001 standardit, et tagada oma andmekeskuse turvalisus.</w:t>
            </w:r>
          </w:p>
        </w:tc>
      </w:tr>
      <w:tr w:rsidR="00B75850" w:rsidRPr="00466774" w14:paraId="1172D36B" w14:textId="77777777" w:rsidTr="00586587"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EC1F96" w14:textId="429D51FA" w:rsidR="00466774" w:rsidRPr="00466774" w:rsidRDefault="00B75850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val="ru-RU" w:eastAsia="et-EE"/>
              </w:rPr>
            </w:pPr>
            <w:proofErr w:type="spellStart"/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val="ru-RU" w:eastAsia="et-EE"/>
              </w:rPr>
              <w:t>Küberturvalisuse</w:t>
            </w:r>
            <w:proofErr w:type="spellEnd"/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val="ru-RU" w:eastAsia="et-EE"/>
              </w:rPr>
              <w:t xml:space="preserve"> </w:t>
            </w:r>
            <w:proofErr w:type="spellStart"/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val="ru-RU" w:eastAsia="et-EE"/>
              </w:rPr>
              <w:t>seadus</w:t>
            </w:r>
            <w:proofErr w:type="spellEnd"/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849B74" w14:textId="30063D8E" w:rsidR="00466774" w:rsidRPr="00466774" w:rsidRDefault="00B75850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hyperlink r:id="rId7" w:history="1">
              <w:r w:rsidRPr="00B75850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Ri</w:t>
              </w:r>
              <w:r w:rsidRPr="00B75850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i</w:t>
              </w:r>
              <w:r w:rsidRPr="00B75850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gi Teataja</w:t>
              </w:r>
            </w:hyperlink>
          </w:p>
        </w:tc>
        <w:tc>
          <w:tcPr>
            <w:tcW w:w="4036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4C8271" w14:textId="39DF6CD3" w:rsidR="00466774" w:rsidRPr="00466774" w:rsidRDefault="00B75850" w:rsidP="00466774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 xml:space="preserve">Selle eesmärk on tõsta oluliste teenuste ja digitaalse infrastruktuuri </w:t>
            </w:r>
            <w:proofErr w:type="spellStart"/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küberturvalisust</w:t>
            </w:r>
            <w:proofErr w:type="spellEnd"/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 xml:space="preserve"> Eestis. Selle eesmärk on tagada, et kriitilised teenused, sealhulgas energia-, transpordi- ja tervishoiuteenused, samuti digitaalteenused, oleksid küberohtude eest piisavalt kaitstud. Seadus sätestab teenuseosutajate kohustused rakendada turvameetmeid, teavitada </w:t>
            </w:r>
            <w:proofErr w:type="spellStart"/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küberintsidentidest</w:t>
            </w:r>
            <w:proofErr w:type="spellEnd"/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 xml:space="preserve"> ja teha koostööd riigiasutustega, et parandada riigi üldist </w:t>
            </w:r>
            <w:proofErr w:type="spellStart"/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küberturvalisuse</w:t>
            </w:r>
            <w:proofErr w:type="spellEnd"/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 xml:space="preserve"> vastupanuvõimet.</w:t>
            </w:r>
          </w:p>
        </w:tc>
        <w:tc>
          <w:tcPr>
            <w:tcW w:w="2685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3E83E" w14:textId="77777777" w:rsidR="00B75850" w:rsidRPr="00B75850" w:rsidRDefault="00B75850" w:rsidP="00B75850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Organisatsioonilised kohustused: kriitilised teenistused peavad tagama andmete ja süsteemide kaitstuse, riskianalüüside läbiviimise ja töötajate koolitamise.</w:t>
            </w:r>
          </w:p>
          <w:p w14:paraId="6F5143E6" w14:textId="77777777" w:rsidR="00B75850" w:rsidRPr="00B75850" w:rsidRDefault="00B75850" w:rsidP="00B75850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proofErr w:type="spellStart"/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Küberintsidentidest</w:t>
            </w:r>
            <w:proofErr w:type="spellEnd"/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 xml:space="preserve"> teatamine: organisatsioonid peavad </w:t>
            </w:r>
            <w:proofErr w:type="spellStart"/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küberrünnakutest</w:t>
            </w:r>
            <w:proofErr w:type="spellEnd"/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 xml:space="preserve"> ametiasutustele teatama.</w:t>
            </w:r>
          </w:p>
          <w:p w14:paraId="1234DF9A" w14:textId="4FA5DF10" w:rsidR="00466774" w:rsidRPr="00466774" w:rsidRDefault="00466774" w:rsidP="00B75850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</w:p>
        </w:tc>
      </w:tr>
      <w:tr w:rsidR="00B75850" w:rsidRPr="00466774" w14:paraId="03715D22" w14:textId="77777777" w:rsidTr="00586587"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2561C0" w14:textId="3016850E" w:rsidR="00B75850" w:rsidRPr="00466774" w:rsidRDefault="00B75850" w:rsidP="00B75850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Arvutite ja kohtvõrkude kaitse nõuded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2409C1" w14:textId="64120024" w:rsidR="00B75850" w:rsidRPr="00466774" w:rsidRDefault="00B75850" w:rsidP="00B75850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hyperlink r:id="rId8" w:history="1">
              <w:r w:rsidRPr="00B75850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Ri</w:t>
              </w:r>
              <w:r w:rsidRPr="00B75850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i</w:t>
              </w:r>
              <w:r w:rsidRPr="00B75850">
                <w:rPr>
                  <w:rStyle w:val="Hperlink"/>
                  <w:rFonts w:ascii="Segoe UI Variable Display" w:eastAsia="Times New Roman" w:hAnsi="Segoe UI Variable Display" w:cs="Times New Roman"/>
                  <w:sz w:val="21"/>
                  <w:szCs w:val="21"/>
                  <w:lang w:eastAsia="et-EE"/>
                </w:rPr>
                <w:t>gi Teataja</w:t>
              </w:r>
            </w:hyperlink>
          </w:p>
        </w:tc>
        <w:tc>
          <w:tcPr>
            <w:tcW w:w="4036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96F8AB" w14:textId="4230D3A3" w:rsidR="00B75850" w:rsidRPr="00466774" w:rsidRDefault="00B75850" w:rsidP="00B75850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K</w:t>
            </w:r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ehtestada nõuded arvuti- ja õigusvõrkude kaitsele, et tagada elektrooniliste infosüsteemide turvalisus</w:t>
            </w:r>
          </w:p>
        </w:tc>
        <w:tc>
          <w:tcPr>
            <w:tcW w:w="2685" w:type="dxa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CEA3DF" w14:textId="29C48444" w:rsidR="00B75850" w:rsidRPr="00466774" w:rsidRDefault="00B75850" w:rsidP="00B75850">
            <w:pPr>
              <w:spacing w:after="0" w:line="300" w:lineRule="atLeast"/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</w:pPr>
            <w:r w:rsidRPr="00B75850">
              <w:rPr>
                <w:rFonts w:ascii="Segoe UI Variable Display" w:eastAsia="Times New Roman" w:hAnsi="Segoe UI Variable Display" w:cs="Times New Roman"/>
                <w:color w:val="37352F"/>
                <w:sz w:val="21"/>
                <w:szCs w:val="21"/>
                <w:lang w:eastAsia="et-EE"/>
              </w:rPr>
              <w:t>Seadust saab rakendada arvuti- ja kohtuvõrke kasutades andmete kaitsmise meetmete, sealhulgas krüpteerimise, turvaseire ja töötajate koolitamise abil.</w:t>
            </w:r>
          </w:p>
        </w:tc>
      </w:tr>
    </w:tbl>
    <w:p w14:paraId="345B764E" w14:textId="77777777" w:rsidR="00956BF5" w:rsidRDefault="00956BF5"/>
    <w:sectPr w:rsidR="00956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Variable Display">
    <w:panose1 w:val="00000000000000000000"/>
    <w:charset w:val="BA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74"/>
    <w:rsid w:val="001637E6"/>
    <w:rsid w:val="00466774"/>
    <w:rsid w:val="00586587"/>
    <w:rsid w:val="00956BF5"/>
    <w:rsid w:val="009F3BBA"/>
    <w:rsid w:val="00B7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F699"/>
  <w15:chartTrackingRefBased/>
  <w15:docId w15:val="{A184887E-0E2B-4C6E-A13D-136B2FB6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notion-enable-hover">
    <w:name w:val="notion-enable-hover"/>
    <w:basedOn w:val="Liguvaikefont"/>
    <w:rsid w:val="00466774"/>
  </w:style>
  <w:style w:type="character" w:customStyle="1" w:styleId="link-annotation-152ed1c1-39a6-8047-b4e7-fbe64cc97070-1653262552">
    <w:name w:val="link-annotation-152ed1c1-39a6-8047-b4e7-fbe64cc97070-1653262552"/>
    <w:basedOn w:val="Liguvaikefont"/>
    <w:rsid w:val="00466774"/>
  </w:style>
  <w:style w:type="character" w:customStyle="1" w:styleId="link-annotation-152ed1c1-39a6-8002-87f3-ef732c521144--1825288729">
    <w:name w:val="link-annotation-152ed1c1-39a6-8002-87f3-ef732c521144--1825288729"/>
    <w:basedOn w:val="Liguvaikefont"/>
    <w:rsid w:val="00466774"/>
  </w:style>
  <w:style w:type="character" w:customStyle="1" w:styleId="link-annotation-152ed1c1-39a6-80ca-a0f7-f684992f2942--1264401318">
    <w:name w:val="link-annotation-152ed1c1-39a6-80ca-a0f7-f684992f2942--1264401318"/>
    <w:basedOn w:val="Liguvaikefont"/>
    <w:rsid w:val="00466774"/>
  </w:style>
  <w:style w:type="character" w:customStyle="1" w:styleId="link-annotation-152ed1c1-39a6-80b6-8151-ee281cfb7b27-1653262552">
    <w:name w:val="link-annotation-152ed1c1-39a6-80b6-8151-ee281cfb7b27-1653262552"/>
    <w:basedOn w:val="Liguvaikefont"/>
    <w:rsid w:val="00466774"/>
  </w:style>
  <w:style w:type="character" w:customStyle="1" w:styleId="link-annotation-152ed1c1-39a6-802e-8c08-cd20c131c74e--1825288729">
    <w:name w:val="link-annotation-152ed1c1-39a6-802e-8c08-cd20c131c74e--1825288729"/>
    <w:basedOn w:val="Liguvaikefont"/>
    <w:rsid w:val="00466774"/>
  </w:style>
  <w:style w:type="character" w:styleId="Hperlink">
    <w:name w:val="Hyperlink"/>
    <w:basedOn w:val="Liguvaikefont"/>
    <w:uiPriority w:val="99"/>
    <w:unhideWhenUsed/>
    <w:rsid w:val="00466774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466774"/>
    <w:rPr>
      <w:color w:val="605E5C"/>
      <w:shd w:val="clear" w:color="auto" w:fill="E1DFDD"/>
    </w:rPr>
  </w:style>
  <w:style w:type="character" w:styleId="Klastatudhperlink">
    <w:name w:val="FollowedHyperlink"/>
    <w:basedOn w:val="Liguvaikefont"/>
    <w:uiPriority w:val="99"/>
    <w:semiHidden/>
    <w:unhideWhenUsed/>
    <w:rsid w:val="00466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igiteataja.ee/akt/129050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iigiteataja.ee/akt/1210620240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so.org/standard/27001" TargetMode="External"/><Relationship Id="rId5" Type="http://schemas.openxmlformats.org/officeDocument/2006/relationships/hyperlink" Target="https://www.iso.org/standard/75652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so.org/standard/81230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350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2025-02-26T11:58:00Z</dcterms:created>
  <dcterms:modified xsi:type="dcterms:W3CDTF">2025-02-26T12:21:00Z</dcterms:modified>
</cp:coreProperties>
</file>