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4AE51">
      <w:pPr>
        <w:jc w:val="center"/>
      </w:pPr>
      <w:r>
        <w:rPr>
          <w:rFonts w:ascii="黑体" w:hAnsi="黑体" w:eastAsia="黑体"/>
          <w:b/>
          <w:sz w:val="36"/>
        </w:rPr>
        <w:t>基于 Patch-iTransformer 的 RUL 预测五人接力迭代技术路线</w:t>
      </w:r>
    </w:p>
    <w:p w14:paraId="57E6CFAD">
      <w:pPr>
        <w:jc w:val="center"/>
      </w:pPr>
      <w:r>
        <w:rPr>
          <w:rFonts w:ascii="宋体" w:hAnsi="宋体" w:eastAsia="宋体"/>
          <w:sz w:val="21"/>
        </w:rPr>
        <w:t>编码器-回归器架构；倒置注意力；多分支时间 Patch 流；TTSNet；高效注意力；自动超参数调优</w:t>
      </w:r>
    </w:p>
    <w:p w14:paraId="045BBD8D">
      <w:pPr>
        <w:pStyle w:val="3"/>
        <w:rPr>
          <w:rFonts w:hint="eastAsia" w:ascii="仿宋" w:hAnsi="仿宋" w:eastAsia="仿宋" w:cs="仿宋"/>
        </w:rPr>
      </w:pPr>
      <w:r>
        <w:rPr>
          <w:rFonts w:hint="eastAsia" w:ascii="仿宋" w:hAnsi="仿宋" w:eastAsia="仿宋" w:cs="仿宋"/>
        </w:rPr>
        <w:t>一、方案定位</w:t>
      </w:r>
    </w:p>
    <w:p w14:paraId="02AB5344">
      <w:r>
        <w:t>本方案面向多传感器设备剩余寿命（Remaining Useful Life, RUL）预测任务，统一采用“编码器-回归器”架构。公共基础模型以 Patch 化时序 Token 为输入，并结合 iTransformer 的倒置注意力机制：将传感器变量或变量 Patch 组作为 Token 进行跨变量注意力计算，将时间步或时间 Patch 表示作为特征投影维度，从而更直接地建模多传感器退化协同模式。</w:t>
      </w:r>
    </w:p>
    <w:p w14:paraId="665CB0BC">
      <w:r>
        <w:t>五个人的工作</w:t>
      </w:r>
      <w:r>
        <w:rPr>
          <w:rFonts w:hint="eastAsia"/>
          <w:lang w:val="en-US" w:eastAsia="zh-CN"/>
        </w:rPr>
        <w:t>我把他设为主线</w:t>
      </w:r>
      <w:r>
        <w:t>。时间 Patch 化与 iTransformer 倒置注意力作为共同 Base，不计入第一个人的新增创新点；第一个人从 Base 上继续加入网络结构模块。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520"/>
      </w:tblGrid>
      <w:tr w14:paraId="64754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D9EAF7"/>
            <w:vAlign w:val="center"/>
          </w:tcPr>
          <w:p w14:paraId="730D0700">
            <w:pPr>
              <w:spacing w:after="0" w:line="240" w:lineRule="auto"/>
            </w:pPr>
            <w:r>
              <w:rPr>
                <w:rFonts w:ascii="宋体" w:hAnsi="宋体" w:eastAsia="宋体"/>
                <w:b/>
                <w:sz w:val="19"/>
              </w:rPr>
              <w:t>老师要求</w:t>
            </w:r>
          </w:p>
        </w:tc>
        <w:tc>
          <w:tcPr>
            <w:tcW w:w="6520" w:type="dxa"/>
            <w:shd w:val="clear" w:color="auto" w:fill="D9EAF7"/>
            <w:vAlign w:val="center"/>
          </w:tcPr>
          <w:p w14:paraId="6275D452">
            <w:pPr>
              <w:spacing w:after="0" w:line="240" w:lineRule="auto"/>
            </w:pPr>
            <w:r>
              <w:rPr>
                <w:rFonts w:ascii="宋体" w:hAnsi="宋体" w:eastAsia="宋体"/>
                <w:b/>
                <w:sz w:val="19"/>
              </w:rPr>
              <w:t>本方案对应设计</w:t>
            </w:r>
          </w:p>
        </w:tc>
      </w:tr>
      <w:tr w14:paraId="5351A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0CCE2B56">
            <w:pPr>
              <w:spacing w:after="0" w:line="240" w:lineRule="auto"/>
            </w:pPr>
            <w:r>
              <w:rPr>
                <w:rFonts w:ascii="宋体" w:hAnsi="宋体" w:eastAsia="宋体"/>
                <w:b w:val="0"/>
                <w:sz w:val="19"/>
              </w:rPr>
              <w:t>Patch 化时序 Token 输入</w:t>
            </w:r>
          </w:p>
        </w:tc>
        <w:tc>
          <w:tcPr>
            <w:tcW w:w="6520" w:type="dxa"/>
            <w:vAlign w:val="center"/>
          </w:tcPr>
          <w:p w14:paraId="75DA9835">
            <w:pPr>
              <w:spacing w:after="0" w:line="240" w:lineRule="auto"/>
            </w:pPr>
            <w:r>
              <w:rPr>
                <w:rFonts w:ascii="宋体" w:hAnsi="宋体" w:eastAsia="宋体"/>
                <w:b w:val="0"/>
                <w:sz w:val="19"/>
              </w:rPr>
              <w:t>公共 Base 使用重叠/不重叠时间 Patch，Patch 经线性或卷积编码为 Token。</w:t>
            </w:r>
          </w:p>
        </w:tc>
      </w:tr>
      <w:tr w14:paraId="5A7F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7BCE9DAC">
            <w:pPr>
              <w:spacing w:after="0" w:line="240" w:lineRule="auto"/>
            </w:pPr>
            <w:r>
              <w:rPr>
                <w:rFonts w:ascii="宋体" w:hAnsi="宋体" w:eastAsia="宋体"/>
                <w:b w:val="0"/>
                <w:sz w:val="19"/>
              </w:rPr>
              <w:t>iTransformer 倒置注意力机制</w:t>
            </w:r>
          </w:p>
        </w:tc>
        <w:tc>
          <w:tcPr>
            <w:tcW w:w="6520" w:type="dxa"/>
            <w:vAlign w:val="center"/>
          </w:tcPr>
          <w:p w14:paraId="7FE2BDCA">
            <w:pPr>
              <w:spacing w:after="0" w:line="240" w:lineRule="auto"/>
            </w:pPr>
            <w:r>
              <w:rPr>
                <w:rFonts w:ascii="宋体" w:hAnsi="宋体" w:eastAsia="宋体"/>
                <w:b w:val="0"/>
                <w:sz w:val="19"/>
              </w:rPr>
              <w:t>公共 Base 将变量作为 Token，时间维度作为特征投影，用跨变量注意力学习传感器协同退化。</w:t>
            </w:r>
          </w:p>
        </w:tc>
      </w:tr>
      <w:tr w14:paraId="7EA3E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40CC1E8A">
            <w:pPr>
              <w:spacing w:after="0" w:line="240" w:lineRule="auto"/>
            </w:pPr>
            <w:r>
              <w:rPr>
                <w:rFonts w:ascii="宋体" w:hAnsi="宋体" w:eastAsia="宋体"/>
                <w:b w:val="0"/>
                <w:sz w:val="19"/>
              </w:rPr>
              <w:t>并行架构</w:t>
            </w:r>
          </w:p>
        </w:tc>
        <w:tc>
          <w:tcPr>
            <w:tcW w:w="6520" w:type="dxa"/>
            <w:vAlign w:val="center"/>
          </w:tcPr>
          <w:p w14:paraId="43530B7D">
            <w:pPr>
              <w:spacing w:after="0" w:line="240" w:lineRule="auto"/>
            </w:pPr>
            <w:r>
              <w:rPr>
                <w:rFonts w:ascii="宋体" w:hAnsi="宋体" w:eastAsia="宋体"/>
                <w:b w:val="0"/>
                <w:sz w:val="19"/>
              </w:rPr>
              <w:t>第 2 人引入多分支时间 Patch 流，第 3 人引入 TTSNet 三分支并行结构，第 4 人引入传感器分组并行编码。</w:t>
            </w:r>
          </w:p>
        </w:tc>
      </w:tr>
      <w:tr w14:paraId="12CE8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591B50FC">
            <w:pPr>
              <w:spacing w:after="0" w:line="240" w:lineRule="auto"/>
            </w:pPr>
            <w:r>
              <w:rPr>
                <w:rFonts w:ascii="宋体" w:hAnsi="宋体" w:eastAsia="宋体"/>
                <w:b w:val="0"/>
                <w:sz w:val="19"/>
              </w:rPr>
              <w:t>TTSNet 与多头自注意力</w:t>
            </w:r>
          </w:p>
        </w:tc>
        <w:tc>
          <w:tcPr>
            <w:tcW w:w="6520" w:type="dxa"/>
            <w:vAlign w:val="center"/>
          </w:tcPr>
          <w:p w14:paraId="4A497EED">
            <w:pPr>
              <w:spacing w:after="0" w:line="240" w:lineRule="auto"/>
            </w:pPr>
            <w:r>
              <w:rPr>
                <w:rFonts w:ascii="宋体" w:hAnsi="宋体" w:eastAsia="宋体"/>
                <w:b w:val="0"/>
                <w:sz w:val="19"/>
              </w:rPr>
              <w:t>第 3 人加入 Transformer-TCN-Self-Attention 并行网络，并显式保留 Multi-Head Self-Attention 分支。</w:t>
            </w:r>
          </w:p>
        </w:tc>
      </w:tr>
      <w:tr w14:paraId="5D077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41909685">
            <w:pPr>
              <w:spacing w:after="0" w:line="240" w:lineRule="auto"/>
            </w:pPr>
            <w:r>
              <w:rPr>
                <w:rFonts w:ascii="宋体" w:hAnsi="宋体" w:eastAsia="宋体"/>
                <w:b w:val="0"/>
                <w:sz w:val="19"/>
              </w:rPr>
              <w:t>稀疏注意力、局部窗口注意力</w:t>
            </w:r>
          </w:p>
        </w:tc>
        <w:tc>
          <w:tcPr>
            <w:tcW w:w="6520" w:type="dxa"/>
            <w:vAlign w:val="center"/>
          </w:tcPr>
          <w:p w14:paraId="586B4B92">
            <w:pPr>
              <w:spacing w:after="0" w:line="240" w:lineRule="auto"/>
            </w:pPr>
            <w:r>
              <w:rPr>
                <w:rFonts w:ascii="宋体" w:hAnsi="宋体" w:eastAsia="宋体"/>
                <w:b w:val="0"/>
                <w:sz w:val="19"/>
              </w:rPr>
              <w:t>第 4 人在组内使用局部窗口注意力，在组间使用稀疏注意力，降低长序列与多变量建模复杂度。</w:t>
            </w:r>
          </w:p>
        </w:tc>
      </w:tr>
      <w:tr w14:paraId="6DDB0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63E74C73">
            <w:pPr>
              <w:spacing w:after="0" w:line="240" w:lineRule="auto"/>
            </w:pPr>
            <w:r>
              <w:rPr>
                <w:rFonts w:ascii="宋体" w:hAnsi="宋体" w:eastAsia="宋体"/>
                <w:b w:val="0"/>
                <w:sz w:val="19"/>
              </w:rPr>
              <w:t>超参数优化</w:t>
            </w:r>
          </w:p>
        </w:tc>
        <w:tc>
          <w:tcPr>
            <w:tcW w:w="6520" w:type="dxa"/>
            <w:vAlign w:val="center"/>
          </w:tcPr>
          <w:p w14:paraId="7469635E">
            <w:pPr>
              <w:spacing w:after="0" w:line="240" w:lineRule="auto"/>
            </w:pPr>
            <w:r>
              <w:rPr>
                <w:rFonts w:ascii="宋体" w:hAnsi="宋体" w:eastAsia="宋体"/>
                <w:b w:val="0"/>
                <w:sz w:val="19"/>
              </w:rPr>
              <w:t>第 5 人加入 Optuna/贝叶斯优化等自动超参数调优，覆盖 Patch 长度、步长、注意力头数、编码器层数、学习率等。</w:t>
            </w:r>
          </w:p>
        </w:tc>
      </w:tr>
    </w:tbl>
    <w:p w14:paraId="1B5F1EA6"/>
    <w:p w14:paraId="71393F23">
      <w:pPr>
        <w:pStyle w:val="3"/>
        <w:rPr>
          <w:rFonts w:hint="eastAsia" w:ascii="仿宋" w:hAnsi="仿宋" w:eastAsia="仿宋" w:cs="仿宋"/>
        </w:rPr>
      </w:pPr>
      <w:r>
        <w:rPr>
          <w:rFonts w:hint="eastAsia" w:ascii="仿宋" w:hAnsi="仿宋" w:eastAsia="仿宋" w:cs="仿宋"/>
        </w:rPr>
        <w:t>二、技术调研</w:t>
      </w:r>
    </w:p>
    <w:p w14:paraId="1B690420">
      <w:pPr>
        <w:pStyle w:val="4"/>
      </w:pPr>
      <w:r>
        <w:t>2.1 iTransformer 与倒置注意力</w:t>
      </w:r>
    </w:p>
    <w:p w14:paraId="2AAC6BC8">
      <w:r>
        <w:t>iTransformer 提出将多变量时序的建模维度进行倒置：不再把同一时刻的所有变量拼成一个时间 Token，而是把每个变量的历史序列嵌入为变量 Token，再通过注意力机制建模变量间关系。这一思路适合 RUL 场景，因为设备退化往往表现为多个传感器之间的协同变化，而不是单一传感器孤立变化。[1]</w:t>
      </w:r>
    </w:p>
    <w:p w14:paraId="5340FB66">
      <w:pPr>
        <w:pStyle w:val="4"/>
      </w:pPr>
      <w:r>
        <w:t>2.2 Patch 化时间序列建模</w:t>
      </w:r>
    </w:p>
    <w:p w14:paraId="7BF6CD2A">
      <w:r>
        <w:t>PatchTST 证明了将长时间序列划分为 Patch 后再输入 Transformer，可以降低序列长度、扩大局部感受野，并改善长序列预测效果。其通道独立思想也启发了本方案中“通道共享/通道独立 Embedding”的对比实验设计。[2]</w:t>
      </w:r>
    </w:p>
    <w:p w14:paraId="5B6CB8F1">
      <w:pPr>
        <w:pStyle w:val="4"/>
      </w:pPr>
      <w:r>
        <w:t>2.3 TCN 与局部退化模式</w:t>
      </w:r>
    </w:p>
    <w:p w14:paraId="6DF98A3B">
      <w:r>
        <w:t>TCN 通过因果卷积、扩张卷积和残差结构捕获序列局部与长程依赖，具有并行训练和稳定梯度的优点。RUL 序列中常存在局部连续退化趋势，因此将 TCN 与 Transformer 类结构并联，有利于弥补纯注意力模型对局部连续形态归纳偏置不足的问题。[3]</w:t>
      </w:r>
    </w:p>
    <w:p w14:paraId="3635B549">
      <w:pPr>
        <w:pStyle w:val="4"/>
      </w:pPr>
      <w:r>
        <w:t>2.4 TTSNet 并行架构</w:t>
      </w:r>
    </w:p>
    <w:p w14:paraId="508B478F">
      <w:r>
        <w:t>TTSNet 是面向航空发动机 RUL 预测的 Transformer-Temporal Convolutional Network-Self-Attention 三分支特征融合网络。它同时利用 Transformer 编码、TCN 局部时序建模和多头自注意力机制，适合作为本主线中“并行架构模块”的核心参考。[4]</w:t>
      </w:r>
    </w:p>
    <w:p w14:paraId="6E4A9B4A">
      <w:pPr>
        <w:pStyle w:val="4"/>
      </w:pPr>
      <w:r>
        <w:t>2.5 稀疏注意力与局部窗口注意力</w:t>
      </w:r>
    </w:p>
    <w:p w14:paraId="02C6C474">
      <w:r>
        <w:t>Longformer 使用局部窗口注意力结合少量全局注意力来降低长序列注意力复杂度；Informer 使用 ProbSparse 注意力降低长序列时间序列预测中的计算成本。这两类方法为第 4 人的“组内局部窗口注意力 + 组间稀疏注意力”提供了依据。[5][6]</w:t>
      </w:r>
    </w:p>
    <w:p w14:paraId="29FD560C">
      <w:pPr>
        <w:pStyle w:val="4"/>
      </w:pPr>
      <w:r>
        <w:t>2.6 自动超参数调优</w:t>
      </w:r>
    </w:p>
    <w:p w14:paraId="5658A6C0">
      <w:r>
        <w:t>Optuna 提供 define-by-run 的自动超参数优化框架，支持采样和剪枝策略。由于本方案涉及 Patch 长度、步长、注意力头数、编码器层数、学习率、TCN 卷积核、窗口大小等多项超参数，第 5 人加入自动调优比人工枚举更适合形成最终稳定方案。[7]</w:t>
      </w:r>
    </w:p>
    <w:p w14:paraId="31D8E669">
      <w:pPr>
        <w:pStyle w:val="4"/>
      </w:pPr>
      <w:r>
        <w:t>2.7 数据集与评价背景</w:t>
      </w:r>
    </w:p>
    <w:p w14:paraId="5EF04616">
      <w:r>
        <w:t>RUL 研究可优先使用 NASA C-MAPSS 涡扇发动机退化仿真数据集作为验证平台。该数据来自高保真系统级发动机仿真，包含多个传感器监测序列和从运行到失效的退化过程，是 RUL 预测领域常用基准数据。[8]</w:t>
      </w:r>
    </w:p>
    <w:p w14:paraId="63516329">
      <w:pPr>
        <w:pStyle w:val="3"/>
        <w:rPr>
          <w:rFonts w:hint="eastAsia" w:ascii="仿宋" w:hAnsi="仿宋" w:eastAsia="仿宋" w:cs="仿宋"/>
        </w:rPr>
      </w:pPr>
      <w:r>
        <w:rPr>
          <w:rFonts w:hint="eastAsia" w:ascii="仿宋" w:hAnsi="仿宋" w:eastAsia="仿宋" w:cs="仿宋"/>
        </w:rPr>
        <w:t>三、公共基础模型</w:t>
      </w:r>
    </w:p>
    <w:p w14:paraId="71948DA9">
      <w:r>
        <w:t>公共 Base 命名为 Patch-iTransformer-RUL，只作为所有人共同起点和对照基线，不属于任何一个人的</w:t>
      </w:r>
      <w:r>
        <w:rPr>
          <w:rFonts w:hint="eastAsia"/>
          <w:lang w:val="en-US" w:eastAsia="zh-CN"/>
        </w:rPr>
        <w:t>开发</w:t>
      </w:r>
      <w:r>
        <w:t>创新点。</w:t>
      </w:r>
    </w:p>
    <w:p w14:paraId="16280312">
      <w:pPr>
        <w:ind w:left="283"/>
        <w:rPr>
          <w:highlight w:val="yellow"/>
        </w:rPr>
      </w:pPr>
      <w:r>
        <w:rPr>
          <w:rFonts w:ascii="Consolas" w:hAnsi="Consolas" w:eastAsia="Consolas"/>
          <w:sz w:val="18"/>
          <w:highlight w:val="yellow"/>
        </w:rPr>
        <w:t>多变量时序 X ∈ R^(B×L×C)</w:t>
      </w:r>
      <w:r>
        <w:rPr>
          <w:rFonts w:ascii="Consolas" w:hAnsi="Consolas" w:eastAsia="Consolas"/>
          <w:sz w:val="18"/>
          <w:highlight w:val="yellow"/>
        </w:rPr>
        <w:br w:type="textWrapping"/>
      </w:r>
      <w:r>
        <w:rPr>
          <w:rFonts w:ascii="Consolas" w:hAnsi="Consolas" w:eastAsia="Consolas"/>
          <w:sz w:val="18"/>
          <w:highlight w:val="yellow"/>
        </w:rPr>
        <w:t>→ 标准化/滑窗采样</w:t>
      </w:r>
      <w:r>
        <w:rPr>
          <w:rFonts w:ascii="Consolas" w:hAnsi="Consolas" w:eastAsia="Consolas"/>
          <w:sz w:val="18"/>
          <w:highlight w:val="yellow"/>
        </w:rPr>
        <w:br w:type="textWrapping"/>
      </w:r>
      <w:r>
        <w:rPr>
          <w:rFonts w:ascii="Consolas" w:hAnsi="Consolas" w:eastAsia="Consolas"/>
          <w:sz w:val="18"/>
          <w:highlight w:val="yellow"/>
        </w:rPr>
        <w:t>→ 时间 Patch 化：Patch length = P, stride = S</w:t>
      </w:r>
      <w:r>
        <w:rPr>
          <w:rFonts w:ascii="Consolas" w:hAnsi="Consolas" w:eastAsia="Consolas"/>
          <w:sz w:val="18"/>
          <w:highlight w:val="yellow"/>
        </w:rPr>
        <w:br w:type="textWrapping"/>
      </w:r>
      <w:r>
        <w:rPr>
          <w:rFonts w:ascii="Consolas" w:hAnsi="Consolas" w:eastAsia="Consolas"/>
          <w:sz w:val="18"/>
          <w:highlight w:val="yellow"/>
        </w:rPr>
        <w:t>→ Patch Embedding：Linear 或 Conv 映射到 d_model</w:t>
      </w:r>
      <w:r>
        <w:rPr>
          <w:rFonts w:ascii="Consolas" w:hAnsi="Consolas" w:eastAsia="Consolas"/>
          <w:sz w:val="18"/>
          <w:highlight w:val="yellow"/>
        </w:rPr>
        <w:br w:type="textWrapping"/>
      </w:r>
      <w:r>
        <w:rPr>
          <w:rFonts w:ascii="Consolas" w:hAnsi="Consolas" w:eastAsia="Consolas"/>
          <w:sz w:val="18"/>
          <w:highlight w:val="yellow"/>
        </w:rPr>
        <w:t>→ iTransformer Encoder：变量或变量 Patch 组作为 Token</w:t>
      </w:r>
      <w:r>
        <w:rPr>
          <w:rFonts w:ascii="Consolas" w:hAnsi="Consolas" w:eastAsia="Consolas"/>
          <w:sz w:val="18"/>
          <w:highlight w:val="yellow"/>
        </w:rPr>
        <w:br w:type="textWrapping"/>
      </w:r>
      <w:r>
        <w:rPr>
          <w:rFonts w:ascii="Consolas" w:hAnsi="Consolas" w:eastAsia="Consolas"/>
          <w:sz w:val="18"/>
          <w:highlight w:val="yellow"/>
        </w:rPr>
        <w:t>→ Pooling / Flatten</w:t>
      </w:r>
      <w:r>
        <w:rPr>
          <w:rFonts w:ascii="Consolas" w:hAnsi="Consolas" w:eastAsia="Consolas"/>
          <w:sz w:val="18"/>
          <w:highlight w:val="yellow"/>
        </w:rPr>
        <w:br w:type="textWrapping"/>
      </w:r>
      <w:r>
        <w:rPr>
          <w:rFonts w:ascii="Consolas" w:hAnsi="Consolas" w:eastAsia="Consolas"/>
          <w:sz w:val="18"/>
          <w:highlight w:val="yellow"/>
        </w:rPr>
        <w:t>→ MLP Regressor</w:t>
      </w:r>
      <w:r>
        <w:rPr>
          <w:rFonts w:ascii="Consolas" w:hAnsi="Consolas" w:eastAsia="Consolas"/>
          <w:sz w:val="18"/>
          <w:highlight w:val="yellow"/>
        </w:rPr>
        <w:br w:type="textWrapping"/>
      </w:r>
      <w:r>
        <w:rPr>
          <w:rFonts w:ascii="Consolas" w:hAnsi="Consolas" w:eastAsia="Consolas"/>
          <w:sz w:val="18"/>
          <w:highlight w:val="yellow"/>
        </w:rPr>
        <w:t>→ RUL</w:t>
      </w:r>
    </w:p>
    <w:p w14:paraId="67B32887">
      <w:r>
        <w:t>其中 B 为 batch size，L 为时间长度，C 为传感器变量数。倒置注意力的关键是：注意力主要沿变量 Token 计算，时间 Patch 表示被作为变量 Token 的特征维度。</w:t>
      </w:r>
    </w:p>
    <w:p w14:paraId="7185430F">
      <w:pPr>
        <w:pStyle w:val="3"/>
        <w:rPr>
          <w:rFonts w:hint="eastAsia" w:ascii="仿宋" w:hAnsi="仿宋" w:eastAsia="仿宋" w:cs="仿宋"/>
        </w:rPr>
      </w:pPr>
      <w:r>
        <w:rPr>
          <w:rFonts w:hint="default" w:ascii="仿宋" w:hAnsi="仿宋" w:eastAsia="仿宋" w:cs="仿宋"/>
        </w:rPr>
        <w:t>四、</w:t>
      </w:r>
      <w:r>
        <w:rPr>
          <w:rFonts w:hint="eastAsia" w:ascii="仿宋" w:hAnsi="仿宋" w:eastAsia="仿宋" w:cs="仿宋"/>
        </w:rPr>
        <w:t>五人接力迭代主线</w:t>
      </w:r>
    </w:p>
    <w:p w14:paraId="12DD2AE0">
      <w:pPr>
        <w:numPr>
          <w:ilvl w:val="0"/>
          <w:numId w:val="0"/>
        </w:num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381"/>
        <w:gridCol w:w="3061"/>
        <w:gridCol w:w="2835"/>
      </w:tblGrid>
      <w:tr w14:paraId="458F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AF7"/>
            <w:vAlign w:val="center"/>
          </w:tcPr>
          <w:p w14:paraId="5CDEB757">
            <w:pPr>
              <w:spacing w:after="0" w:line="240" w:lineRule="auto"/>
            </w:pPr>
            <w:r>
              <w:rPr>
                <w:rFonts w:ascii="宋体" w:hAnsi="宋体" w:eastAsia="宋体"/>
                <w:b/>
                <w:sz w:val="19"/>
              </w:rPr>
              <w:t>人员</w:t>
            </w:r>
          </w:p>
        </w:tc>
        <w:tc>
          <w:tcPr>
            <w:tcW w:w="2381" w:type="dxa"/>
            <w:shd w:val="clear" w:color="auto" w:fill="D9EAF7"/>
            <w:vAlign w:val="center"/>
          </w:tcPr>
          <w:p w14:paraId="747B1112">
            <w:pPr>
              <w:spacing w:after="0" w:line="240" w:lineRule="auto"/>
            </w:pPr>
            <w:r>
              <w:rPr>
                <w:rFonts w:ascii="宋体" w:hAnsi="宋体" w:eastAsia="宋体"/>
                <w:b/>
                <w:sz w:val="19"/>
              </w:rPr>
              <w:t>模型名称</w:t>
            </w:r>
          </w:p>
        </w:tc>
        <w:tc>
          <w:tcPr>
            <w:tcW w:w="3061" w:type="dxa"/>
            <w:shd w:val="clear" w:color="auto" w:fill="D9EAF7"/>
            <w:vAlign w:val="center"/>
          </w:tcPr>
          <w:p w14:paraId="0B73AD14">
            <w:pPr>
              <w:spacing w:after="0" w:line="240" w:lineRule="auto"/>
            </w:pPr>
            <w:r>
              <w:rPr>
                <w:rFonts w:ascii="宋体" w:hAnsi="宋体" w:eastAsia="宋体"/>
                <w:b/>
                <w:sz w:val="19"/>
              </w:rPr>
              <w:t>在上一代基础上新增的网络模块</w:t>
            </w:r>
          </w:p>
        </w:tc>
        <w:tc>
          <w:tcPr>
            <w:tcW w:w="2835" w:type="dxa"/>
            <w:shd w:val="clear" w:color="auto" w:fill="D9EAF7"/>
            <w:vAlign w:val="center"/>
          </w:tcPr>
          <w:p w14:paraId="56EAD083">
            <w:pPr>
              <w:spacing w:after="0" w:line="240" w:lineRule="auto"/>
            </w:pPr>
            <w:r>
              <w:rPr>
                <w:rFonts w:ascii="宋体" w:hAnsi="宋体" w:eastAsia="宋体"/>
                <w:b/>
                <w:sz w:val="19"/>
              </w:rPr>
              <w:t>解决的遗留问题</w:t>
            </w:r>
          </w:p>
        </w:tc>
      </w:tr>
      <w:tr w14:paraId="283D9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29FF4ED">
            <w:pPr>
              <w:spacing w:after="0" w:line="240" w:lineRule="auto"/>
            </w:pPr>
            <w:r>
              <w:rPr>
                <w:rFonts w:ascii="宋体" w:hAnsi="宋体" w:eastAsia="宋体"/>
                <w:b w:val="0"/>
                <w:sz w:val="19"/>
              </w:rPr>
              <w:t>公共 Base</w:t>
            </w:r>
          </w:p>
        </w:tc>
        <w:tc>
          <w:tcPr>
            <w:tcW w:w="2381" w:type="dxa"/>
            <w:vAlign w:val="center"/>
          </w:tcPr>
          <w:p w14:paraId="595219E7">
            <w:pPr>
              <w:spacing w:after="0" w:line="240" w:lineRule="auto"/>
            </w:pPr>
            <w:r>
              <w:rPr>
                <w:rFonts w:ascii="宋体" w:hAnsi="宋体" w:eastAsia="宋体"/>
                <w:b w:val="0"/>
                <w:sz w:val="19"/>
              </w:rPr>
              <w:t>Patch-iTransformer-RUL</w:t>
            </w:r>
          </w:p>
        </w:tc>
        <w:tc>
          <w:tcPr>
            <w:tcW w:w="3061" w:type="dxa"/>
            <w:vAlign w:val="center"/>
          </w:tcPr>
          <w:p w14:paraId="5F57870C">
            <w:pPr>
              <w:spacing w:after="0" w:line="240" w:lineRule="auto"/>
            </w:pPr>
            <w:r>
              <w:rPr>
                <w:rFonts w:ascii="宋体" w:hAnsi="宋体" w:eastAsia="宋体"/>
                <w:b w:val="0"/>
                <w:sz w:val="19"/>
              </w:rPr>
              <w:t xml:space="preserve">时间 Patch 化 + iTransformer 倒置注意力 + </w:t>
            </w:r>
            <w:bookmarkStart w:id="0" w:name="_GoBack"/>
            <w:r>
              <w:rPr>
                <w:rFonts w:ascii="宋体" w:hAnsi="宋体" w:eastAsia="宋体"/>
                <w:b w:val="0"/>
                <w:sz w:val="19"/>
              </w:rPr>
              <w:t>编码器-回归器</w:t>
            </w:r>
            <w:bookmarkEnd w:id="0"/>
          </w:p>
        </w:tc>
        <w:tc>
          <w:tcPr>
            <w:tcW w:w="2835" w:type="dxa"/>
            <w:vAlign w:val="center"/>
          </w:tcPr>
          <w:p w14:paraId="44A88EAA">
            <w:pPr>
              <w:spacing w:after="0" w:line="240" w:lineRule="auto"/>
            </w:pPr>
            <w:r>
              <w:rPr>
                <w:rFonts w:ascii="宋体" w:hAnsi="宋体" w:eastAsia="宋体"/>
                <w:b w:val="0"/>
                <w:sz w:val="19"/>
              </w:rPr>
              <w:t>建立统一基础模型。</w:t>
            </w:r>
          </w:p>
        </w:tc>
      </w:tr>
      <w:tr w14:paraId="062C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79EA32D">
            <w:pPr>
              <w:spacing w:after="0" w:line="240" w:lineRule="auto"/>
            </w:pPr>
            <w:r>
              <w:rPr>
                <w:rFonts w:ascii="宋体" w:hAnsi="宋体" w:eastAsia="宋体"/>
                <w:b w:val="0"/>
                <w:sz w:val="19"/>
              </w:rPr>
              <w:t>第 1 人</w:t>
            </w:r>
          </w:p>
        </w:tc>
        <w:tc>
          <w:tcPr>
            <w:tcW w:w="2381" w:type="dxa"/>
            <w:vAlign w:val="center"/>
          </w:tcPr>
          <w:p w14:paraId="2ADD9776">
            <w:pPr>
              <w:spacing w:after="0" w:line="240" w:lineRule="auto"/>
            </w:pPr>
            <w:r>
              <w:rPr>
                <w:rFonts w:ascii="宋体" w:hAnsi="宋体" w:eastAsia="宋体"/>
                <w:b w:val="0"/>
                <w:sz w:val="19"/>
              </w:rPr>
              <w:t>ConvPatch-iTransformer-RUL</w:t>
            </w:r>
          </w:p>
        </w:tc>
        <w:tc>
          <w:tcPr>
            <w:tcW w:w="3061" w:type="dxa"/>
            <w:vAlign w:val="center"/>
          </w:tcPr>
          <w:p w14:paraId="253BEC8B">
            <w:pPr>
              <w:spacing w:after="0" w:line="240" w:lineRule="auto"/>
            </w:pPr>
            <w:r>
              <w:rPr>
                <w:rFonts w:ascii="宋体" w:hAnsi="宋体" w:eastAsia="宋体"/>
                <w:b w:val="0"/>
                <w:sz w:val="19"/>
              </w:rPr>
              <w:t>卷积增强 Patch Embedding</w:t>
            </w:r>
          </w:p>
        </w:tc>
        <w:tc>
          <w:tcPr>
            <w:tcW w:w="2835" w:type="dxa"/>
            <w:vAlign w:val="center"/>
          </w:tcPr>
          <w:p w14:paraId="43445578">
            <w:pPr>
              <w:spacing w:after="0" w:line="240" w:lineRule="auto"/>
            </w:pPr>
            <w:r>
              <w:rPr>
                <w:rFonts w:ascii="宋体" w:hAnsi="宋体" w:eastAsia="宋体"/>
                <w:b w:val="0"/>
                <w:sz w:val="19"/>
              </w:rPr>
              <w:t>线性 Patch 投影对 Patch 内部局部退化模式表达不足。</w:t>
            </w:r>
          </w:p>
        </w:tc>
      </w:tr>
      <w:tr w14:paraId="7EC2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C9CCACE">
            <w:pPr>
              <w:spacing w:after="0" w:line="240" w:lineRule="auto"/>
            </w:pPr>
            <w:r>
              <w:rPr>
                <w:rFonts w:ascii="宋体" w:hAnsi="宋体" w:eastAsia="宋体"/>
                <w:b w:val="0"/>
                <w:sz w:val="19"/>
              </w:rPr>
              <w:t>第 2 人</w:t>
            </w:r>
          </w:p>
        </w:tc>
        <w:tc>
          <w:tcPr>
            <w:tcW w:w="2381" w:type="dxa"/>
            <w:vAlign w:val="center"/>
          </w:tcPr>
          <w:p w14:paraId="4ECFF5F3">
            <w:pPr>
              <w:spacing w:after="0" w:line="240" w:lineRule="auto"/>
            </w:pPr>
            <w:r>
              <w:rPr>
                <w:rFonts w:ascii="宋体" w:hAnsi="宋体" w:eastAsia="宋体"/>
                <w:b w:val="0"/>
                <w:sz w:val="19"/>
              </w:rPr>
              <w:t>MSPatch-iTransformer-RUL</w:t>
            </w:r>
          </w:p>
        </w:tc>
        <w:tc>
          <w:tcPr>
            <w:tcW w:w="3061" w:type="dxa"/>
            <w:vAlign w:val="center"/>
          </w:tcPr>
          <w:p w14:paraId="22888CEC">
            <w:pPr>
              <w:spacing w:after="0" w:line="240" w:lineRule="auto"/>
            </w:pPr>
            <w:r>
              <w:rPr>
                <w:rFonts w:ascii="宋体" w:hAnsi="宋体" w:eastAsia="宋体"/>
                <w:b w:val="0"/>
                <w:sz w:val="19"/>
              </w:rPr>
              <w:t>多分支时间 Patch 流</w:t>
            </w:r>
          </w:p>
        </w:tc>
        <w:tc>
          <w:tcPr>
            <w:tcW w:w="2835" w:type="dxa"/>
            <w:vAlign w:val="center"/>
          </w:tcPr>
          <w:p w14:paraId="663D45C7">
            <w:pPr>
              <w:spacing w:after="0" w:line="240" w:lineRule="auto"/>
            </w:pPr>
            <w:r>
              <w:rPr>
                <w:rFonts w:ascii="宋体" w:hAnsi="宋体" w:eastAsia="宋体"/>
                <w:b w:val="0"/>
                <w:sz w:val="19"/>
              </w:rPr>
              <w:t>单一 Patch 尺度难以兼顾短期波动、阶段退化和长期趋势。</w:t>
            </w:r>
          </w:p>
        </w:tc>
      </w:tr>
      <w:tr w14:paraId="4DE9C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5B8362E">
            <w:pPr>
              <w:spacing w:after="0" w:line="240" w:lineRule="auto"/>
            </w:pPr>
            <w:r>
              <w:rPr>
                <w:rFonts w:ascii="宋体" w:hAnsi="宋体" w:eastAsia="宋体"/>
                <w:b w:val="0"/>
                <w:sz w:val="19"/>
              </w:rPr>
              <w:t>第 3 人</w:t>
            </w:r>
          </w:p>
        </w:tc>
        <w:tc>
          <w:tcPr>
            <w:tcW w:w="2381" w:type="dxa"/>
            <w:vAlign w:val="center"/>
          </w:tcPr>
          <w:p w14:paraId="24325C37">
            <w:pPr>
              <w:spacing w:after="0" w:line="240" w:lineRule="auto"/>
            </w:pPr>
            <w:r>
              <w:rPr>
                <w:rFonts w:ascii="宋体" w:hAnsi="宋体" w:eastAsia="宋体"/>
                <w:b w:val="0"/>
                <w:sz w:val="19"/>
              </w:rPr>
              <w:t>TTS-iTransformer-RUL</w:t>
            </w:r>
          </w:p>
        </w:tc>
        <w:tc>
          <w:tcPr>
            <w:tcW w:w="3061" w:type="dxa"/>
            <w:vAlign w:val="center"/>
          </w:tcPr>
          <w:p w14:paraId="1CEE5CAA">
            <w:pPr>
              <w:spacing w:after="0" w:line="240" w:lineRule="auto"/>
            </w:pPr>
            <w:r>
              <w:rPr>
                <w:rFonts w:ascii="宋体" w:hAnsi="宋体" w:eastAsia="宋体"/>
                <w:b w:val="0"/>
                <w:sz w:val="19"/>
              </w:rPr>
              <w:t>TTSNet 并行架构：Transformer + TCN + Multi-Head Self-Attention</w:t>
            </w:r>
          </w:p>
        </w:tc>
        <w:tc>
          <w:tcPr>
            <w:tcW w:w="2835" w:type="dxa"/>
            <w:vAlign w:val="center"/>
          </w:tcPr>
          <w:p w14:paraId="5561D31E">
            <w:pPr>
              <w:spacing w:after="0" w:line="240" w:lineRule="auto"/>
            </w:pPr>
            <w:r>
              <w:rPr>
                <w:rFonts w:ascii="宋体" w:hAnsi="宋体" w:eastAsia="宋体"/>
                <w:b w:val="0"/>
                <w:sz w:val="19"/>
              </w:rPr>
              <w:t>多尺度 Patch 仍偏注意力建模，对局部连续退化趋势的归纳偏置不足。</w:t>
            </w:r>
          </w:p>
        </w:tc>
      </w:tr>
      <w:tr w14:paraId="783C1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93467B4">
            <w:pPr>
              <w:spacing w:after="0" w:line="240" w:lineRule="auto"/>
            </w:pPr>
            <w:r>
              <w:rPr>
                <w:rFonts w:ascii="宋体" w:hAnsi="宋体" w:eastAsia="宋体"/>
                <w:b w:val="0"/>
                <w:sz w:val="19"/>
              </w:rPr>
              <w:t>第 4 人</w:t>
            </w:r>
          </w:p>
        </w:tc>
        <w:tc>
          <w:tcPr>
            <w:tcW w:w="2381" w:type="dxa"/>
            <w:vAlign w:val="center"/>
          </w:tcPr>
          <w:p w14:paraId="43C51505">
            <w:pPr>
              <w:spacing w:after="0" w:line="240" w:lineRule="auto"/>
            </w:pPr>
            <w:r>
              <w:rPr>
                <w:rFonts w:ascii="宋体" w:hAnsi="宋体" w:eastAsia="宋体"/>
                <w:b w:val="0"/>
                <w:sz w:val="19"/>
              </w:rPr>
              <w:t>GroupSparse-TTS-iTransformer-RUL</w:t>
            </w:r>
          </w:p>
        </w:tc>
        <w:tc>
          <w:tcPr>
            <w:tcW w:w="3061" w:type="dxa"/>
            <w:vAlign w:val="center"/>
          </w:tcPr>
          <w:p w14:paraId="351ED0E3">
            <w:pPr>
              <w:spacing w:after="0" w:line="240" w:lineRule="auto"/>
            </w:pPr>
            <w:r>
              <w:rPr>
                <w:rFonts w:ascii="宋体" w:hAnsi="宋体" w:eastAsia="宋体"/>
                <w:b w:val="0"/>
                <w:sz w:val="19"/>
              </w:rPr>
              <w:t>传感器分组/变量 Patch 组并行编码 + 稀疏注意力 + 局部窗口注意力</w:t>
            </w:r>
          </w:p>
        </w:tc>
        <w:tc>
          <w:tcPr>
            <w:tcW w:w="2835" w:type="dxa"/>
            <w:vAlign w:val="center"/>
          </w:tcPr>
          <w:p w14:paraId="27727F4F">
            <w:pPr>
              <w:spacing w:after="0" w:line="240" w:lineRule="auto"/>
            </w:pPr>
            <w:r>
              <w:rPr>
                <w:rFonts w:ascii="宋体" w:hAnsi="宋体" w:eastAsia="宋体"/>
                <w:b w:val="0"/>
                <w:sz w:val="19"/>
              </w:rPr>
              <w:t>TTSNet 计算量上升，全变量注意力易引入无关传感器噪声。</w:t>
            </w:r>
          </w:p>
        </w:tc>
      </w:tr>
      <w:tr w14:paraId="716C8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C0EE0E1">
            <w:pPr>
              <w:spacing w:after="0" w:line="240" w:lineRule="auto"/>
            </w:pPr>
            <w:r>
              <w:rPr>
                <w:rFonts w:ascii="宋体" w:hAnsi="宋体" w:eastAsia="宋体"/>
                <w:b w:val="0"/>
                <w:sz w:val="19"/>
              </w:rPr>
              <w:t>第 5 人</w:t>
            </w:r>
          </w:p>
        </w:tc>
        <w:tc>
          <w:tcPr>
            <w:tcW w:w="2381" w:type="dxa"/>
            <w:vAlign w:val="center"/>
          </w:tcPr>
          <w:p w14:paraId="530D91D3">
            <w:pPr>
              <w:spacing w:after="0" w:line="240" w:lineRule="auto"/>
            </w:pPr>
            <w:r>
              <w:rPr>
                <w:rFonts w:ascii="宋体" w:hAnsi="宋体" w:eastAsia="宋体"/>
                <w:b w:val="0"/>
                <w:sz w:val="19"/>
              </w:rPr>
              <w:t>AutoHPO-Fusion-iTTSRUL</w:t>
            </w:r>
          </w:p>
        </w:tc>
        <w:tc>
          <w:tcPr>
            <w:tcW w:w="3061" w:type="dxa"/>
            <w:vAlign w:val="center"/>
          </w:tcPr>
          <w:p w14:paraId="2AB3E24B">
            <w:pPr>
              <w:spacing w:after="0" w:line="240" w:lineRule="auto"/>
            </w:pPr>
            <w:r>
              <w:rPr>
                <w:rFonts w:ascii="宋体" w:hAnsi="宋体" w:eastAsia="宋体"/>
                <w:b w:val="0"/>
                <w:sz w:val="19"/>
              </w:rPr>
              <w:t>动态门控融合 + 自动超参数调优</w:t>
            </w:r>
          </w:p>
        </w:tc>
        <w:tc>
          <w:tcPr>
            <w:tcW w:w="2835" w:type="dxa"/>
            <w:vAlign w:val="center"/>
          </w:tcPr>
          <w:p w14:paraId="2EE0BFA8">
            <w:pPr>
              <w:spacing w:after="0" w:line="240" w:lineRule="auto"/>
            </w:pPr>
            <w:r>
              <w:rPr>
                <w:rFonts w:ascii="宋体" w:hAnsi="宋体" w:eastAsia="宋体"/>
                <w:b w:val="0"/>
                <w:sz w:val="19"/>
              </w:rPr>
              <w:t>多分支、多模块结构复杂，分支权重和超参数难以人工确定。</w:t>
            </w:r>
          </w:p>
        </w:tc>
      </w:tr>
    </w:tbl>
    <w:p w14:paraId="4A8C12BF"/>
    <w:p w14:paraId="410A730F">
      <w:pPr>
        <w:pStyle w:val="3"/>
        <w:rPr>
          <w:rFonts w:hint="eastAsia" w:ascii="仿宋" w:hAnsi="仿宋" w:eastAsia="仿宋" w:cs="仿宋"/>
        </w:rPr>
      </w:pPr>
      <w:r>
        <w:rPr>
          <w:rFonts w:hint="eastAsia" w:ascii="仿宋" w:hAnsi="仿宋" w:eastAsia="仿宋" w:cs="仿宋"/>
        </w:rPr>
        <w:t>五、每个人的技术设计</w:t>
      </w:r>
    </w:p>
    <w:p w14:paraId="6671094B">
      <w:pPr>
        <w:pStyle w:val="4"/>
      </w:pPr>
      <w:r>
        <w:t>5.1 第 1 人：ConvPatch-iTransformer-RUL</w:t>
      </w:r>
    </w:p>
    <w:p w14:paraId="1C8D8EB4">
      <w:r>
        <w:t>新增模块：卷积增强 Patch Embedding。公共 Base 中的 Patch Token 通常由线性投影得到，容易忽略 Patch 内局部退化形态。第 1 人将 Patch Embedding 改为轻量卷积编码，例如 Depthwise Conv + Pointwise Conv/Linear，使每个 Token 在进入倒置注意力前先提取局部时间模式。</w:t>
      </w:r>
    </w:p>
    <w:p w14:paraId="4148783F">
      <w:pPr>
        <w:ind w:left="283"/>
        <w:rPr>
          <w:highlight w:val="yellow"/>
        </w:rPr>
      </w:pPr>
      <w:r>
        <w:rPr>
          <w:rFonts w:ascii="Consolas" w:hAnsi="Consolas" w:eastAsia="Consolas"/>
          <w:sz w:val="18"/>
          <w:highlight w:val="yellow"/>
        </w:rPr>
        <w:t>时间 Patch</w:t>
      </w:r>
      <w:r>
        <w:rPr>
          <w:rFonts w:ascii="Consolas" w:hAnsi="Consolas" w:eastAsia="Consolas"/>
          <w:sz w:val="18"/>
          <w:highlight w:val="yellow"/>
        </w:rPr>
        <w:br w:type="textWrapping"/>
      </w:r>
      <w:r>
        <w:rPr>
          <w:rFonts w:ascii="Consolas" w:hAnsi="Consolas" w:eastAsia="Consolas"/>
          <w:sz w:val="18"/>
          <w:highlight w:val="yellow"/>
        </w:rPr>
        <w:t>→ Depthwise 1D Conv（沿时间维度提取局部退化形态）</w:t>
      </w:r>
      <w:r>
        <w:rPr>
          <w:rFonts w:ascii="Consolas" w:hAnsi="Consolas" w:eastAsia="Consolas"/>
          <w:sz w:val="18"/>
          <w:highlight w:val="yellow"/>
        </w:rPr>
        <w:br w:type="textWrapping"/>
      </w:r>
      <w:r>
        <w:rPr>
          <w:rFonts w:ascii="Consolas" w:hAnsi="Consolas" w:eastAsia="Consolas"/>
          <w:sz w:val="18"/>
          <w:highlight w:val="yellow"/>
        </w:rPr>
        <w:t>→ Pointwise Conv / Linear Projection（映射到 d_model）</w:t>
      </w:r>
      <w:r>
        <w:rPr>
          <w:rFonts w:ascii="Consolas" w:hAnsi="Consolas" w:eastAsia="Consolas"/>
          <w:sz w:val="18"/>
          <w:highlight w:val="yellow"/>
        </w:rPr>
        <w:br w:type="textWrapping"/>
      </w:r>
      <w:r>
        <w:rPr>
          <w:rFonts w:ascii="Consolas" w:hAnsi="Consolas" w:eastAsia="Consolas"/>
          <w:sz w:val="18"/>
          <w:highlight w:val="yellow"/>
        </w:rPr>
        <w:t>→ iTransformer Encoder</w:t>
      </w:r>
      <w:r>
        <w:rPr>
          <w:rFonts w:ascii="Consolas" w:hAnsi="Consolas" w:eastAsia="Consolas"/>
          <w:sz w:val="18"/>
          <w:highlight w:val="yellow"/>
        </w:rPr>
        <w:br w:type="textWrapping"/>
      </w:r>
      <w:r>
        <w:rPr>
          <w:rFonts w:ascii="Consolas" w:hAnsi="Consolas" w:eastAsia="Consolas"/>
          <w:sz w:val="18"/>
          <w:highlight w:val="yellow"/>
        </w:rPr>
        <w:t>→ Regressor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835"/>
        <w:gridCol w:w="4082"/>
      </w:tblGrid>
      <w:tr w14:paraId="45415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D9EAF7"/>
            <w:vAlign w:val="center"/>
          </w:tcPr>
          <w:p w14:paraId="1DB6228B">
            <w:pPr>
              <w:spacing w:after="0" w:line="240" w:lineRule="auto"/>
            </w:pPr>
            <w:r>
              <w:rPr>
                <w:rFonts w:ascii="宋体" w:hAnsi="宋体" w:eastAsia="宋体"/>
                <w:b/>
                <w:sz w:val="19"/>
              </w:rPr>
              <w:t>消融项</w:t>
            </w:r>
          </w:p>
        </w:tc>
        <w:tc>
          <w:tcPr>
            <w:tcW w:w="2835" w:type="dxa"/>
            <w:shd w:val="clear" w:color="auto" w:fill="D9EAF7"/>
            <w:vAlign w:val="center"/>
          </w:tcPr>
          <w:p w14:paraId="02215258">
            <w:pPr>
              <w:spacing w:after="0" w:line="240" w:lineRule="auto"/>
            </w:pPr>
            <w:r>
              <w:rPr>
                <w:rFonts w:ascii="宋体" w:hAnsi="宋体" w:eastAsia="宋体"/>
                <w:b/>
                <w:sz w:val="19"/>
              </w:rPr>
              <w:t>对照设置</w:t>
            </w:r>
          </w:p>
        </w:tc>
        <w:tc>
          <w:tcPr>
            <w:tcW w:w="4082" w:type="dxa"/>
            <w:shd w:val="clear" w:color="auto" w:fill="D9EAF7"/>
            <w:vAlign w:val="center"/>
          </w:tcPr>
          <w:p w14:paraId="7DFD175C">
            <w:pPr>
              <w:spacing w:after="0" w:line="240" w:lineRule="auto"/>
            </w:pPr>
            <w:r>
              <w:rPr>
                <w:rFonts w:ascii="宋体" w:hAnsi="宋体" w:eastAsia="宋体"/>
                <w:b/>
                <w:sz w:val="19"/>
              </w:rPr>
              <w:t>验证目的</w:t>
            </w:r>
          </w:p>
        </w:tc>
      </w:tr>
      <w:tr w14:paraId="133FA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797133D8">
            <w:pPr>
              <w:spacing w:after="0" w:line="240" w:lineRule="auto"/>
            </w:pPr>
            <w:r>
              <w:rPr>
                <w:rFonts w:ascii="宋体" w:hAnsi="宋体" w:eastAsia="宋体"/>
                <w:b w:val="0"/>
                <w:sz w:val="19"/>
              </w:rPr>
              <w:t>Patch Embedding 形式</w:t>
            </w:r>
          </w:p>
        </w:tc>
        <w:tc>
          <w:tcPr>
            <w:tcW w:w="2835" w:type="dxa"/>
            <w:vAlign w:val="center"/>
          </w:tcPr>
          <w:p w14:paraId="7BB96B66">
            <w:pPr>
              <w:spacing w:after="0" w:line="240" w:lineRule="auto"/>
            </w:pPr>
            <w:r>
              <w:rPr>
                <w:rFonts w:ascii="宋体" w:hAnsi="宋体" w:eastAsia="宋体"/>
                <w:b w:val="0"/>
                <w:sz w:val="19"/>
              </w:rPr>
              <w:t>Linear vs Conv</w:t>
            </w:r>
          </w:p>
        </w:tc>
        <w:tc>
          <w:tcPr>
            <w:tcW w:w="4082" w:type="dxa"/>
            <w:vAlign w:val="center"/>
          </w:tcPr>
          <w:p w14:paraId="27A6661D">
            <w:pPr>
              <w:spacing w:after="0" w:line="240" w:lineRule="auto"/>
            </w:pPr>
            <w:r>
              <w:rPr>
                <w:rFonts w:ascii="宋体" w:hAnsi="宋体" w:eastAsia="宋体"/>
                <w:b w:val="0"/>
                <w:sz w:val="19"/>
              </w:rPr>
              <w:t>验证卷积增强是否优于纯线性投影。</w:t>
            </w:r>
          </w:p>
        </w:tc>
      </w:tr>
      <w:tr w14:paraId="29085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2E6FC93F">
            <w:pPr>
              <w:spacing w:after="0" w:line="240" w:lineRule="auto"/>
            </w:pPr>
            <w:r>
              <w:rPr>
                <w:rFonts w:ascii="宋体" w:hAnsi="宋体" w:eastAsia="宋体"/>
                <w:b w:val="0"/>
                <w:sz w:val="19"/>
              </w:rPr>
              <w:t>卷积类型</w:t>
            </w:r>
          </w:p>
        </w:tc>
        <w:tc>
          <w:tcPr>
            <w:tcW w:w="2835" w:type="dxa"/>
            <w:vAlign w:val="center"/>
          </w:tcPr>
          <w:p w14:paraId="4E6CF2FE">
            <w:pPr>
              <w:spacing w:after="0" w:line="240" w:lineRule="auto"/>
            </w:pPr>
            <w:r>
              <w:rPr>
                <w:rFonts w:ascii="宋体" w:hAnsi="宋体" w:eastAsia="宋体"/>
                <w:b w:val="0"/>
                <w:sz w:val="19"/>
              </w:rPr>
              <w:t>普通 Conv vs Depthwise Conv</w:t>
            </w:r>
          </w:p>
        </w:tc>
        <w:tc>
          <w:tcPr>
            <w:tcW w:w="4082" w:type="dxa"/>
            <w:vAlign w:val="center"/>
          </w:tcPr>
          <w:p w14:paraId="55236D98">
            <w:pPr>
              <w:spacing w:after="0" w:line="240" w:lineRule="auto"/>
            </w:pPr>
            <w:r>
              <w:rPr>
                <w:rFonts w:ascii="宋体" w:hAnsi="宋体" w:eastAsia="宋体"/>
                <w:b w:val="0"/>
                <w:sz w:val="19"/>
              </w:rPr>
              <w:t>比较表达能力与计算效率。</w:t>
            </w:r>
          </w:p>
        </w:tc>
      </w:tr>
      <w:tr w14:paraId="78920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09C397EF">
            <w:pPr>
              <w:spacing w:after="0" w:line="240" w:lineRule="auto"/>
            </w:pPr>
            <w:r>
              <w:rPr>
                <w:rFonts w:ascii="宋体" w:hAnsi="宋体" w:eastAsia="宋体"/>
                <w:b w:val="0"/>
                <w:sz w:val="19"/>
              </w:rPr>
              <w:t>卷积核大小</w:t>
            </w:r>
          </w:p>
        </w:tc>
        <w:tc>
          <w:tcPr>
            <w:tcW w:w="2835" w:type="dxa"/>
            <w:vAlign w:val="center"/>
          </w:tcPr>
          <w:p w14:paraId="05D9393E">
            <w:pPr>
              <w:spacing w:after="0" w:line="240" w:lineRule="auto"/>
            </w:pPr>
            <w:r>
              <w:rPr>
                <w:rFonts w:ascii="宋体" w:hAnsi="宋体" w:eastAsia="宋体"/>
                <w:b w:val="0"/>
                <w:sz w:val="19"/>
              </w:rPr>
              <w:t>kernel = 3/5/7</w:t>
            </w:r>
          </w:p>
        </w:tc>
        <w:tc>
          <w:tcPr>
            <w:tcW w:w="4082" w:type="dxa"/>
            <w:vAlign w:val="center"/>
          </w:tcPr>
          <w:p w14:paraId="248E3F09">
            <w:pPr>
              <w:spacing w:after="0" w:line="240" w:lineRule="auto"/>
            </w:pPr>
            <w:r>
              <w:rPr>
                <w:rFonts w:ascii="宋体" w:hAnsi="宋体" w:eastAsia="宋体"/>
                <w:b w:val="0"/>
                <w:sz w:val="19"/>
              </w:rPr>
              <w:t>分析 Patch 内局部感受野。</w:t>
            </w:r>
          </w:p>
        </w:tc>
      </w:tr>
      <w:tr w14:paraId="11BC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00F0DD4F">
            <w:pPr>
              <w:spacing w:after="0" w:line="240" w:lineRule="auto"/>
            </w:pPr>
            <w:r>
              <w:rPr>
                <w:rFonts w:ascii="宋体" w:hAnsi="宋体" w:eastAsia="宋体"/>
                <w:b w:val="0"/>
                <w:sz w:val="19"/>
              </w:rPr>
              <w:t>Embedding 策略</w:t>
            </w:r>
          </w:p>
        </w:tc>
        <w:tc>
          <w:tcPr>
            <w:tcW w:w="2835" w:type="dxa"/>
            <w:vAlign w:val="center"/>
          </w:tcPr>
          <w:p w14:paraId="66B904C9">
            <w:pPr>
              <w:spacing w:after="0" w:line="240" w:lineRule="auto"/>
            </w:pPr>
            <w:r>
              <w:rPr>
                <w:rFonts w:ascii="宋体" w:hAnsi="宋体" w:eastAsia="宋体"/>
                <w:b w:val="0"/>
                <w:sz w:val="19"/>
              </w:rPr>
              <w:t>通道共享 vs 通道独立</w:t>
            </w:r>
          </w:p>
        </w:tc>
        <w:tc>
          <w:tcPr>
            <w:tcW w:w="4082" w:type="dxa"/>
            <w:vAlign w:val="center"/>
          </w:tcPr>
          <w:p w14:paraId="71189625">
            <w:pPr>
              <w:spacing w:after="0" w:line="240" w:lineRule="auto"/>
            </w:pPr>
            <w:r>
              <w:rPr>
                <w:rFonts w:ascii="宋体" w:hAnsi="宋体" w:eastAsia="宋体"/>
                <w:b w:val="0"/>
                <w:sz w:val="19"/>
              </w:rPr>
              <w:t>分析不同传感器是否需要独立编码参数。</w:t>
            </w:r>
          </w:p>
        </w:tc>
      </w:tr>
    </w:tbl>
    <w:p w14:paraId="6075996C"/>
    <w:p w14:paraId="1B877999">
      <w:pPr>
        <w:pStyle w:val="4"/>
      </w:pPr>
      <w:r>
        <w:t>5.2 第 2 人：MSPatch-iTransformer-RUL</w:t>
      </w:r>
    </w:p>
    <w:p w14:paraId="698E2511">
      <w:r>
        <w:t>新增模块：多分支时间 Patch 流。第 1 人虽然增强了 Patch 内部表达，但仍采用单一 Patch 尺度。第 2 人构造小、中、大三个时间 Patch 分支，分别捕获短期波动、阶段性退化和长期趋势，再进行融合后送入 iTransformer 编码器。</w:t>
      </w:r>
    </w:p>
    <w:p w14:paraId="74D8778C">
      <w:pPr>
        <w:ind w:left="283"/>
        <w:rPr>
          <w:highlight w:val="yellow"/>
        </w:rPr>
      </w:pPr>
      <w:r>
        <w:rPr>
          <w:rFonts w:ascii="Consolas" w:hAnsi="Consolas" w:eastAsia="Consolas"/>
          <w:sz w:val="18"/>
          <w:highlight w:val="yellow"/>
        </w:rPr>
        <w:t>输入序列</w:t>
      </w:r>
      <w:r>
        <w:rPr>
          <w:rFonts w:ascii="Consolas" w:hAnsi="Consolas" w:eastAsia="Consolas"/>
          <w:sz w:val="18"/>
          <w:highlight w:val="yellow"/>
        </w:rPr>
        <w:br w:type="textWrapping"/>
      </w:r>
      <w:r>
        <w:rPr>
          <w:rFonts w:ascii="Consolas" w:hAnsi="Consolas" w:eastAsia="Consolas"/>
          <w:sz w:val="18"/>
          <w:highlight w:val="yellow"/>
        </w:rPr>
        <w:t>├─ 小 Patch 分支：P=8, S=4</w:t>
      </w:r>
      <w:r>
        <w:rPr>
          <w:rFonts w:ascii="Consolas" w:hAnsi="Consolas" w:eastAsia="Consolas"/>
          <w:sz w:val="18"/>
          <w:highlight w:val="yellow"/>
        </w:rPr>
        <w:br w:type="textWrapping"/>
      </w:r>
      <w:r>
        <w:rPr>
          <w:rFonts w:ascii="Consolas" w:hAnsi="Consolas" w:eastAsia="Consolas"/>
          <w:sz w:val="18"/>
          <w:highlight w:val="yellow"/>
        </w:rPr>
        <w:t>├─ 中 Patch 分支：P=16, S=8</w:t>
      </w:r>
      <w:r>
        <w:rPr>
          <w:rFonts w:ascii="Consolas" w:hAnsi="Consolas" w:eastAsia="Consolas"/>
          <w:sz w:val="18"/>
          <w:highlight w:val="yellow"/>
        </w:rPr>
        <w:br w:type="textWrapping"/>
      </w:r>
      <w:r>
        <w:rPr>
          <w:rFonts w:ascii="Consolas" w:hAnsi="Consolas" w:eastAsia="Consolas"/>
          <w:sz w:val="18"/>
          <w:highlight w:val="yellow"/>
        </w:rPr>
        <w:t>└─ 大 Patch 分支：P=32, S=16</w:t>
      </w:r>
      <w:r>
        <w:rPr>
          <w:rFonts w:ascii="Consolas" w:hAnsi="Consolas" w:eastAsia="Consolas"/>
          <w:sz w:val="18"/>
          <w:highlight w:val="yellow"/>
        </w:rPr>
        <w:br w:type="textWrapping"/>
      </w:r>
      <w:r>
        <w:rPr>
          <w:rFonts w:ascii="Consolas" w:hAnsi="Consolas" w:eastAsia="Consolas"/>
          <w:sz w:val="18"/>
          <w:highlight w:val="yellow"/>
        </w:rPr>
        <w:t>→ 分支融合（Concat / Weighted Sum / Gated Fusion）</w:t>
      </w:r>
      <w:r>
        <w:rPr>
          <w:rFonts w:ascii="Consolas" w:hAnsi="Consolas" w:eastAsia="Consolas"/>
          <w:sz w:val="18"/>
          <w:highlight w:val="yellow"/>
        </w:rPr>
        <w:br w:type="textWrapping"/>
      </w:r>
      <w:r>
        <w:rPr>
          <w:rFonts w:ascii="Consolas" w:hAnsi="Consolas" w:eastAsia="Consolas"/>
          <w:sz w:val="18"/>
          <w:highlight w:val="yellow"/>
        </w:rPr>
        <w:t>→ iTransformer Encoder</w:t>
      </w:r>
      <w:r>
        <w:rPr>
          <w:rFonts w:ascii="Consolas" w:hAnsi="Consolas" w:eastAsia="Consolas"/>
          <w:sz w:val="18"/>
          <w:highlight w:val="yellow"/>
        </w:rPr>
        <w:br w:type="textWrapping"/>
      </w:r>
      <w:r>
        <w:rPr>
          <w:rFonts w:ascii="Consolas" w:hAnsi="Consolas" w:eastAsia="Consolas"/>
          <w:sz w:val="18"/>
          <w:highlight w:val="yellow"/>
        </w:rPr>
        <w:t>→ Regressor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835"/>
        <w:gridCol w:w="4082"/>
      </w:tblGrid>
      <w:tr w14:paraId="5F8B4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D9EAF7"/>
            <w:vAlign w:val="center"/>
          </w:tcPr>
          <w:p w14:paraId="0BE6A74A">
            <w:pPr>
              <w:spacing w:after="0" w:line="240" w:lineRule="auto"/>
            </w:pPr>
            <w:r>
              <w:rPr>
                <w:rFonts w:ascii="宋体" w:hAnsi="宋体" w:eastAsia="宋体"/>
                <w:b/>
                <w:sz w:val="19"/>
              </w:rPr>
              <w:t>消融项</w:t>
            </w:r>
          </w:p>
        </w:tc>
        <w:tc>
          <w:tcPr>
            <w:tcW w:w="2835" w:type="dxa"/>
            <w:shd w:val="clear" w:color="auto" w:fill="D9EAF7"/>
            <w:vAlign w:val="center"/>
          </w:tcPr>
          <w:p w14:paraId="5F697944">
            <w:pPr>
              <w:spacing w:after="0" w:line="240" w:lineRule="auto"/>
            </w:pPr>
            <w:r>
              <w:rPr>
                <w:rFonts w:ascii="宋体" w:hAnsi="宋体" w:eastAsia="宋体"/>
                <w:b/>
                <w:sz w:val="19"/>
              </w:rPr>
              <w:t>对照设置</w:t>
            </w:r>
          </w:p>
        </w:tc>
        <w:tc>
          <w:tcPr>
            <w:tcW w:w="4082" w:type="dxa"/>
            <w:shd w:val="clear" w:color="auto" w:fill="D9EAF7"/>
            <w:vAlign w:val="center"/>
          </w:tcPr>
          <w:p w14:paraId="7ECFF0A3">
            <w:pPr>
              <w:spacing w:after="0" w:line="240" w:lineRule="auto"/>
            </w:pPr>
            <w:r>
              <w:rPr>
                <w:rFonts w:ascii="宋体" w:hAnsi="宋体" w:eastAsia="宋体"/>
                <w:b/>
                <w:sz w:val="19"/>
              </w:rPr>
              <w:t>验证目的</w:t>
            </w:r>
          </w:p>
        </w:tc>
      </w:tr>
      <w:tr w14:paraId="2F15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60B96166">
            <w:pPr>
              <w:spacing w:after="0" w:line="240" w:lineRule="auto"/>
            </w:pPr>
            <w:r>
              <w:rPr>
                <w:rFonts w:ascii="宋体" w:hAnsi="宋体" w:eastAsia="宋体"/>
                <w:b w:val="0"/>
                <w:sz w:val="19"/>
              </w:rPr>
              <w:t>分支数量</w:t>
            </w:r>
          </w:p>
        </w:tc>
        <w:tc>
          <w:tcPr>
            <w:tcW w:w="2835" w:type="dxa"/>
            <w:vAlign w:val="center"/>
          </w:tcPr>
          <w:p w14:paraId="16F89E69">
            <w:pPr>
              <w:spacing w:after="0" w:line="240" w:lineRule="auto"/>
            </w:pPr>
            <w:r>
              <w:rPr>
                <w:rFonts w:ascii="宋体" w:hAnsi="宋体" w:eastAsia="宋体"/>
                <w:b w:val="0"/>
                <w:sz w:val="19"/>
              </w:rPr>
              <w:t>单分支 vs 双分支 vs 三分支</w:t>
            </w:r>
          </w:p>
        </w:tc>
        <w:tc>
          <w:tcPr>
            <w:tcW w:w="4082" w:type="dxa"/>
            <w:vAlign w:val="center"/>
          </w:tcPr>
          <w:p w14:paraId="66A60F4B">
            <w:pPr>
              <w:spacing w:after="0" w:line="240" w:lineRule="auto"/>
            </w:pPr>
            <w:r>
              <w:rPr>
                <w:rFonts w:ascii="宋体" w:hAnsi="宋体" w:eastAsia="宋体"/>
                <w:b w:val="0"/>
                <w:sz w:val="19"/>
              </w:rPr>
              <w:t>验证多分支时间 Patch 流的有效性。</w:t>
            </w:r>
          </w:p>
        </w:tc>
      </w:tr>
      <w:tr w14:paraId="718D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48817722">
            <w:pPr>
              <w:spacing w:after="0" w:line="240" w:lineRule="auto"/>
            </w:pPr>
            <w:r>
              <w:rPr>
                <w:rFonts w:ascii="宋体" w:hAnsi="宋体" w:eastAsia="宋体"/>
                <w:b w:val="0"/>
                <w:sz w:val="19"/>
              </w:rPr>
              <w:t>单独尺度贡献</w:t>
            </w:r>
          </w:p>
        </w:tc>
        <w:tc>
          <w:tcPr>
            <w:tcW w:w="2835" w:type="dxa"/>
            <w:vAlign w:val="center"/>
          </w:tcPr>
          <w:p w14:paraId="1B6BBC5C">
            <w:pPr>
              <w:spacing w:after="0" w:line="240" w:lineRule="auto"/>
            </w:pPr>
            <w:r>
              <w:rPr>
                <w:rFonts w:ascii="宋体" w:hAnsi="宋体" w:eastAsia="宋体"/>
                <w:b w:val="0"/>
                <w:sz w:val="19"/>
              </w:rPr>
              <w:t>仅小 Patch / 仅中 Patch / 仅大 Patch</w:t>
            </w:r>
          </w:p>
        </w:tc>
        <w:tc>
          <w:tcPr>
            <w:tcW w:w="4082" w:type="dxa"/>
            <w:vAlign w:val="center"/>
          </w:tcPr>
          <w:p w14:paraId="731C61F3">
            <w:pPr>
              <w:spacing w:after="0" w:line="240" w:lineRule="auto"/>
            </w:pPr>
            <w:r>
              <w:rPr>
                <w:rFonts w:ascii="宋体" w:hAnsi="宋体" w:eastAsia="宋体"/>
                <w:b w:val="0"/>
                <w:sz w:val="19"/>
              </w:rPr>
              <w:t>分析不同时间尺度对 RUL 的贡献。</w:t>
            </w:r>
          </w:p>
        </w:tc>
      </w:tr>
      <w:tr w14:paraId="6FAB8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2E4DD5D3">
            <w:pPr>
              <w:spacing w:after="0" w:line="240" w:lineRule="auto"/>
            </w:pPr>
            <w:r>
              <w:rPr>
                <w:rFonts w:ascii="宋体" w:hAnsi="宋体" w:eastAsia="宋体"/>
                <w:b w:val="0"/>
                <w:sz w:val="19"/>
              </w:rPr>
              <w:t>融合方式</w:t>
            </w:r>
          </w:p>
        </w:tc>
        <w:tc>
          <w:tcPr>
            <w:tcW w:w="2835" w:type="dxa"/>
            <w:vAlign w:val="center"/>
          </w:tcPr>
          <w:p w14:paraId="25961361">
            <w:pPr>
              <w:spacing w:after="0" w:line="240" w:lineRule="auto"/>
            </w:pPr>
            <w:r>
              <w:rPr>
                <w:rFonts w:ascii="宋体" w:hAnsi="宋体" w:eastAsia="宋体"/>
                <w:b w:val="0"/>
                <w:sz w:val="19"/>
              </w:rPr>
              <w:t>拼接融合 vs 加权融合 vs 门控融合</w:t>
            </w:r>
          </w:p>
        </w:tc>
        <w:tc>
          <w:tcPr>
            <w:tcW w:w="4082" w:type="dxa"/>
            <w:vAlign w:val="center"/>
          </w:tcPr>
          <w:p w14:paraId="6EE13BB8">
            <w:pPr>
              <w:spacing w:after="0" w:line="240" w:lineRule="auto"/>
            </w:pPr>
            <w:r>
              <w:rPr>
                <w:rFonts w:ascii="宋体" w:hAnsi="宋体" w:eastAsia="宋体"/>
                <w:b w:val="0"/>
                <w:sz w:val="19"/>
              </w:rPr>
              <w:t>比较多分支特征聚合策略。</w:t>
            </w:r>
          </w:p>
        </w:tc>
      </w:tr>
      <w:tr w14:paraId="78E9A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3163DCAD">
            <w:pPr>
              <w:spacing w:after="0" w:line="240" w:lineRule="auto"/>
            </w:pPr>
            <w:r>
              <w:rPr>
                <w:rFonts w:ascii="宋体" w:hAnsi="宋体" w:eastAsia="宋体"/>
                <w:b w:val="0"/>
                <w:sz w:val="19"/>
              </w:rPr>
              <w:t>Patch 设计</w:t>
            </w:r>
          </w:p>
        </w:tc>
        <w:tc>
          <w:tcPr>
            <w:tcW w:w="2835" w:type="dxa"/>
            <w:vAlign w:val="center"/>
          </w:tcPr>
          <w:p w14:paraId="513805FF">
            <w:pPr>
              <w:spacing w:after="0" w:line="240" w:lineRule="auto"/>
            </w:pPr>
            <w:r>
              <w:rPr>
                <w:rFonts w:ascii="宋体" w:hAnsi="宋体" w:eastAsia="宋体"/>
                <w:b w:val="0"/>
                <w:sz w:val="19"/>
              </w:rPr>
              <w:t>不同 Patch 长度与步长组合</w:t>
            </w:r>
          </w:p>
        </w:tc>
        <w:tc>
          <w:tcPr>
            <w:tcW w:w="4082" w:type="dxa"/>
            <w:vAlign w:val="center"/>
          </w:tcPr>
          <w:p w14:paraId="4855A5FE">
            <w:pPr>
              <w:spacing w:after="0" w:line="240" w:lineRule="auto"/>
            </w:pPr>
            <w:r>
              <w:rPr>
                <w:rFonts w:ascii="宋体" w:hAnsi="宋体" w:eastAsia="宋体"/>
                <w:b w:val="0"/>
                <w:sz w:val="19"/>
              </w:rPr>
              <w:t>对应老师要求的 Patch 长度和步长分析。</w:t>
            </w:r>
          </w:p>
        </w:tc>
      </w:tr>
    </w:tbl>
    <w:p w14:paraId="15E16539"/>
    <w:p w14:paraId="47671BD5">
      <w:pPr>
        <w:pStyle w:val="4"/>
      </w:pPr>
      <w:r>
        <w:t>5.3 第 3 人：TTS-iTransformer-RUL</w:t>
      </w:r>
    </w:p>
    <w:p w14:paraId="096FC57C">
      <w:r>
        <w:t>新增模块：TTSNet 并行架构。第 2 人能够处理多尺度时间片段，但主体仍然依赖 Transformer 类注意力。第 3 人引入 Transformer-TCN-Self-Attention 三分支网络，使模型同时具备跨变量全局建模、局部连续退化建模和关键时间片段全局依赖建模能力。</w:t>
      </w:r>
    </w:p>
    <w:p w14:paraId="2246F1D4">
      <w:pPr>
        <w:ind w:left="283"/>
        <w:rPr>
          <w:highlight w:val="yellow"/>
        </w:rPr>
      </w:pPr>
      <w:r>
        <w:rPr>
          <w:rFonts w:ascii="Consolas" w:hAnsi="Consolas" w:eastAsia="Consolas"/>
          <w:sz w:val="18"/>
          <w:highlight w:val="yellow"/>
        </w:rPr>
        <w:t>多分支 Patch Token</w:t>
      </w:r>
      <w:r>
        <w:rPr>
          <w:rFonts w:ascii="Consolas" w:hAnsi="Consolas" w:eastAsia="Consolas"/>
          <w:sz w:val="18"/>
          <w:highlight w:val="yellow"/>
        </w:rPr>
        <w:br w:type="textWrapping"/>
      </w:r>
      <w:r>
        <w:rPr>
          <w:rFonts w:ascii="Consolas" w:hAnsi="Consolas" w:eastAsia="Consolas"/>
          <w:sz w:val="18"/>
          <w:highlight w:val="yellow"/>
        </w:rPr>
        <w:t>├─ iTransformer 分支：跨传感器全局协同退化</w:t>
      </w:r>
      <w:r>
        <w:rPr>
          <w:rFonts w:ascii="Consolas" w:hAnsi="Consolas" w:eastAsia="Consolas"/>
          <w:sz w:val="18"/>
          <w:highlight w:val="yellow"/>
        </w:rPr>
        <w:br w:type="textWrapping"/>
      </w:r>
      <w:r>
        <w:rPr>
          <w:rFonts w:ascii="Consolas" w:hAnsi="Consolas" w:eastAsia="Consolas"/>
          <w:sz w:val="18"/>
          <w:highlight w:val="yellow"/>
        </w:rPr>
        <w:t>├─ TCN 分支：局部连续退化趋势</w:t>
      </w:r>
      <w:r>
        <w:rPr>
          <w:rFonts w:ascii="Consolas" w:hAnsi="Consolas" w:eastAsia="Consolas"/>
          <w:sz w:val="18"/>
          <w:highlight w:val="yellow"/>
        </w:rPr>
        <w:br w:type="textWrapping"/>
      </w:r>
      <w:r>
        <w:rPr>
          <w:rFonts w:ascii="Consolas" w:hAnsi="Consolas" w:eastAsia="Consolas"/>
          <w:sz w:val="18"/>
          <w:highlight w:val="yellow"/>
        </w:rPr>
        <w:t>└─ Multi-Head Self-Attention 分支：关键时间片段全局依赖</w:t>
      </w:r>
      <w:r>
        <w:rPr>
          <w:rFonts w:ascii="Consolas" w:hAnsi="Consolas" w:eastAsia="Consolas"/>
          <w:sz w:val="18"/>
          <w:highlight w:val="yellow"/>
        </w:rPr>
        <w:br w:type="textWrapping"/>
      </w:r>
      <w:r>
        <w:rPr>
          <w:rFonts w:ascii="Consolas" w:hAnsi="Consolas" w:eastAsia="Consolas"/>
          <w:sz w:val="18"/>
          <w:highlight w:val="yellow"/>
        </w:rPr>
        <w:t>→ Feature Fusion</w:t>
      </w:r>
      <w:r>
        <w:rPr>
          <w:rFonts w:ascii="Consolas" w:hAnsi="Consolas" w:eastAsia="Consolas"/>
          <w:sz w:val="18"/>
          <w:highlight w:val="yellow"/>
        </w:rPr>
        <w:br w:type="textWrapping"/>
      </w:r>
      <w:r>
        <w:rPr>
          <w:rFonts w:ascii="Consolas" w:hAnsi="Consolas" w:eastAsia="Consolas"/>
          <w:sz w:val="18"/>
          <w:highlight w:val="yellow"/>
        </w:rPr>
        <w:t>→ Regressor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835"/>
        <w:gridCol w:w="4082"/>
      </w:tblGrid>
      <w:tr w14:paraId="5A991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D9EAF7"/>
            <w:vAlign w:val="center"/>
          </w:tcPr>
          <w:p w14:paraId="13AAB428">
            <w:pPr>
              <w:spacing w:after="0" w:line="240" w:lineRule="auto"/>
            </w:pPr>
            <w:r>
              <w:rPr>
                <w:rFonts w:ascii="宋体" w:hAnsi="宋体" w:eastAsia="宋体"/>
                <w:b/>
                <w:sz w:val="19"/>
              </w:rPr>
              <w:t>消融项</w:t>
            </w:r>
          </w:p>
        </w:tc>
        <w:tc>
          <w:tcPr>
            <w:tcW w:w="2835" w:type="dxa"/>
            <w:shd w:val="clear" w:color="auto" w:fill="D9EAF7"/>
            <w:vAlign w:val="center"/>
          </w:tcPr>
          <w:p w14:paraId="0BC0394D">
            <w:pPr>
              <w:spacing w:after="0" w:line="240" w:lineRule="auto"/>
            </w:pPr>
            <w:r>
              <w:rPr>
                <w:rFonts w:ascii="宋体" w:hAnsi="宋体" w:eastAsia="宋体"/>
                <w:b/>
                <w:sz w:val="19"/>
              </w:rPr>
              <w:t>对照设置</w:t>
            </w:r>
          </w:p>
        </w:tc>
        <w:tc>
          <w:tcPr>
            <w:tcW w:w="4082" w:type="dxa"/>
            <w:shd w:val="clear" w:color="auto" w:fill="D9EAF7"/>
            <w:vAlign w:val="center"/>
          </w:tcPr>
          <w:p w14:paraId="4CC8C27E">
            <w:pPr>
              <w:spacing w:after="0" w:line="240" w:lineRule="auto"/>
            </w:pPr>
            <w:r>
              <w:rPr>
                <w:rFonts w:ascii="宋体" w:hAnsi="宋体" w:eastAsia="宋体"/>
                <w:b/>
                <w:sz w:val="19"/>
              </w:rPr>
              <w:t>验证目的</w:t>
            </w:r>
          </w:p>
        </w:tc>
      </w:tr>
      <w:tr w14:paraId="58879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1DA4DE9B">
            <w:pPr>
              <w:spacing w:after="0" w:line="240" w:lineRule="auto"/>
            </w:pPr>
            <w:r>
              <w:rPr>
                <w:rFonts w:ascii="宋体" w:hAnsi="宋体" w:eastAsia="宋体"/>
                <w:b w:val="0"/>
                <w:sz w:val="19"/>
              </w:rPr>
              <w:t>TCN 分支</w:t>
            </w:r>
          </w:p>
        </w:tc>
        <w:tc>
          <w:tcPr>
            <w:tcW w:w="2835" w:type="dxa"/>
            <w:vAlign w:val="center"/>
          </w:tcPr>
          <w:p w14:paraId="63F9D21D">
            <w:pPr>
              <w:spacing w:after="0" w:line="240" w:lineRule="auto"/>
            </w:pPr>
            <w:r>
              <w:rPr>
                <w:rFonts w:ascii="宋体" w:hAnsi="宋体" w:eastAsia="宋体"/>
                <w:b w:val="0"/>
                <w:sz w:val="19"/>
              </w:rPr>
              <w:t>完整模型 vs 去掉 TCN</w:t>
            </w:r>
          </w:p>
        </w:tc>
        <w:tc>
          <w:tcPr>
            <w:tcW w:w="4082" w:type="dxa"/>
            <w:vAlign w:val="center"/>
          </w:tcPr>
          <w:p w14:paraId="4981E1BB">
            <w:pPr>
              <w:spacing w:after="0" w:line="240" w:lineRule="auto"/>
            </w:pPr>
            <w:r>
              <w:rPr>
                <w:rFonts w:ascii="宋体" w:hAnsi="宋体" w:eastAsia="宋体"/>
                <w:b w:val="0"/>
                <w:sz w:val="19"/>
              </w:rPr>
              <w:t>验证局部连续退化建模贡献。</w:t>
            </w:r>
          </w:p>
        </w:tc>
      </w:tr>
      <w:tr w14:paraId="4155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2D530A57">
            <w:pPr>
              <w:spacing w:after="0" w:line="240" w:lineRule="auto"/>
            </w:pPr>
            <w:r>
              <w:rPr>
                <w:rFonts w:ascii="宋体" w:hAnsi="宋体" w:eastAsia="宋体"/>
                <w:b w:val="0"/>
                <w:sz w:val="19"/>
              </w:rPr>
              <w:t>Self-Attention 分支</w:t>
            </w:r>
          </w:p>
        </w:tc>
        <w:tc>
          <w:tcPr>
            <w:tcW w:w="2835" w:type="dxa"/>
            <w:vAlign w:val="center"/>
          </w:tcPr>
          <w:p w14:paraId="319F9BA6">
            <w:pPr>
              <w:spacing w:after="0" w:line="240" w:lineRule="auto"/>
            </w:pPr>
            <w:r>
              <w:rPr>
                <w:rFonts w:ascii="宋体" w:hAnsi="宋体" w:eastAsia="宋体"/>
                <w:b w:val="0"/>
                <w:sz w:val="19"/>
              </w:rPr>
              <w:t>完整模型 vs 去掉 MHA</w:t>
            </w:r>
          </w:p>
        </w:tc>
        <w:tc>
          <w:tcPr>
            <w:tcW w:w="4082" w:type="dxa"/>
            <w:vAlign w:val="center"/>
          </w:tcPr>
          <w:p w14:paraId="58683DC8">
            <w:pPr>
              <w:spacing w:after="0" w:line="240" w:lineRule="auto"/>
            </w:pPr>
            <w:r>
              <w:rPr>
                <w:rFonts w:ascii="宋体" w:hAnsi="宋体" w:eastAsia="宋体"/>
                <w:b w:val="0"/>
                <w:sz w:val="19"/>
              </w:rPr>
              <w:t>验证多头自注意力分支贡献。</w:t>
            </w:r>
          </w:p>
        </w:tc>
      </w:tr>
      <w:tr w14:paraId="25E1F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49979670">
            <w:pPr>
              <w:spacing w:after="0" w:line="240" w:lineRule="auto"/>
            </w:pPr>
            <w:r>
              <w:rPr>
                <w:rFonts w:ascii="宋体" w:hAnsi="宋体" w:eastAsia="宋体"/>
                <w:b w:val="0"/>
                <w:sz w:val="19"/>
              </w:rPr>
              <w:t>iTransformer 分支</w:t>
            </w:r>
          </w:p>
        </w:tc>
        <w:tc>
          <w:tcPr>
            <w:tcW w:w="2835" w:type="dxa"/>
            <w:vAlign w:val="center"/>
          </w:tcPr>
          <w:p w14:paraId="4C4BC55F">
            <w:pPr>
              <w:spacing w:after="0" w:line="240" w:lineRule="auto"/>
            </w:pPr>
            <w:r>
              <w:rPr>
                <w:rFonts w:ascii="宋体" w:hAnsi="宋体" w:eastAsia="宋体"/>
                <w:b w:val="0"/>
                <w:sz w:val="19"/>
              </w:rPr>
              <w:t>完整模型 vs 去掉 iTransformer</w:t>
            </w:r>
          </w:p>
        </w:tc>
        <w:tc>
          <w:tcPr>
            <w:tcW w:w="4082" w:type="dxa"/>
            <w:vAlign w:val="center"/>
          </w:tcPr>
          <w:p w14:paraId="3D84C4A0">
            <w:pPr>
              <w:spacing w:after="0" w:line="240" w:lineRule="auto"/>
            </w:pPr>
            <w:r>
              <w:rPr>
                <w:rFonts w:ascii="宋体" w:hAnsi="宋体" w:eastAsia="宋体"/>
                <w:b w:val="0"/>
                <w:sz w:val="19"/>
              </w:rPr>
              <w:t>验证倒置注意力跨变量建模作用。</w:t>
            </w:r>
          </w:p>
        </w:tc>
      </w:tr>
      <w:tr w14:paraId="1E4C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4E98D97F">
            <w:pPr>
              <w:spacing w:after="0" w:line="240" w:lineRule="auto"/>
            </w:pPr>
            <w:r>
              <w:rPr>
                <w:rFonts w:ascii="宋体" w:hAnsi="宋体" w:eastAsia="宋体"/>
                <w:b w:val="0"/>
                <w:sz w:val="19"/>
              </w:rPr>
              <w:t>结构方式</w:t>
            </w:r>
          </w:p>
        </w:tc>
        <w:tc>
          <w:tcPr>
            <w:tcW w:w="2835" w:type="dxa"/>
            <w:vAlign w:val="center"/>
          </w:tcPr>
          <w:p w14:paraId="3BC40A3F">
            <w:pPr>
              <w:spacing w:after="0" w:line="240" w:lineRule="auto"/>
            </w:pPr>
            <w:r>
              <w:rPr>
                <w:rFonts w:ascii="宋体" w:hAnsi="宋体" w:eastAsia="宋体"/>
                <w:b w:val="0"/>
                <w:sz w:val="19"/>
              </w:rPr>
              <w:t>串行结构 vs 并行结构</w:t>
            </w:r>
          </w:p>
        </w:tc>
        <w:tc>
          <w:tcPr>
            <w:tcW w:w="4082" w:type="dxa"/>
            <w:vAlign w:val="center"/>
          </w:tcPr>
          <w:p w14:paraId="16466F3C">
            <w:pPr>
              <w:spacing w:after="0" w:line="240" w:lineRule="auto"/>
            </w:pPr>
            <w:r>
              <w:rPr>
                <w:rFonts w:ascii="宋体" w:hAnsi="宋体" w:eastAsia="宋体"/>
                <w:b w:val="0"/>
                <w:sz w:val="19"/>
              </w:rPr>
              <w:t>验证 TTSNet 并行架构是否更优。</w:t>
            </w:r>
          </w:p>
        </w:tc>
      </w:tr>
      <w:tr w14:paraId="6AFD2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6F384F3C">
            <w:pPr>
              <w:spacing w:after="0" w:line="240" w:lineRule="auto"/>
            </w:pPr>
            <w:r>
              <w:rPr>
                <w:rFonts w:ascii="宋体" w:hAnsi="宋体" w:eastAsia="宋体"/>
                <w:b w:val="0"/>
                <w:sz w:val="19"/>
              </w:rPr>
              <w:t>TCN 感受野</w:t>
            </w:r>
          </w:p>
        </w:tc>
        <w:tc>
          <w:tcPr>
            <w:tcW w:w="2835" w:type="dxa"/>
            <w:vAlign w:val="center"/>
          </w:tcPr>
          <w:p w14:paraId="075DE944">
            <w:pPr>
              <w:spacing w:after="0" w:line="240" w:lineRule="auto"/>
            </w:pPr>
            <w:r>
              <w:rPr>
                <w:rFonts w:ascii="宋体" w:hAnsi="宋体" w:eastAsia="宋体"/>
                <w:b w:val="0"/>
                <w:sz w:val="19"/>
              </w:rPr>
              <w:t>kernel = 3/5/7，dilation = 1/2/4</w:t>
            </w:r>
          </w:p>
        </w:tc>
        <w:tc>
          <w:tcPr>
            <w:tcW w:w="4082" w:type="dxa"/>
            <w:vAlign w:val="center"/>
          </w:tcPr>
          <w:p w14:paraId="5AE7A90B">
            <w:pPr>
              <w:spacing w:after="0" w:line="240" w:lineRule="auto"/>
            </w:pPr>
            <w:r>
              <w:rPr>
                <w:rFonts w:ascii="宋体" w:hAnsi="宋体" w:eastAsia="宋体"/>
                <w:b w:val="0"/>
                <w:sz w:val="19"/>
              </w:rPr>
              <w:t>分析局部感受野设置。</w:t>
            </w:r>
          </w:p>
        </w:tc>
      </w:tr>
    </w:tbl>
    <w:p w14:paraId="66E16B7A"/>
    <w:p w14:paraId="7AC955EB">
      <w:pPr>
        <w:pStyle w:val="4"/>
      </w:pPr>
      <w:r>
        <w:t>5.4 第 4 人：GroupSparse-TTS-iTransformer-RUL</w:t>
      </w:r>
    </w:p>
    <w:p w14:paraId="7434F89F">
      <w:r>
        <w:t>新增模块：传感器分组/变量 Patch 组并行编码 + 高效注意力。第 3 人 TTSNet 表达能力强，但多分支和全变量注意力会增加计算成本，也可能让无关传感器互相干扰。第 4 人根据传感器相关性或物理类别构造变量 Patch 组，组内使用局部窗口注意力，组间使用稀疏注意力。</w:t>
      </w:r>
    </w:p>
    <w:p w14:paraId="7FBF32A3">
      <w:pPr>
        <w:ind w:left="283"/>
        <w:rPr>
          <w:highlight w:val="yellow"/>
        </w:rPr>
      </w:pPr>
      <w:r>
        <w:rPr>
          <w:rFonts w:ascii="Consolas" w:hAnsi="Consolas" w:eastAsia="Consolas"/>
          <w:sz w:val="18"/>
          <w:highlight w:val="yellow"/>
        </w:rPr>
        <w:t>多分支时间 Patch Token</w:t>
      </w:r>
      <w:r>
        <w:rPr>
          <w:rFonts w:ascii="Consolas" w:hAnsi="Consolas" w:eastAsia="Consolas"/>
          <w:sz w:val="18"/>
          <w:highlight w:val="yellow"/>
        </w:rPr>
        <w:br w:type="textWrapping"/>
      </w:r>
      <w:r>
        <w:rPr>
          <w:rFonts w:ascii="Consolas" w:hAnsi="Consolas" w:eastAsia="Consolas"/>
          <w:sz w:val="18"/>
          <w:highlight w:val="yellow"/>
        </w:rPr>
        <w:t>→ 变量 Patch 组构造（相关性分组/物理分组）</w:t>
      </w:r>
      <w:r>
        <w:rPr>
          <w:rFonts w:ascii="Consolas" w:hAnsi="Consolas" w:eastAsia="Consolas"/>
          <w:sz w:val="18"/>
          <w:highlight w:val="yellow"/>
        </w:rPr>
        <w:br w:type="textWrapping"/>
      </w:r>
      <w:r>
        <w:rPr>
          <w:rFonts w:ascii="Consolas" w:hAnsi="Consolas" w:eastAsia="Consolas"/>
          <w:sz w:val="18"/>
          <w:highlight w:val="yellow"/>
        </w:rPr>
        <w:t>→ 组内局部窗口注意力</w:t>
      </w:r>
      <w:r>
        <w:rPr>
          <w:rFonts w:ascii="Consolas" w:hAnsi="Consolas" w:eastAsia="Consolas"/>
          <w:sz w:val="18"/>
          <w:highlight w:val="yellow"/>
        </w:rPr>
        <w:br w:type="textWrapping"/>
      </w:r>
      <w:r>
        <w:rPr>
          <w:rFonts w:ascii="Consolas" w:hAnsi="Consolas" w:eastAsia="Consolas"/>
          <w:sz w:val="18"/>
          <w:highlight w:val="yellow"/>
        </w:rPr>
        <w:t>→ 组间稀疏注意力</w:t>
      </w:r>
      <w:r>
        <w:rPr>
          <w:rFonts w:ascii="Consolas" w:hAnsi="Consolas" w:eastAsia="Consolas"/>
          <w:sz w:val="18"/>
          <w:highlight w:val="yellow"/>
        </w:rPr>
        <w:br w:type="textWrapping"/>
      </w:r>
      <w:r>
        <w:rPr>
          <w:rFonts w:ascii="Consolas" w:hAnsi="Consolas" w:eastAsia="Consolas"/>
          <w:sz w:val="18"/>
          <w:highlight w:val="yellow"/>
        </w:rPr>
        <w:t>→ TTSNet 并行编码</w:t>
      </w:r>
      <w:r>
        <w:rPr>
          <w:rFonts w:ascii="Consolas" w:hAnsi="Consolas" w:eastAsia="Consolas"/>
          <w:sz w:val="18"/>
          <w:highlight w:val="yellow"/>
        </w:rPr>
        <w:br w:type="textWrapping"/>
      </w:r>
      <w:r>
        <w:rPr>
          <w:rFonts w:ascii="Consolas" w:hAnsi="Consolas" w:eastAsia="Consolas"/>
          <w:sz w:val="18"/>
          <w:highlight w:val="yellow"/>
        </w:rPr>
        <w:t>→ Regressor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835"/>
        <w:gridCol w:w="4082"/>
      </w:tblGrid>
      <w:tr w14:paraId="3B41A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D9EAF7"/>
            <w:vAlign w:val="center"/>
          </w:tcPr>
          <w:p w14:paraId="2355A3E2">
            <w:pPr>
              <w:spacing w:after="0" w:line="240" w:lineRule="auto"/>
            </w:pPr>
            <w:r>
              <w:rPr>
                <w:rFonts w:ascii="宋体" w:hAnsi="宋体" w:eastAsia="宋体"/>
                <w:b/>
                <w:sz w:val="19"/>
              </w:rPr>
              <w:t>消融项</w:t>
            </w:r>
          </w:p>
        </w:tc>
        <w:tc>
          <w:tcPr>
            <w:tcW w:w="2835" w:type="dxa"/>
            <w:shd w:val="clear" w:color="auto" w:fill="D9EAF7"/>
            <w:vAlign w:val="center"/>
          </w:tcPr>
          <w:p w14:paraId="0BBFFF2E">
            <w:pPr>
              <w:spacing w:after="0" w:line="240" w:lineRule="auto"/>
            </w:pPr>
            <w:r>
              <w:rPr>
                <w:rFonts w:ascii="宋体" w:hAnsi="宋体" w:eastAsia="宋体"/>
                <w:b/>
                <w:sz w:val="19"/>
              </w:rPr>
              <w:t>对照设置</w:t>
            </w:r>
          </w:p>
        </w:tc>
        <w:tc>
          <w:tcPr>
            <w:tcW w:w="4082" w:type="dxa"/>
            <w:shd w:val="clear" w:color="auto" w:fill="D9EAF7"/>
            <w:vAlign w:val="center"/>
          </w:tcPr>
          <w:p w14:paraId="5D041BE1">
            <w:pPr>
              <w:spacing w:after="0" w:line="240" w:lineRule="auto"/>
            </w:pPr>
            <w:r>
              <w:rPr>
                <w:rFonts w:ascii="宋体" w:hAnsi="宋体" w:eastAsia="宋体"/>
                <w:b/>
                <w:sz w:val="19"/>
              </w:rPr>
              <w:t>验证目的</w:t>
            </w:r>
          </w:p>
        </w:tc>
      </w:tr>
      <w:tr w14:paraId="6E3E9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188F2E1F">
            <w:pPr>
              <w:spacing w:after="0" w:line="240" w:lineRule="auto"/>
            </w:pPr>
            <w:r>
              <w:rPr>
                <w:rFonts w:ascii="宋体" w:hAnsi="宋体" w:eastAsia="宋体"/>
                <w:b w:val="0"/>
                <w:sz w:val="19"/>
              </w:rPr>
              <w:t>传感器分组</w:t>
            </w:r>
          </w:p>
        </w:tc>
        <w:tc>
          <w:tcPr>
            <w:tcW w:w="2835" w:type="dxa"/>
            <w:vAlign w:val="center"/>
          </w:tcPr>
          <w:p w14:paraId="1EE1226A">
            <w:pPr>
              <w:spacing w:after="0" w:line="240" w:lineRule="auto"/>
            </w:pPr>
            <w:r>
              <w:rPr>
                <w:rFonts w:ascii="宋体" w:hAnsi="宋体" w:eastAsia="宋体"/>
                <w:b w:val="0"/>
                <w:sz w:val="19"/>
              </w:rPr>
              <w:t>不分组 vs 分组</w:t>
            </w:r>
          </w:p>
        </w:tc>
        <w:tc>
          <w:tcPr>
            <w:tcW w:w="4082" w:type="dxa"/>
            <w:vAlign w:val="center"/>
          </w:tcPr>
          <w:p w14:paraId="7FAAB5D1">
            <w:pPr>
              <w:spacing w:after="0" w:line="240" w:lineRule="auto"/>
            </w:pPr>
            <w:r>
              <w:rPr>
                <w:rFonts w:ascii="宋体" w:hAnsi="宋体" w:eastAsia="宋体"/>
                <w:b w:val="0"/>
                <w:sz w:val="19"/>
              </w:rPr>
              <w:t>验证变量 Patch 组并行编码效果。</w:t>
            </w:r>
          </w:p>
        </w:tc>
      </w:tr>
      <w:tr w14:paraId="0F8F3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3A950807">
            <w:pPr>
              <w:spacing w:after="0" w:line="240" w:lineRule="auto"/>
            </w:pPr>
            <w:r>
              <w:rPr>
                <w:rFonts w:ascii="宋体" w:hAnsi="宋体" w:eastAsia="宋体"/>
                <w:b w:val="0"/>
                <w:sz w:val="19"/>
              </w:rPr>
              <w:t>分组策略</w:t>
            </w:r>
          </w:p>
        </w:tc>
        <w:tc>
          <w:tcPr>
            <w:tcW w:w="2835" w:type="dxa"/>
            <w:vAlign w:val="center"/>
          </w:tcPr>
          <w:p w14:paraId="556AA820">
            <w:pPr>
              <w:spacing w:after="0" w:line="240" w:lineRule="auto"/>
            </w:pPr>
            <w:r>
              <w:rPr>
                <w:rFonts w:ascii="宋体" w:hAnsi="宋体" w:eastAsia="宋体"/>
                <w:b w:val="0"/>
                <w:sz w:val="19"/>
              </w:rPr>
              <w:t>人工物理分组 vs 相关性分组</w:t>
            </w:r>
          </w:p>
        </w:tc>
        <w:tc>
          <w:tcPr>
            <w:tcW w:w="4082" w:type="dxa"/>
            <w:vAlign w:val="center"/>
          </w:tcPr>
          <w:p w14:paraId="17A7A9CE">
            <w:pPr>
              <w:spacing w:after="0" w:line="240" w:lineRule="auto"/>
            </w:pPr>
            <w:r>
              <w:rPr>
                <w:rFonts w:ascii="宋体" w:hAnsi="宋体" w:eastAsia="宋体"/>
                <w:b w:val="0"/>
                <w:sz w:val="19"/>
              </w:rPr>
              <w:t>比较不同传感器分组方式。</w:t>
            </w:r>
          </w:p>
        </w:tc>
      </w:tr>
      <w:tr w14:paraId="6AE2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7EE362B2">
            <w:pPr>
              <w:spacing w:after="0" w:line="240" w:lineRule="auto"/>
            </w:pPr>
            <w:r>
              <w:rPr>
                <w:rFonts w:ascii="宋体" w:hAnsi="宋体" w:eastAsia="宋体"/>
                <w:b w:val="0"/>
                <w:sz w:val="19"/>
              </w:rPr>
              <w:t>稀疏注意力</w:t>
            </w:r>
          </w:p>
        </w:tc>
        <w:tc>
          <w:tcPr>
            <w:tcW w:w="2835" w:type="dxa"/>
            <w:vAlign w:val="center"/>
          </w:tcPr>
          <w:p w14:paraId="21CA93DD">
            <w:pPr>
              <w:spacing w:after="0" w:line="240" w:lineRule="auto"/>
            </w:pPr>
            <w:r>
              <w:rPr>
                <w:rFonts w:ascii="宋体" w:hAnsi="宋体" w:eastAsia="宋体"/>
                <w:b w:val="0"/>
                <w:sz w:val="19"/>
              </w:rPr>
              <w:t>全局注意力 vs 稀疏注意力</w:t>
            </w:r>
          </w:p>
        </w:tc>
        <w:tc>
          <w:tcPr>
            <w:tcW w:w="4082" w:type="dxa"/>
            <w:vAlign w:val="center"/>
          </w:tcPr>
          <w:p w14:paraId="40980028">
            <w:pPr>
              <w:spacing w:after="0" w:line="240" w:lineRule="auto"/>
            </w:pPr>
            <w:r>
              <w:rPr>
                <w:rFonts w:ascii="宋体" w:hAnsi="宋体" w:eastAsia="宋体"/>
                <w:b w:val="0"/>
                <w:sz w:val="19"/>
              </w:rPr>
              <w:t>验证复杂度降低和抗噪能力。</w:t>
            </w:r>
          </w:p>
        </w:tc>
      </w:tr>
      <w:tr w14:paraId="45B7F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4B51C33F">
            <w:pPr>
              <w:spacing w:after="0" w:line="240" w:lineRule="auto"/>
            </w:pPr>
            <w:r>
              <w:rPr>
                <w:rFonts w:ascii="宋体" w:hAnsi="宋体" w:eastAsia="宋体"/>
                <w:b w:val="0"/>
                <w:sz w:val="19"/>
              </w:rPr>
              <w:t>窗口注意力</w:t>
            </w:r>
          </w:p>
        </w:tc>
        <w:tc>
          <w:tcPr>
            <w:tcW w:w="2835" w:type="dxa"/>
            <w:vAlign w:val="center"/>
          </w:tcPr>
          <w:p w14:paraId="44565605">
            <w:pPr>
              <w:spacing w:after="0" w:line="240" w:lineRule="auto"/>
            </w:pPr>
            <w:r>
              <w:rPr>
                <w:rFonts w:ascii="宋体" w:hAnsi="宋体" w:eastAsia="宋体"/>
                <w:b w:val="0"/>
                <w:sz w:val="19"/>
              </w:rPr>
              <w:t>全局注意力 vs 局部窗口注意力</w:t>
            </w:r>
          </w:p>
        </w:tc>
        <w:tc>
          <w:tcPr>
            <w:tcW w:w="4082" w:type="dxa"/>
            <w:vAlign w:val="center"/>
          </w:tcPr>
          <w:p w14:paraId="37834AEF">
            <w:pPr>
              <w:spacing w:after="0" w:line="240" w:lineRule="auto"/>
            </w:pPr>
            <w:r>
              <w:rPr>
                <w:rFonts w:ascii="宋体" w:hAnsi="宋体" w:eastAsia="宋体"/>
                <w:b w:val="0"/>
                <w:sz w:val="19"/>
              </w:rPr>
              <w:t>验证组内局部依赖建模。</w:t>
            </w:r>
          </w:p>
        </w:tc>
      </w:tr>
      <w:tr w14:paraId="04005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7CC9D025">
            <w:pPr>
              <w:spacing w:after="0" w:line="240" w:lineRule="auto"/>
            </w:pPr>
            <w:r>
              <w:rPr>
                <w:rFonts w:ascii="宋体" w:hAnsi="宋体" w:eastAsia="宋体"/>
                <w:b w:val="0"/>
                <w:sz w:val="19"/>
              </w:rPr>
              <w:t>组合表征</w:t>
            </w:r>
          </w:p>
        </w:tc>
        <w:tc>
          <w:tcPr>
            <w:tcW w:w="2835" w:type="dxa"/>
            <w:vAlign w:val="center"/>
          </w:tcPr>
          <w:p w14:paraId="334E44C0">
            <w:pPr>
              <w:spacing w:after="0" w:line="240" w:lineRule="auto"/>
            </w:pPr>
            <w:r>
              <w:rPr>
                <w:rFonts w:ascii="宋体" w:hAnsi="宋体" w:eastAsia="宋体"/>
                <w:b w:val="0"/>
                <w:sz w:val="19"/>
              </w:rPr>
              <w:t>时间 Patch only vs 时间 Patch + 变量 Patch 组</w:t>
            </w:r>
          </w:p>
        </w:tc>
        <w:tc>
          <w:tcPr>
            <w:tcW w:w="4082" w:type="dxa"/>
            <w:vAlign w:val="center"/>
          </w:tcPr>
          <w:p w14:paraId="50B21CA0">
            <w:pPr>
              <w:spacing w:after="0" w:line="240" w:lineRule="auto"/>
            </w:pPr>
            <w:r>
              <w:rPr>
                <w:rFonts w:ascii="宋体" w:hAnsi="宋体" w:eastAsia="宋体"/>
                <w:b w:val="0"/>
                <w:sz w:val="19"/>
              </w:rPr>
              <w:t>验证时间维度与变量维度 Patch 化组合表征。</w:t>
            </w:r>
          </w:p>
        </w:tc>
      </w:tr>
    </w:tbl>
    <w:p w14:paraId="3CB697B9"/>
    <w:p w14:paraId="099EFB3D">
      <w:pPr>
        <w:pStyle w:val="4"/>
      </w:pPr>
      <w:r>
        <w:t>5.5 第 5 人：AutoHPO-Fusion-iTTSRUL</w:t>
      </w:r>
    </w:p>
    <w:p w14:paraId="67EEAAFD">
      <w:r>
        <w:t>新增模块：动态门控融合 + 自动超参数调优。第 4 人之后，模型包含多尺度 Patch、TTSNet 分支、分组注意力和高效注意力，模块多且超参数多。第 5 人引入门控融合自动学习不同分支权重，并使用 Optuna/贝叶斯优化/Hyperband 等方法自动寻找最优超参数配置。</w:t>
      </w:r>
    </w:p>
    <w:p w14:paraId="1048404A">
      <w:pPr>
        <w:ind w:left="283"/>
      </w:pPr>
      <w:r>
        <w:rPr>
          <w:rFonts w:ascii="Consolas" w:hAnsi="Consolas" w:eastAsia="Consolas"/>
          <w:sz w:val="18"/>
          <w:highlight w:val="yellow"/>
        </w:rPr>
        <w:t>多分支特征 F_i, F_tcn, F_mha, F_group</w:t>
      </w:r>
      <w:r>
        <w:rPr>
          <w:rFonts w:ascii="Consolas" w:hAnsi="Consolas" w:eastAsia="Consolas"/>
          <w:sz w:val="18"/>
          <w:highlight w:val="yellow"/>
        </w:rPr>
        <w:br w:type="textWrapping"/>
      </w:r>
      <w:r>
        <w:rPr>
          <w:rFonts w:ascii="Consolas" w:hAnsi="Consolas" w:eastAsia="Consolas"/>
          <w:sz w:val="18"/>
          <w:highlight w:val="yellow"/>
        </w:rPr>
        <w:t>→ Gating Network / Attention Fusion 生成 α_i</w:t>
      </w:r>
      <w:r>
        <w:rPr>
          <w:rFonts w:ascii="Consolas" w:hAnsi="Consolas" w:eastAsia="Consolas"/>
          <w:sz w:val="18"/>
          <w:highlight w:val="yellow"/>
        </w:rPr>
        <w:br w:type="textWrapping"/>
      </w:r>
      <w:r>
        <w:rPr>
          <w:rFonts w:ascii="Consolas" w:hAnsi="Consolas" w:eastAsia="Consolas"/>
          <w:sz w:val="18"/>
          <w:highlight w:val="yellow"/>
        </w:rPr>
        <w:t>→ F_final = Σ α_i F_i</w:t>
      </w:r>
      <w:r>
        <w:rPr>
          <w:rFonts w:ascii="Consolas" w:hAnsi="Consolas" w:eastAsia="Consolas"/>
          <w:sz w:val="18"/>
          <w:highlight w:val="yellow"/>
        </w:rPr>
        <w:br w:type="textWrapping"/>
      </w:r>
      <w:r>
        <w:rPr>
          <w:rFonts w:ascii="Consolas" w:hAnsi="Consolas" w:eastAsia="Consolas"/>
          <w:sz w:val="18"/>
          <w:highlight w:val="yellow"/>
        </w:rPr>
        <w:t>→ Regressor</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自动调优目标：min Validation RMSE 或 Score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835"/>
        <w:gridCol w:w="4082"/>
      </w:tblGrid>
      <w:tr w14:paraId="2E98C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D9EAF7"/>
            <w:vAlign w:val="center"/>
          </w:tcPr>
          <w:p w14:paraId="3B98A7D9">
            <w:pPr>
              <w:spacing w:after="0" w:line="240" w:lineRule="auto"/>
            </w:pPr>
            <w:r>
              <w:rPr>
                <w:rFonts w:ascii="宋体" w:hAnsi="宋体" w:eastAsia="宋体"/>
                <w:b/>
                <w:sz w:val="19"/>
              </w:rPr>
              <w:t>消融项</w:t>
            </w:r>
          </w:p>
        </w:tc>
        <w:tc>
          <w:tcPr>
            <w:tcW w:w="2835" w:type="dxa"/>
            <w:shd w:val="clear" w:color="auto" w:fill="D9EAF7"/>
            <w:vAlign w:val="center"/>
          </w:tcPr>
          <w:p w14:paraId="6760DA66">
            <w:pPr>
              <w:spacing w:after="0" w:line="240" w:lineRule="auto"/>
            </w:pPr>
            <w:r>
              <w:rPr>
                <w:rFonts w:ascii="宋体" w:hAnsi="宋体" w:eastAsia="宋体"/>
                <w:b/>
                <w:sz w:val="19"/>
              </w:rPr>
              <w:t>对照设置</w:t>
            </w:r>
          </w:p>
        </w:tc>
        <w:tc>
          <w:tcPr>
            <w:tcW w:w="4082" w:type="dxa"/>
            <w:shd w:val="clear" w:color="auto" w:fill="D9EAF7"/>
            <w:vAlign w:val="center"/>
          </w:tcPr>
          <w:p w14:paraId="131DD112">
            <w:pPr>
              <w:spacing w:after="0" w:line="240" w:lineRule="auto"/>
            </w:pPr>
            <w:r>
              <w:rPr>
                <w:rFonts w:ascii="宋体" w:hAnsi="宋体" w:eastAsia="宋体"/>
                <w:b/>
                <w:sz w:val="19"/>
              </w:rPr>
              <w:t>验证目的</w:t>
            </w:r>
          </w:p>
        </w:tc>
      </w:tr>
      <w:tr w14:paraId="137C4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79D3546C">
            <w:pPr>
              <w:spacing w:after="0" w:line="240" w:lineRule="auto"/>
            </w:pPr>
            <w:r>
              <w:rPr>
                <w:rFonts w:ascii="宋体" w:hAnsi="宋体" w:eastAsia="宋体"/>
                <w:b w:val="0"/>
                <w:sz w:val="19"/>
              </w:rPr>
              <w:t>融合方式</w:t>
            </w:r>
          </w:p>
        </w:tc>
        <w:tc>
          <w:tcPr>
            <w:tcW w:w="2835" w:type="dxa"/>
            <w:vAlign w:val="center"/>
          </w:tcPr>
          <w:p w14:paraId="1DEE0F57">
            <w:pPr>
              <w:spacing w:after="0" w:line="240" w:lineRule="auto"/>
            </w:pPr>
            <w:r>
              <w:rPr>
                <w:rFonts w:ascii="宋体" w:hAnsi="宋体" w:eastAsia="宋体"/>
                <w:b w:val="0"/>
                <w:sz w:val="19"/>
              </w:rPr>
              <w:t>Concat vs Weighted Sum vs Gated Fusion vs Attention Fusion</w:t>
            </w:r>
          </w:p>
        </w:tc>
        <w:tc>
          <w:tcPr>
            <w:tcW w:w="4082" w:type="dxa"/>
            <w:vAlign w:val="center"/>
          </w:tcPr>
          <w:p w14:paraId="50F575A9">
            <w:pPr>
              <w:spacing w:after="0" w:line="240" w:lineRule="auto"/>
            </w:pPr>
            <w:r>
              <w:rPr>
                <w:rFonts w:ascii="宋体" w:hAnsi="宋体" w:eastAsia="宋体"/>
                <w:b w:val="0"/>
                <w:sz w:val="19"/>
              </w:rPr>
              <w:t>验证动态融合是否优于固定融合。</w:t>
            </w:r>
          </w:p>
        </w:tc>
      </w:tr>
      <w:tr w14:paraId="0D1E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5D27A14E">
            <w:pPr>
              <w:spacing w:after="0" w:line="240" w:lineRule="auto"/>
            </w:pPr>
            <w:r>
              <w:rPr>
                <w:rFonts w:ascii="宋体" w:hAnsi="宋体" w:eastAsia="宋体"/>
                <w:b w:val="0"/>
                <w:sz w:val="19"/>
              </w:rPr>
              <w:t>调参方式</w:t>
            </w:r>
          </w:p>
        </w:tc>
        <w:tc>
          <w:tcPr>
            <w:tcW w:w="2835" w:type="dxa"/>
            <w:vAlign w:val="center"/>
          </w:tcPr>
          <w:p w14:paraId="1121922A">
            <w:pPr>
              <w:spacing w:after="0" w:line="240" w:lineRule="auto"/>
            </w:pPr>
            <w:r>
              <w:rPr>
                <w:rFonts w:ascii="宋体" w:hAnsi="宋体" w:eastAsia="宋体"/>
                <w:b w:val="0"/>
                <w:sz w:val="19"/>
              </w:rPr>
              <w:t>人工调参 vs Random Search vs Optuna/贝叶斯优化</w:t>
            </w:r>
          </w:p>
        </w:tc>
        <w:tc>
          <w:tcPr>
            <w:tcW w:w="4082" w:type="dxa"/>
            <w:vAlign w:val="center"/>
          </w:tcPr>
          <w:p w14:paraId="5309907F">
            <w:pPr>
              <w:spacing w:after="0" w:line="240" w:lineRule="auto"/>
            </w:pPr>
            <w:r>
              <w:rPr>
                <w:rFonts w:ascii="宋体" w:hAnsi="宋体" w:eastAsia="宋体"/>
                <w:b w:val="0"/>
                <w:sz w:val="19"/>
              </w:rPr>
              <w:t>验证自动超参数调优收益。</w:t>
            </w:r>
          </w:p>
        </w:tc>
      </w:tr>
      <w:tr w14:paraId="00CA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5FF08A41">
            <w:pPr>
              <w:spacing w:after="0" w:line="240" w:lineRule="auto"/>
            </w:pPr>
            <w:r>
              <w:rPr>
                <w:rFonts w:ascii="宋体" w:hAnsi="宋体" w:eastAsia="宋体"/>
                <w:b w:val="0"/>
                <w:sz w:val="19"/>
              </w:rPr>
              <w:t>剪枝策略</w:t>
            </w:r>
          </w:p>
        </w:tc>
        <w:tc>
          <w:tcPr>
            <w:tcW w:w="2835" w:type="dxa"/>
            <w:vAlign w:val="center"/>
          </w:tcPr>
          <w:p w14:paraId="13EC284B">
            <w:pPr>
              <w:spacing w:after="0" w:line="240" w:lineRule="auto"/>
            </w:pPr>
            <w:r>
              <w:rPr>
                <w:rFonts w:ascii="宋体" w:hAnsi="宋体" w:eastAsia="宋体"/>
                <w:b w:val="0"/>
                <w:sz w:val="19"/>
              </w:rPr>
              <w:t>无剪枝 vs Early Stopping/Pruner</w:t>
            </w:r>
          </w:p>
        </w:tc>
        <w:tc>
          <w:tcPr>
            <w:tcW w:w="4082" w:type="dxa"/>
            <w:vAlign w:val="center"/>
          </w:tcPr>
          <w:p w14:paraId="33D457A0">
            <w:pPr>
              <w:spacing w:after="0" w:line="240" w:lineRule="auto"/>
            </w:pPr>
            <w:r>
              <w:rPr>
                <w:rFonts w:ascii="宋体" w:hAnsi="宋体" w:eastAsia="宋体"/>
                <w:b w:val="0"/>
                <w:sz w:val="19"/>
              </w:rPr>
              <w:t>验证调优效率。</w:t>
            </w:r>
          </w:p>
        </w:tc>
      </w:tr>
      <w:tr w14:paraId="22BF7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63AC6093">
            <w:pPr>
              <w:spacing w:after="0" w:line="240" w:lineRule="auto"/>
            </w:pPr>
            <w:r>
              <w:rPr>
                <w:rFonts w:ascii="宋体" w:hAnsi="宋体" w:eastAsia="宋体"/>
                <w:b w:val="0"/>
                <w:sz w:val="19"/>
              </w:rPr>
              <w:t>最终模型</w:t>
            </w:r>
          </w:p>
        </w:tc>
        <w:tc>
          <w:tcPr>
            <w:tcW w:w="2835" w:type="dxa"/>
            <w:vAlign w:val="center"/>
          </w:tcPr>
          <w:p w14:paraId="79DC0EF7">
            <w:pPr>
              <w:spacing w:after="0" w:line="240" w:lineRule="auto"/>
            </w:pPr>
            <w:r>
              <w:rPr>
                <w:rFonts w:ascii="宋体" w:hAnsi="宋体" w:eastAsia="宋体"/>
                <w:b w:val="0"/>
                <w:sz w:val="19"/>
              </w:rPr>
              <w:t>完整模型 vs 逐项去除模块</w:t>
            </w:r>
          </w:p>
        </w:tc>
        <w:tc>
          <w:tcPr>
            <w:tcW w:w="4082" w:type="dxa"/>
            <w:vAlign w:val="center"/>
          </w:tcPr>
          <w:p w14:paraId="64252657">
            <w:pPr>
              <w:spacing w:after="0" w:line="240" w:lineRule="auto"/>
            </w:pPr>
            <w:r>
              <w:rPr>
                <w:rFonts w:ascii="宋体" w:hAnsi="宋体" w:eastAsia="宋体"/>
                <w:b w:val="0"/>
                <w:sz w:val="19"/>
              </w:rPr>
              <w:t>形成总消融结论。</w:t>
            </w:r>
          </w:p>
        </w:tc>
      </w:tr>
    </w:tbl>
    <w:p w14:paraId="445F6BF1"/>
    <w:p w14:paraId="27E894E0">
      <w:pPr>
        <w:pStyle w:val="3"/>
        <w:rPr>
          <w:rFonts w:hint="eastAsia" w:ascii="仿宋" w:hAnsi="仿宋" w:eastAsia="仿宋" w:cs="仿宋"/>
        </w:rPr>
      </w:pPr>
      <w:r>
        <w:rPr>
          <w:rFonts w:hint="eastAsia" w:ascii="仿宋" w:hAnsi="仿宋" w:eastAsia="仿宋" w:cs="仿宋"/>
          <w:lang w:val="en-US" w:eastAsia="zh-CN"/>
        </w:rPr>
        <w:t>六</w:t>
      </w:r>
      <w:r>
        <w:rPr>
          <w:rFonts w:hint="eastAsia" w:ascii="仿宋" w:hAnsi="仿宋" w:eastAsia="仿宋" w:cs="仿宋"/>
        </w:rPr>
        <w:t>、如何改网络的少量例子</w:t>
      </w:r>
    </w:p>
    <w:p w14:paraId="660F25C2">
      <w:r>
        <w:t>下面只给少量示意，目的是说明“每一棒如何从上一棒改网络”，不展开完整代码。</w:t>
      </w:r>
    </w:p>
    <w:p w14:paraId="3747D74C">
      <w:pPr>
        <w:pStyle w:val="4"/>
      </w:pPr>
      <w:r>
        <w:t>例 1：第 1 人将线性 Patch Embedding 改为卷积 Patch Embedding</w:t>
      </w:r>
    </w:p>
    <w:p w14:paraId="39DCCB85">
      <w:pPr>
        <w:ind w:left="283"/>
      </w:pPr>
      <w:r>
        <w:rPr>
          <w:rFonts w:ascii="Consolas" w:hAnsi="Consolas" w:eastAsia="Consolas"/>
          <w:sz w:val="18"/>
        </w:rPr>
        <w:t>原 Base：</w:t>
      </w:r>
      <w:r>
        <w:rPr>
          <w:rFonts w:ascii="Consolas" w:hAnsi="Consolas" w:eastAsia="Consolas"/>
          <w:sz w:val="18"/>
        </w:rPr>
        <w:br w:type="textWrapping"/>
      </w:r>
      <w:r>
        <w:rPr>
          <w:rFonts w:ascii="Consolas" w:hAnsi="Consolas" w:eastAsia="Consolas"/>
          <w:sz w:val="18"/>
        </w:rPr>
        <w:t>PatchToken = Linear(flatten(Patch))</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第 1 人修改：</w:t>
      </w:r>
      <w:r>
        <w:rPr>
          <w:rFonts w:ascii="Consolas" w:hAnsi="Consolas" w:eastAsia="Consolas"/>
          <w:sz w:val="18"/>
        </w:rPr>
        <w:br w:type="textWrapping"/>
      </w:r>
      <w:r>
        <w:rPr>
          <w:rFonts w:ascii="Consolas" w:hAnsi="Consolas" w:eastAsia="Consolas"/>
          <w:sz w:val="18"/>
        </w:rPr>
        <w:t>PatchFeature = DepthwiseConv1D(Patch)</w:t>
      </w:r>
      <w:r>
        <w:rPr>
          <w:rFonts w:ascii="Consolas" w:hAnsi="Consolas" w:eastAsia="Consolas"/>
          <w:sz w:val="18"/>
        </w:rPr>
        <w:br w:type="textWrapping"/>
      </w:r>
      <w:r>
        <w:rPr>
          <w:rFonts w:ascii="Consolas" w:hAnsi="Consolas" w:eastAsia="Consolas"/>
          <w:sz w:val="18"/>
        </w:rPr>
        <w:t>PatchToken = PointwiseConv1D(PatchFeature) 或 Linear(PatchFeature)</w:t>
      </w:r>
    </w:p>
    <w:p w14:paraId="6519424D">
      <w:pPr>
        <w:pStyle w:val="4"/>
      </w:pPr>
      <w:r>
        <w:t>例 2：第 2 人把单一 Patch 流改为多分支时间 Patch 流</w:t>
      </w:r>
    </w:p>
    <w:p w14:paraId="05ACEE09">
      <w:pPr>
        <w:ind w:left="283"/>
      </w:pPr>
      <w:r>
        <w:rPr>
          <w:rFonts w:ascii="Consolas" w:hAnsi="Consolas" w:eastAsia="Consolas"/>
          <w:sz w:val="18"/>
        </w:rPr>
        <w:t>原第 1 人：</w:t>
      </w:r>
      <w:r>
        <w:rPr>
          <w:rFonts w:ascii="Consolas" w:hAnsi="Consolas" w:eastAsia="Consolas"/>
          <w:sz w:val="18"/>
        </w:rPr>
        <w:br w:type="textWrapping"/>
      </w:r>
      <w:r>
        <w:rPr>
          <w:rFonts w:ascii="Consolas" w:hAnsi="Consolas" w:eastAsia="Consolas"/>
          <w:sz w:val="18"/>
        </w:rPr>
        <w:t>Token = ConvPatchEmbedding(X, patch_size=16, stride=8)</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第 2 人修改：</w:t>
      </w:r>
      <w:r>
        <w:rPr>
          <w:rFonts w:ascii="Consolas" w:hAnsi="Consolas" w:eastAsia="Consolas"/>
          <w:sz w:val="18"/>
        </w:rPr>
        <w:br w:type="textWrapping"/>
      </w:r>
      <w:r>
        <w:rPr>
          <w:rFonts w:ascii="Consolas" w:hAnsi="Consolas" w:eastAsia="Consolas"/>
          <w:sz w:val="18"/>
        </w:rPr>
        <w:t>Token_s = ConvPatchEmbedding(X, patch_size=8, stride=4)</w:t>
      </w:r>
      <w:r>
        <w:rPr>
          <w:rFonts w:ascii="Consolas" w:hAnsi="Consolas" w:eastAsia="Consolas"/>
          <w:sz w:val="18"/>
        </w:rPr>
        <w:br w:type="textWrapping"/>
      </w:r>
      <w:r>
        <w:rPr>
          <w:rFonts w:ascii="Consolas" w:hAnsi="Consolas" w:eastAsia="Consolas"/>
          <w:sz w:val="18"/>
        </w:rPr>
        <w:t>Token_m = ConvPatchEmbedding(X, patch_size=16, stride=8)</w:t>
      </w:r>
      <w:r>
        <w:rPr>
          <w:rFonts w:ascii="Consolas" w:hAnsi="Consolas" w:eastAsia="Consolas"/>
          <w:sz w:val="18"/>
        </w:rPr>
        <w:br w:type="textWrapping"/>
      </w:r>
      <w:r>
        <w:rPr>
          <w:rFonts w:ascii="Consolas" w:hAnsi="Consolas" w:eastAsia="Consolas"/>
          <w:sz w:val="18"/>
        </w:rPr>
        <w:t>Token_l = ConvPatchEmbedding(X, patch_size=32, stride=16)</w:t>
      </w:r>
      <w:r>
        <w:rPr>
          <w:rFonts w:ascii="Consolas" w:hAnsi="Consolas" w:eastAsia="Consolas"/>
          <w:sz w:val="18"/>
        </w:rPr>
        <w:br w:type="textWrapping"/>
      </w:r>
      <w:r>
        <w:rPr>
          <w:rFonts w:ascii="Consolas" w:hAnsi="Consolas" w:eastAsia="Consolas"/>
          <w:sz w:val="18"/>
        </w:rPr>
        <w:t>Token = Fusion(Token_s, Token_m, Token_l)</w:t>
      </w:r>
    </w:p>
    <w:p w14:paraId="0EE559CF">
      <w:pPr>
        <w:pStyle w:val="4"/>
      </w:pPr>
      <w:r>
        <w:t>例 3：第 3 人把单编码器改为 TTSNet 并行编码</w:t>
      </w:r>
    </w:p>
    <w:p w14:paraId="769A3B98">
      <w:pPr>
        <w:ind w:left="283"/>
      </w:pPr>
      <w:r>
        <w:rPr>
          <w:rFonts w:ascii="Consolas" w:hAnsi="Consolas" w:eastAsia="Consolas"/>
          <w:sz w:val="18"/>
        </w:rPr>
        <w:t>原第 2 人：</w:t>
      </w:r>
      <w:r>
        <w:rPr>
          <w:rFonts w:ascii="Consolas" w:hAnsi="Consolas" w:eastAsia="Consolas"/>
          <w:sz w:val="18"/>
        </w:rPr>
        <w:br w:type="textWrapping"/>
      </w:r>
      <w:r>
        <w:rPr>
          <w:rFonts w:ascii="Consolas" w:hAnsi="Consolas" w:eastAsia="Consolas"/>
          <w:sz w:val="18"/>
        </w:rPr>
        <w:t>H = iTransformerEncoder(Token)</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第 3 人修改：</w:t>
      </w:r>
      <w:r>
        <w:rPr>
          <w:rFonts w:ascii="Consolas" w:hAnsi="Consolas" w:eastAsia="Consolas"/>
          <w:sz w:val="18"/>
        </w:rPr>
        <w:br w:type="textWrapping"/>
      </w:r>
      <w:r>
        <w:rPr>
          <w:rFonts w:ascii="Consolas" w:hAnsi="Consolas" w:eastAsia="Consolas"/>
          <w:sz w:val="18"/>
        </w:rPr>
        <w:t>H1 = iTransformerBranch(Token)</w:t>
      </w:r>
      <w:r>
        <w:rPr>
          <w:rFonts w:ascii="Consolas" w:hAnsi="Consolas" w:eastAsia="Consolas"/>
          <w:sz w:val="18"/>
        </w:rPr>
        <w:br w:type="textWrapping"/>
      </w:r>
      <w:r>
        <w:rPr>
          <w:rFonts w:ascii="Consolas" w:hAnsi="Consolas" w:eastAsia="Consolas"/>
          <w:sz w:val="18"/>
        </w:rPr>
        <w:t>H2 = TCNBranch(Token)</w:t>
      </w:r>
      <w:r>
        <w:rPr>
          <w:rFonts w:ascii="Consolas" w:hAnsi="Consolas" w:eastAsia="Consolas"/>
          <w:sz w:val="18"/>
        </w:rPr>
        <w:br w:type="textWrapping"/>
      </w:r>
      <w:r>
        <w:rPr>
          <w:rFonts w:ascii="Consolas" w:hAnsi="Consolas" w:eastAsia="Consolas"/>
          <w:sz w:val="18"/>
        </w:rPr>
        <w:t>H3 = MultiHeadSelfAttentionBranch(Token)</w:t>
      </w:r>
      <w:r>
        <w:rPr>
          <w:rFonts w:ascii="Consolas" w:hAnsi="Consolas" w:eastAsia="Consolas"/>
          <w:sz w:val="18"/>
        </w:rPr>
        <w:br w:type="textWrapping"/>
      </w:r>
      <w:r>
        <w:rPr>
          <w:rFonts w:ascii="Consolas" w:hAnsi="Consolas" w:eastAsia="Consolas"/>
          <w:sz w:val="18"/>
        </w:rPr>
        <w:t>H = Fusion(H1, H2, H3)</w:t>
      </w:r>
    </w:p>
    <w:p w14:paraId="28681B76">
      <w:pPr>
        <w:pStyle w:val="3"/>
      </w:pPr>
      <w:r>
        <w:rPr>
          <w:rFonts w:hint="eastAsia" w:eastAsia="宋体"/>
          <w:lang w:val="en-US" w:eastAsia="zh-CN"/>
        </w:rPr>
        <w:t>七</w:t>
      </w:r>
      <w:r>
        <w:t>、文献引用与来源链接</w:t>
      </w:r>
    </w:p>
    <w:p w14:paraId="4DAC79B2">
      <w:r>
        <w:t>[1] Liu, Y. et al. iTransformer: Inverted Transformers Are Effective for Time Series Forecasting. ICLR 2024. arXiv: https://arxiv.org/abs/2310.06625 ；官方代码：https://github.com/thuml/iTransformer</w:t>
      </w:r>
    </w:p>
    <w:p w14:paraId="4326D052">
      <w:r>
        <w:t>[2] Nie, Y. et al. A Time Series is Worth 64 Words: Long-term Forecasting with Transformers. ICLR 2023. arXiv: https://arxiv.org/abs/2211.14730 ；OpenReview：https://openreview.net/forum?id=Jbdc0vTOcol</w:t>
      </w:r>
    </w:p>
    <w:p w14:paraId="2F4C40F6">
      <w:r>
        <w:t>[3] Bai, S., Kolter, J. Z., Koltun, V. An Empirical Evaluation of Generic Convolutional and Recurrent Networks for Sequence Modeling. arXiv: https://arxiv.org/abs/1803.01271</w:t>
      </w:r>
    </w:p>
    <w:p w14:paraId="4BA004C2">
      <w:r>
        <w:t>[4] Li, Z. et al. TTSNet: Transformer-Temporal Convolutional Network-Self-Attention with Feature Fusion for Prediction of Remaining Useful Life of Aircraft Engines. Sensors, 2025. PubMed: https://pubmed.ncbi.nlm.nih.gov/39860801/ ；PMC 全文：https://pmc.ncbi.nlm.nih.gov/articles/PMC11769482/ ；DOI: https://doi.org/10.3390/s25020432</w:t>
      </w:r>
    </w:p>
    <w:p w14:paraId="7F681212">
      <w:r>
        <w:t>[5] Beltagy, I., Peters, M. E., Cohan, A. Longformer: The Long-Document Transformer. arXiv: https://arxiv.org/abs/2004.05150</w:t>
      </w:r>
    </w:p>
    <w:p w14:paraId="495BB7F9">
      <w:r>
        <w:t>[6] Zhou, H. et al. Informer: Beyond Efficient Transformer for Long Sequence Time-Series Forecasting. arXiv: https://arxiv.org/abs/2012.07436</w:t>
      </w:r>
    </w:p>
    <w:p w14:paraId="0076AA53">
      <w:r>
        <w:t>[7] Akiba, T. et al. Optuna: A Next-generation Hyperparameter Optimization Framework. arXiv: https://arxiv.org/abs/1907.10902 ；官网：https://optuna.org/</w:t>
      </w:r>
    </w:p>
    <w:p w14:paraId="74FE7F43">
      <w:r>
        <w:t>[8] NASA Prognostics Center of Excellence Data Set Repository. Turbofan Engine Degradation Simulation Data Set / C-MAPSS. NASA: https://www.nasa.gov/intelligent-systems-division/discovery-and-systems-health/pcoe/pcoe-data-set-repository/ ；NASA Open Data: https://data.nasa.gov/dataset/c-mapss-aircraft-engine-simulator-data</w:t>
      </w:r>
    </w:p>
    <w:p w14:paraId="15E97681">
      <w:pPr>
        <w:jc w:val="center"/>
      </w:pPr>
    </w:p>
    <w:sectPr>
      <w:pgSz w:w="12240" w:h="15840"/>
      <w:pgMar w:top="1247" w:right="1361"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9B65BF"/>
    <w:rsid w:val="2A6D73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3472</Words>
  <Characters>7015</Characters>
  <Lines>0</Lines>
  <Paragraphs>0</Paragraphs>
  <TotalTime>9</TotalTime>
  <ScaleCrop>false</ScaleCrop>
  <LinksUpToDate>false</LinksUpToDate>
  <CharactersWithSpaces>7709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侯翔译</cp:lastModifiedBy>
  <dcterms:modified xsi:type="dcterms:W3CDTF">2026-05-30T02:15:24Z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eyJoZGlkIjoiZDIwMDRiMGE3NzA5Y2EyOTI0MWVjZTE2NGYyYWU4OWEiLCJ1c2VySWQiOiIxNjIyNDcyMDE4In0=</vt:lpwstr>
  </property>
  <property fmtid="{D5CDD505-2E9C-101B-9397-08002B2CF9AE}" pid="3" name="KSOProductBuildVer">
    <vt:lpwstr>2052-12.1.0.23542</vt:lpwstr>
  </property>
  <property fmtid="{D5CDD505-2E9C-101B-9397-08002B2CF9AE}" pid="4" name="ICV">
    <vt:lpwstr>04879A8EE2574F4BB30CEF6B749CDFCD_12</vt:lpwstr>
  </property>
</Properties>
</file>