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32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研究方法</w:t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56"/>
        </w:rPr>
        <w:t>数据安全专利识别方法</w:t>
      </w:r>
    </w:p>
    <w:p>
      <w:pPr>
        <w:spacing w:after="560"/>
        <w:jc w:val="center"/>
      </w:pPr>
      <w:r>
        <w:rPr>
          <w:rFonts w:ascii="Arial Unicode MS" w:hAnsi="Arial Unicode MS" w:eastAsia="Arial Unicode MS" w:cs="Arial Unicode MS"/>
          <w:color w:val="5E6A7D"/>
          <w:sz w:val="30"/>
        </w:rPr>
        <w:t>从关键词召回、模型初分类到人工真值与最终认证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color w:val="5E6A7D"/>
          <w:sz w:val="22"/>
        </w:rPr>
        <w:t>论文方法章节写作稿 | 版本 1.0</w:t>
      </w:r>
    </w:p>
    <w:p>
      <w:pPr>
        <w:jc w:val="center"/>
      </w:pPr>
      <w:r>
        <w:rPr>
          <w:rFonts w:ascii="Arial Unicode MS" w:hAnsi="Arial Unicode MS" w:eastAsia="Arial Unicode MS" w:cs="Arial Unicode MS"/>
          <w:color w:val="5E6A7D"/>
          <w:sz w:val="22"/>
        </w:rPr>
        <w:t>2026 年 7 月 13 日</w:t>
      </w:r>
    </w:p>
    <w:p>
      <w:r>
        <w:br w:type="page"/>
      </w:r>
    </w:p>
    <w:p>
      <w:pPr>
        <w:pStyle w:val="Heading1"/>
        <w:keepNext/>
      </w:pPr>
      <w:r>
        <w:t>一、方法说明</w:t>
      </w:r>
    </w:p>
    <w:p>
      <w:pPr>
        <w:pStyle w:val="StatusNote"/>
        <w:shd w:fill="EEF4FA" w:val="clear"/>
        <w:pBdr>
          <w:top w:val="nil"/>
          <w:left w:val="nil"/>
          <w:bottom w:val="nil"/>
          <w:right w:val="nil"/>
        </w:pBdr>
        <w:spacing w:before="100" w:after="240"/>
      </w:pPr>
      <w:r>
        <w:rPr>
          <w:rFonts w:ascii="Arial Unicode MS" w:hAnsi="Arial Unicode MS" w:eastAsia="Arial Unicode MS" w:cs="Arial Unicode MS"/>
          <w:color w:val="172033"/>
          <w:sz w:val="21"/>
        </w:rPr>
        <w:t>为使研究过程具备可复核性，以下各步骤均按照“执行主体-判断依据-输入数据-使用工具-处理过程- 输出结果”的顺序说明。论文定稿时，已经实际完成的程序和抽样步骤应使用过去时报告；尚未完成的人工 标注、模型训练和最终评价只能表述为预注册方案或待实施步骤，不能提前写成已经得到的实证结果。截至 2026 年 7 月 13 日，本项目已经完成词表构建、2021 年数据的 Step 1 召回、Step 2 初分类及 2,000 件 Gold 样本抽取；两名标注者的标签、仲裁结果、Gold 划分、Silver 构建、学生模型训练、Locked Test 评价和 E 层认证尚未形成最终结果。</w:t>
      </w:r>
    </w:p>
    <w:p>
      <w:pPr>
        <w:keepLines/>
      </w:pPr>
      <w:r>
        <w:rPr>
          <w:rFonts w:ascii="Arial Unicode MS" w:hAnsi="Arial Unicode MS" w:eastAsia="Arial Unicode MS" w:cs="Arial Unicode MS"/>
          <w:color w:val="172033"/>
          <w:sz w:val="22"/>
        </w:rPr>
        <w:t>本研究以唯一专利为分析单位，依次完成候选召回、模型初分类、人工真值构建、伪标签校准、候选模型训练、独立测试、E 层认证和全量识别。关键词层级只承担召回和审计功能，不能直接替代最终类别；G0 标签属于模型初始判断，也不能替代人工 Gold 真值。</w:t>
      </w:r>
    </w:p>
    <w:p>
      <w:pPr>
        <w:pStyle w:val="Heading1"/>
        <w:keepNext/>
      </w:pPr>
      <w:r>
        <w:t>二、流程概览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确定数据安全专利的概念边界并编制检索词表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清洗原始数据并确定唯一专利分析单位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利用关键词和局部上下文形成 S/W/R/E 召回层级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构建 G0 分类任务池并对 E 层进行概率抽样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使用 GLM-5.2 对任务池执行证据约束的初始三分类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依据 G0 结果抽取人工 Gold 标注样本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实施双人独立盲标和冲突仲裁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在任何调参前划分 Gold Train、Gold Dev 和 Locked Test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利用 Gold Train/Dev 校准 G0 并构建 Silver Set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使用相同监督资源训练学生模型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在同一 Locked Test 上评价并选择最终识别器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对 E 层执行排除认证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执行全量识别并构造公司-年度指标</w:t>
      </w:r>
    </w:p>
    <w:p>
      <w:pPr>
        <w:spacing w:after="80" w:line="290" w:lineRule="auto"/>
        <w:jc w:val="lef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保存全过程审计信息并保证可复现性</w:t>
      </w:r>
    </w:p>
    <w:p>
      <w:pPr>
        <w:pStyle w:val="Heading1"/>
        <w:keepNext/>
      </w:pPr>
      <w:r>
        <w:t>三、专利识别的规范化实施步骤</w:t>
      </w:r>
    </w:p>
    <w:p>
      <w:pPr/>
      <w:r>
        <w:rPr>
          <w:rFonts w:ascii="Arial Unicode MS" w:hAnsi="Arial Unicode MS" w:eastAsia="Arial Unicode MS" w:cs="Arial Unicode MS"/>
          <w:color w:val="172033"/>
          <w:sz w:val="22"/>
        </w:rPr>
        <w:t>以下步骤统一按照“执行主体、判断依据、输入数据、使用工具、处理过程、输出结果”的结构展开。</w:t>
      </w:r>
    </w:p>
    <w:p>
      <w:pPr>
        <w:pStyle w:val="Heading2"/>
        <w:keepNext/>
      </w:pPr>
      <w:r>
        <w:t>步骤 1：确定数据安全专利的概念边界并编制检索词表</w:t>
      </w:r>
    </w:p>
    <w:p>
      <w:pPr>
        <w:pStyle w:val="StatusNote"/>
        <w:shd w:fill="E8F3EC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已完成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由研究设计人员负责概念界定、来源核验和词表分层，程序开发人员负责将规则转化为 版本化配置文件。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以《中华人民共和国数据安全法》《中华人民共和国个人信息保护法》《网络数据安全 管理条例》等规范中的数据处理和安全保护定义为法律边界，以数据保密性、完整性、可用性以及访问 控制、隐私计算、完整性验证、审计追踪等技术机制为技术边界，并参考国家标准、行业标准、WIPO IPC 文件和相关原始研究文献补充专业术语。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法律法规、标准、IPC 分类文件、隐私计算和数据保护研究文献，以及 2021 年专利样本 中可复现的误判案例。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版本化的 config/taxonomy/docs_taxonomy.json、来源注册表和人工来源审查记录。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研究人员根据术语对数据安全的专指程度，将其划分为 S（强召回）、W（弱召回）、 R（泛安全召回）和 E（不能单独形成正向证据）四级；为每个词组登记概念、匹配策略和来源 ID。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形成可追溯、可版本控制的 DOCS taxonomy。S/W/R/E 只表示进入后续模型的召回强度， 不作为专利的最终类别标签。</w:t>
      </w:r>
    </w:p>
    <w:p>
      <w:pPr>
        <w:pStyle w:val="Heading2"/>
        <w:keepNext/>
      </w:pPr>
      <w:r>
        <w:t>步骤 2：清洗原始数据并确定唯一专利分析单位</w:t>
      </w:r>
    </w:p>
    <w:p>
      <w:pPr>
        <w:pStyle w:val="StatusNote"/>
        <w:shd w:fill="E8F3EC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已完成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由数据处理程序执行，研究人员负责检查字段映射和去重规则。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Gold 标注、模型训练和最终统计都应以一件唯一专利为分析单位，不能把同一专利与多家 上市公司的关联行重复视为多件专利。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上市公司多年度专利明细 CSV，包括申请号、公开号、授权号、专利名称、摘要、主权项、 IPC 分类号、IPC 主分类号及公司-专利关联字段。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Python 数据读取模块 records.py 及统一字段别名表。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程序执行 UTF-8/BOM 处理、字段名映射和单元格清洗，并依次以申请号、公开号、授权号 构造 patent_id；三者均缺失时使用原始行号生成审计 ID。同一 patent_id 在多个路由层级出现时只 保留最高层级，在模型调用阶段只请求一次。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形成带有 patent_id、原始行号和来源年份的规范化唯一专利记录，同时保留公司-专利 关系，供最终结果回接。</w:t>
      </w:r>
    </w:p>
    <w:p>
      <w:pPr>
        <w:pStyle w:val="Heading2"/>
        <w:keepNext/>
      </w:pPr>
      <w:r>
        <w:t>步骤 3：利用关键词和局部上下文形成 S/W/R/E 召回层级</w:t>
      </w:r>
    </w:p>
    <w:p>
      <w:pPr>
        <w:pStyle w:val="StatusNote"/>
        <w:shd w:fill="E8F3EC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已完成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由本地确定性检索程序执行，不调用大语言模型；研究人员负责抽查命中证据。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依据步骤 1 冻结的 taxonomy、最长短语优先规则和局部上下文共现规则进行路由。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每件专利的摘要文本和主权项内容。专利名称、申请人、企业、行业和 IPC 不参与当前 keyword_level 的计算。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scripts/step1_keyword_extraction.py、PatentRouter、Unicode NFKC 规范化和 Aho–Corasick 多模式字符串匹配算法。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程序统一全角/半角字符、英文字母大小写和连续空格，然后按最长短语优先原则识别关键词； 对需要上下文约束的词项，优先检查关键词所在完整句，缺少可靠句界时检查左右各 48 个字符。程序同时 保存保护对象、数据生命周期动作、保护动作、安全目标和威胁词的局部共现信息。若同一专利命中多个 层级，则按 S &gt; W &gt; R &gt; E 取最高层级；生产安全、行车安全等邻近领域词只记录为诊断信息，不直接 覆盖已有命中。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分别生成 keyword_S_&lt;year&gt;.csv、keyword_W_&lt;year&gt;.csv、 keyword_R_&lt;year&gt;.csv 和 keyword_E_&lt;year&gt;.csv。每条命中保留关键词、字段、位置、原文片段、 上下文范围和来源 ID，因而可以复核一件专利为何进入相应层级。</w:t>
      </w:r>
    </w:p>
    <w:p>
      <w:pPr>
        <w:pStyle w:val="Heading2"/>
        <w:keepNext/>
      </w:pPr>
      <w:r>
        <w:t>步骤 4：构建 G0 分类任务池并对 E 层进行概率抽样</w:t>
      </w:r>
    </w:p>
    <w:p>
      <w:pPr>
        <w:pStyle w:val="StatusNote"/>
        <w:shd w:fill="E8F3EC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已完成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 Step 2 任务准备程序执行，研究人员预先冻结抽样概率和随机 seed。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S/W/R 属于正向召回候选，应全部进入初分类；E 不等于最终无关，需要保留概率样本估计 Step 1 的漏召风险。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步骤 3 的四个路由文件及规范化后的原始专利记录。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scripts/step2_llm_classification.py prepare、BLAKE2b 稳定哈希抽样和 SQLite 任务状态数据库。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程序按 S、W、R、E 的顺序对 patent_id 去重，将 S/W/R 唯一专利全部纳入任务池； 对排除 S/W/R 后的 E 唯一专利，以固定 seed 和 patent_id 执行 2% 稳定概率抽样。S/W/R 的 selection_probability 和 sample_weight 分别为 1 和 1，E 样本分别为 0.02 和 50。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2021 年形成 22,318 件 G0 任务，其中 S 997 件、W 662 件、R 8,636 件，另从 597,815 件 E 唯一专利中抽取 12,023 件。sample_weight=50 仅用于 E 总体推断，不能直接作为模型 训练权重。</w:t>
      </w:r>
    </w:p>
    <w:p>
      <w:pPr>
        <w:pStyle w:val="Heading2"/>
        <w:keepNext/>
      </w:pPr>
      <w:r>
        <w:t>步骤 5：使用 GLM-5.2 对任务池执行证据约束的初始三分类</w:t>
      </w:r>
    </w:p>
    <w:p>
      <w:pPr>
        <w:pStyle w:val="StatusNote"/>
        <w:shd w:fill="E8F3EC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已完成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由冻结 Prompt 驱动的 GLM-5.2（G0）执行自动初分类，程序负责输入隔离、Schema 校验、失败重试和过程记录。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依据“保护对象或处理活动（A）-安全目标或风险（B）-技术机制（C）-直接效果与 发明中心性（D）”证据链进行判断。证据链闭合为类别 1；存在实质性正向证据但关键链路缺失为类别 2； 其余为类别 3。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模型只接收专利名称、摘要、主权项、IPC 分类号和 IPC 主分类号，不接收 S/W/R/E 层级、关键词命中、风险抽样组或其他 Step 1 诊断字段，以避免关键词先验锚定模型判断。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火山方舟 Responses API、请求模型 glm-5.2、实际模型版本 glm-5-2-260617、Prompt 版本 data-security-three-class-v2.1.0、Pydantic Schema 和 可恢复 SQLite 状态库。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G0 逐件概括核心发明，分别填写 A-D 证据链，从输入文本摘录 1–3 条原文证据，再输出 cat、confidence、subtype、理由和人工复核标记。非法 JSON、类别与 subtype 冲突或必填证据 缺失均判为无效响应并按预设规则重试，超过最大次数则记录失败，不允许伪造标签。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生成 classification_results_&lt;year&gt;.csv、SQLite 状态库和进度文件。2021 年 22,318 件任务均已成功完成。G0 输出属于初始模型标签和后续教师信号，不属于人工真值。</w:t>
      </w:r>
    </w:p>
    <w:p>
      <w:pPr>
        <w:pStyle w:val="Heading2"/>
        <w:keepNext/>
      </w:pPr>
      <w:r>
        <w:t>步骤 6：依据 G0 结果抽取人工 Gold 标注样本</w:t>
      </w:r>
    </w:p>
    <w:p>
      <w:pPr>
        <w:pStyle w:val="StatusNote"/>
        <w:shd w:fill="E8F3EC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已完成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由可复现的分层抽样程序执行；研究协调人保管完整审计表，并向标注者发放盲化文件。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Gold 样本既要代表 S/W/R 总体，又要覆盖 G0 可能发生错误的高风险区域。E 层不进入 常规大规模 Gold，而留待最终模型确定后进行排除认证。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Step 2 状态库中的年度、keyword_level、G0 类别、置信度区间、subtype、 review_flag、请求次数和处理状态。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scripts/step3_gold_sampling.py、固定 seed step3-gold-v1 和分层不放回简单随机 抽样程序。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程序从 10,295 件 S/W/R 成功任务中抽取 2,000 件，其中 1,500 件构成代表性随机核心， 按“年度 × S/W/R × G0 类别 × 置信度区间”分层；500 件为风险加抽，重点覆盖类别 2 或待复核、重试后 成功、罕见 subtype、高置信 S/W -&gt; 类别 3 冲突以及其余 S/W/R -&gt; 类别 3。最终在互斥细分层内执行一次 不放回简单随机抽样，记录入样概率 n_h/N_h 和评价权重 N_h/n_h。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生成 2,000 件盲化 Gold 样本、A/B 两份独立标注表、仲裁模板、抽样分层表和仅供协调人 使用的审计表。风险加抽样本的未加权平均结果不得直接代表总体性能。</w:t>
      </w:r>
    </w:p>
    <w:p>
      <w:pPr>
        <w:pStyle w:val="Heading2"/>
        <w:keepNext/>
      </w:pPr>
      <w:r>
        <w:t>步骤 7：实施双人独立盲标和冲突仲裁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由两名经过统一培训的标注者独立完成第一轮标注；类别冲突、任一方选择类别 2 或证据链 冲突时，由第三名仲裁者或项目负责人裁决；研究协调人负责盲法和文件冻结。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人工标注使用与 G0 相同的 A-B-C-D 定义，但不得参考 G0 的判断。类别 2 只表示存在 实质性正向证据但关键链路无法确定，不得作为“看不懂”的收容类别。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标注者只能查看专利名称、摘要、主权项、IPC 分类号和 IPC 主分类号；不得查看关键词 层级、G0 类别与置信度、抽样风险组、评价权重或另一名标注者的结果。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annotation_round1_A.csv、annotation_round1_B.csv、统一标注指南和冻结后的 adjudication_template.csv。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标注者先概括核心发明，再依次填写 A-D 证据链和原文证据，最后给出类别、置信度及复核 状态。双方提交冻结后，协调人合并记录；类别一致且均非类别 2 的样本保留两份原始判断，其余进入仲裁。 确实无法解析的样本标记为 unresolved，不得强行生成普通训练硬标签。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形成 final_human_cat、完整证据链和仲裁状态，并报告原始一致率、Cohen's Kappa 或 Krippendorff's Alpha、冲突率、仲裁率和 unresolved 比例。当前 A/B 标注表和仲裁表尚为空模板，因此 不能声称已经获得人工 Gold 真值。</w:t>
      </w:r>
    </w:p>
    <w:p>
      <w:pPr>
        <w:pStyle w:val="Heading2"/>
        <w:keepNext/>
      </w:pPr>
      <w:r>
        <w:t>步骤 8：在任何调参前划分 Gold Train、Gold Dev 和 Locked Test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由独立的数据管理程序按照预注册 seed 完成划分，模型开发人员不得查看 Locked Test 标签。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训练、阈值选择和最终测试必须相互隔离；同一专利族、重复申请和文本近重复不得跨分区， 以避免信息泄漏。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完成仲裁的人工 Gold 样本、专利族标识、规范化文本哈希、年度、人工类别、S/W/R 层级 和抽样分层信息。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分组分层划分程序、文本哈希和近重复检测程序。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先按专利族和近重复关系建立不可拆分的样本组，再按年度、人工类别、S/W/R 和抽样层进行 分层划分。目标规模为 Gold Train 约 1,000 件、Gold Dev 约 400 件、Locked Test 约 600 件。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Gold Train 用于误差分析和模型训练，Gold Dev 用于阈值、Prompt、超参数和 Silver 规则 选择，Locked Test 封存并仅用于所有候选配置冻结后的最终一次评价。</w:t>
      </w:r>
    </w:p>
    <w:p>
      <w:pPr>
        <w:pStyle w:val="Heading2"/>
        <w:keepNext/>
      </w:pPr>
      <w:r>
        <w:t>步骤 9：利用 Gold Train/Dev 校准 G0 并构建 Silver Set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由模型开发人员拟合校准器和制定 Silver 规则，研究负责人负责在查看 Locked Test 前冻结 接受阈值。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G0 的原始 confidence 是模型自评，不等于标签正确概率；Silver 标签必须利用人工 Gold 估计可靠度后才能进入学生模型训练。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Gold Train/Dev、排除所有 Gold 后的剩余 G0 结果，以及 G0 类别、置信度、S/W/R 层级、 subtype、review_flag、证据有效性、重试次数和年份等风险特征。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逻辑回归或 Isotonic Regression 校准器，以及待实现的 Step 4 Silver 构建脚本。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仅在 Gold Train 上估计标签正确概率 q_i 和人工类别 1 概率 p1_i；仅在 Gold Dev 上选择保留门槛和质量权重。构建 Silver 前排除全部 Gold、同专利族和文本近重复记录，再将候选划分为 A（高可靠硬标签）、B（中等可靠并降权）、C（类别 2 或高风险，不作普通硬标签）和 D（异常，排除）。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形成带校准概率、Silver 等级、质量权重、类别权重和排除原因的 Silver Set。E 层的 sample_weight=50 不得作为训练权重。</w:t>
      </w:r>
    </w:p>
    <w:p>
      <w:pPr>
        <w:pStyle w:val="Heading2"/>
        <w:keepNext/>
      </w:pPr>
      <w:r>
        <w:t>步骤 10：使用相同监督资源训练学生模型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由模型开发人员分别训练文本分类器和中等体量 SFT LLM，并由程序记录配置、随机 seed 和 checkpoint 选择过程。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不同候选模型必须使用相同的 Gold Train、Silver 集合、硬标签和类别平衡原则，才能进行 公平比较。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Gold Train、冻结后的 A/B 级 Silver、专利名称、摘要、主权项和约定的 IPC 文本字段。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中文 RoBERTa/MacBERT 编码器加分类头，以及支持监督微调的中等体量 LLM 训练框架； 具体基础模型、版本、优化器和超参数须在实际训练后完整报告。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至少训练 R0（仅 Gold）、Ralpha（Gold+Silver）、L0（仅 Gold SFT）和 Lalpha （Gold+Silver SFT）四组配置；每组至少使用三个随机 seed。若 SFT 框架不支持逐样本权重，则通过只 使用 A 级 Silver、按权重重采样或控制重复次数近似实现相同训练强度。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得到配置冻结的候选模型和 Gold Dev 上选择的决策阈值。学生模型置信度只能用于 Dev 阈值选择和复核排序，不能替代人工测试结果。</w:t>
      </w:r>
    </w:p>
    <w:p>
      <w:pPr>
        <w:pStyle w:val="Heading2"/>
        <w:keepNext/>
      </w:pPr>
      <w:r>
        <w:t>步骤 11：在同一 Locked Test 上评价并选择最终识别器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由独立评价程序在候选配置全部冻结后执行；模型开发人员不得根据 Locked Test 结果返回 修改 Prompt、Silver 规则、超参数或 checkpoint。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最终模型必须在同一人工真值测试集上与关键词基线和 G0 进行配对比较，并服从预先登记的 选择规则。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封存的 Locked Test，以及 Keyword-S、Keyword-SW、Keyword-SWR、G0、R0、Ralpha、L0、 Lalpha 和实际完成推理的其他候选模型输出。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混淆矩阵、类别 1 Precision/Recall/F1、Macro-F1、拒判率、自动覆盖率、95% 置信区间、 逐条配对 Bootstrap；Accuracy 差异可辅以 McNemar 检验。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先检验类别 1 Precision 是否达到在 Gold Dev 上预先登记的下限 P_min；仅在满足 P_min 的模型中选择类别 1 Recall 最高者，Recall 接近时再比较 F1、Macro-F1 和拒判率。抽样 Gold 的总体指标使用入样概率或评价权重估计。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确定最终识别器并报告与 G0、关键词基线及其他候选模型之间的配对差异和不确定性。若 根据测试结果继续开发，则必须建立新的独立测试集，原 Locked Test 不再具有无偏最终评价资格。</w:t>
      </w:r>
    </w:p>
    <w:p>
      <w:pPr>
        <w:pStyle w:val="Heading2"/>
        <w:keepNext/>
      </w:pPr>
      <w:r>
        <w:t>步骤 12：对 E 层执行排除认证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由最终识别器重新分类既有 E 层 2% 概率样本，人工复核人员对风险样本进行核验，统计 人员估计残余漏召风险。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E 只是“未被关键词召回”，不能未经验证直接视为负类。只有残余正类风险满足预先登记的 上界条件，才能在论文中说明普通 E 样本可以排除。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既有 12,023 件 E 概率样本、最终模型输出及其原始专利文本。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最终识别模型、人工复核表和带 95% 置信区间的概率估计程序。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对最终模型判为类别 1 的 E 样本原则上全部或高比例核验，对类别 2 全部或高比例核验， 对类别 3 随机抽取认证样本；估计 p_E=P(人工类别1 | route=E)、E 层漏召数量、p_E 的 95% 上界 和关键词召回率的 95% 下界。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当 U95(p_E) ≤ delta 且 L95(Recall_keyword) &gt;= tau 时通过认证；否则扩大 E 样本、 修订词表或上下文规则，并用新的独立样本重新验证。</w:t>
      </w:r>
    </w:p>
    <w:p>
      <w:pPr>
        <w:pStyle w:val="Heading2"/>
        <w:keepNext/>
      </w:pPr>
      <w:r>
        <w:t>步骤 13：执行全量识别并构造公司-年度指标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由冻结后的最终推理程序执行，人工复核人员处理拒判和状态变化样本，数据管理人员负责 回接公司-专利关系。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最终数据集应优先采用已仲裁的人工标签；其余记录使用冻结模型、版本和阈值生成的输出， 并保留来源、抽样和处理状态。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所有年度 S/W/R 唯一专利、通过认证的 E 层处理结果、人工 final_label、最终模型输出 以及原始公司-专利关联表。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待实现的最终推理脚本、复核队列和申请号映射程序。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锁定模型版本、Prompt/训练配置和决策阈值后，对所有年度唯一专利执行推理；对拒判和 相对 G0 发生状态变化的样本建立复核队列；随后合并人工标签、模型结果、入样概率、评价权重和过程 状态，并按申请号映射回上市公司。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形成最终数据安全专利明细，以及企业-年度层面的数据安全专利数量、质量或加权创新 指标，供后续计量分析和稳健性检验使用。</w:t>
      </w:r>
    </w:p>
    <w:p>
      <w:pPr>
        <w:pStyle w:val="Heading2"/>
        <w:keepNext/>
      </w:pPr>
      <w:r>
        <w:t>步骤 14：保存全过程审计信息并保证可复现性</w:t>
      </w:r>
    </w:p>
    <w:p>
      <w:pPr>
        <w:pStyle w:val="StatusNote"/>
        <w:shd w:fill="F2F4F7" w:val="clear"/>
        <w:pBdr>
          <w:top w:val="nil"/>
          <w:left w:val="nil"/>
          <w:bottom w:val="nil"/>
          <w:right w:val="nil"/>
        </w:pBdr>
        <w:keepNext/>
        <w:keepLines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当前状态：</w:t>
      </w:r>
      <w:r>
        <w:rPr>
          <w:rFonts w:ascii="Arial Unicode MS" w:hAnsi="Arial Unicode MS" w:eastAsia="Arial Unicode MS" w:cs="Arial Unicode MS"/>
          <w:color w:val="172033"/>
          <w:sz w:val="21"/>
        </w:rPr>
        <w:t>待实施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执行主体：</w:t>
      </w:r>
      <w:r>
        <w:rPr>
          <w:rFonts w:ascii="Arial Unicode MS" w:hAnsi="Arial Unicode MS" w:eastAsia="Arial Unicode MS" w:cs="Arial Unicode MS"/>
          <w:color w:val="172033"/>
          <w:sz w:val="22"/>
        </w:rPr>
        <w:t>由各步骤程序自动记录，研究负责人负责冻结版本、检查数据清单并在论文及附录中披露。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判断依据：</w:t>
      </w:r>
      <w:r>
        <w:rPr>
          <w:rFonts w:ascii="Arial Unicode MS" w:hAnsi="Arial Unicode MS" w:eastAsia="Arial Unicode MS" w:cs="Arial Unicode MS"/>
          <w:color w:val="172033"/>
          <w:sz w:val="22"/>
        </w:rPr>
        <w:t>任何人工修订、重新抽样、模型更新或规则变更都可能改变研究结果，必须保留原始版本和 变更原因。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输入数据：</w:t>
      </w:r>
      <w:r>
        <w:rPr>
          <w:rFonts w:ascii="Arial Unicode MS" w:hAnsi="Arial Unicode MS" w:eastAsia="Arial Unicode MS" w:cs="Arial Unicode MS"/>
          <w:color w:val="172033"/>
          <w:sz w:val="22"/>
        </w:rPr>
        <w:t>各阶段输入文件、配置文件、随机 seed、模型版本、Prompt 版本、日志、哈希、抽样概率、 标注和仲裁记录。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使用工具：</w:t>
      </w:r>
      <w:r>
        <w:rPr>
          <w:rFonts w:ascii="Arial Unicode MS" w:hAnsi="Arial Unicode MS" w:eastAsia="Arial Unicode MS" w:cs="Arial Unicode MS"/>
          <w:color w:val="172033"/>
          <w:sz w:val="22"/>
        </w:rPr>
        <w:t>版本控制、SQLite 状态库、CSV/JSON 审计文件、文件 SHA-256 和不可覆盖的提交记录。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处理过程：</w:t>
      </w:r>
      <w:r>
        <w:rPr>
          <w:rFonts w:ascii="Arial Unicode MS" w:hAnsi="Arial Unicode MS" w:eastAsia="Arial Unicode MS" w:cs="Arial Unicode MS"/>
          <w:color w:val="172033"/>
          <w:sz w:val="22"/>
        </w:rPr>
        <w:t>为每一步保存输入清单、代码和 taxonomy 版本、运行参数、失败记录、输出哈希及时间戳； 任何重新抽样或标签修改均生成新版本，不覆盖已经进入人工流程或正式评价的冻结文件。</w:t>
      </w:r>
    </w:p>
    <w:p>
      <w:pPr>
        <w:keepLines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输出结果：</w:t>
      </w:r>
      <w:r>
        <w:rPr>
          <w:rFonts w:ascii="Arial Unicode MS" w:hAnsi="Arial Unicode MS" w:eastAsia="Arial Unicode MS" w:cs="Arial Unicode MS"/>
          <w:color w:val="172033"/>
          <w:sz w:val="22"/>
        </w:rPr>
        <w:t>形成可由第三方复核的研究审计链，使论文中的样本规模、模型结果和最终统计指标能够从 原始专利数据稳定复现。</w:t>
      </w:r>
    </w:p>
    <w:p>
      <w:pPr>
        <w:pStyle w:val="Heading1"/>
        <w:keepNext/>
      </w:pPr>
      <w:r>
        <w:t>四、论文写作与结果报告注意事项</w:t>
      </w:r>
    </w:p>
    <w:p>
      <w:pPr>
        <w:spacing w:after="120"/>
        <w:jc w:val="both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S/W/R/E 是候选召回强度，不是最终分类标签；论文不得把关键词命中数量直接表述为数据安全专利数量。</w:t>
      </w:r>
    </w:p>
    <w:p>
      <w:pPr>
        <w:spacing w:after="120"/>
        <w:jc w:val="both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G0 是初始模型标签和教师信号，不是人工真值；最终性能必须以独立人工 Locked Test 为依据。</w:t>
      </w:r>
    </w:p>
    <w:p>
      <w:pPr>
        <w:spacing w:after="120"/>
        <w:jc w:val="both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E 层 sample_weight=50 用于总体推断，不得直接用作学生模型训练权重。</w:t>
      </w:r>
    </w:p>
    <w:p>
      <w:pPr>
        <w:spacing w:after="120"/>
        <w:jc w:val="both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Locked Test 不得参与 Prompt 编写、Silver 构建、阈值选择、模型训练、超参数选择或失败后的规则修补。</w:t>
      </w:r>
    </w:p>
    <w:p>
      <w:pPr>
        <w:spacing w:after="120"/>
        <w:jc w:val="both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尚未实际完成的步骤应使用“拟”“将”或“预注册方案”等表述，不能写成已经取得的研究结果。</w:t>
      </w:r>
    </w:p>
    <w:p>
      <w:pPr>
        <w:pStyle w:val="Heading1"/>
        <w:keepNext/>
      </w:pPr>
      <w:r>
        <w:t>五、主要方法依据</w:t>
      </w:r>
    </w:p>
    <w:p>
      <w:pPr>
        <w:spacing w:after="80"/>
        <w:jc w:val="lef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《中华人民共和国数据安全法》；</w:t>
      </w:r>
    </w:p>
    <w:p>
      <w:pPr>
        <w:spacing w:after="80"/>
        <w:jc w:val="lef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《中华人民共和国个人信息保护法》；</w:t>
      </w:r>
    </w:p>
    <w:p>
      <w:pPr>
        <w:spacing w:after="80"/>
        <w:jc w:val="lef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《网络数据安全管理条例》；</w:t>
      </w:r>
    </w:p>
    <w:p>
      <w:pPr>
        <w:spacing w:after="80"/>
        <w:jc w:val="lef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项目方法设计基线：数据安全专利识别方法全流程（版本 1.0.0）；</w:t>
      </w:r>
    </w:p>
    <w:p>
      <w:pPr>
        <w:spacing w:after="80"/>
        <w:jc w:val="lef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Human Gold 独立标注指南（版本 1.0.0）；</w:t>
      </w:r>
    </w:p>
    <w:p>
      <w:pPr>
        <w:spacing w:after="80"/>
        <w:jc w:val="lef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color w:val="172033"/>
          <w:sz w:val="22"/>
        </w:rPr>
        <w:t>中国数据安全专利 DOCS 四级路由体系（taxonomy 版本 1.1.0）。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E6A7D"/>
        <w:sz w:val="18"/>
      </w:rPr>
      <w:t xml:space="preserve">第 </w:t>
    </w:r>
    <w:fldSimple w:instr="PAGE">
      <w:r>
        <w:rPr>
          <w:rFonts w:ascii="Arial Unicode MS" w:hAnsi="Arial Unicode MS" w:eastAsia="Arial Unicode MS" w:cs="Arial Unicode MS"/>
          <w:sz w:val="18"/>
          <w:color w:val="5E6A7D"/>
        </w:rPr>
        <w:t>1</w:t>
      </w:r>
    </w:fldSimple>
    <w:r>
      <w:rPr>
        <w:rFonts w:ascii="Arial Unicode MS" w:hAnsi="Arial Unicode MS" w:eastAsia="Arial Unicode MS" w:cs="Arial Unicode MS"/>
        <w:color w:val="5E6A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color w:val="5E6A7D"/>
        <w:sz w:val="18"/>
      </w:rPr>
      <w:t>数据安全专利识别方法 | 研究方法写作稿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 Unicode MS" w:hAnsi="Arial Unicode MS" w:eastAsia="Arial Unicode MS" w:cs="Arial Unicode M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 Unicode MS" w:hAnsi="Arial Unicode MS" w:eastAsia="Arial Unicode MS" w:cs="Arial Unicode M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 Unicode MS" w:hAnsi="Arial Unicode MS" w:eastAsia="Arial Unicode MS" w:cs="Arial Unicode M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 Unicode MS" w:hAnsi="Arial Unicode MS" w:eastAsia="Arial Unicode MS" w:cs="Arial Unicode M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9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 Unicode MS" w:hAnsi="Arial Unicode MS" w:eastAsia="Arial Unicode MS" w:cs="Arial Unicode MS"/>
      <w:b w:val="0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Note">
    <w:name w:val="Status Note"/>
    <w:pPr>
      <w:spacing w:before="0" w:after="160" w:line="276" w:lineRule="auto"/>
      <w:ind w:left="173" w:right="173"/>
    </w:pPr>
    <w:rPr>
      <w:rFonts w:ascii="Arial Unicode MS" w:hAnsi="Arial Unicode MS" w:eastAsia="Arial Unicode MS" w:cs="Arial Unicode MS"/>
      <w:b w:val="0"/>
      <w:color w:val="5E6A7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 Unicode MS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 Unicode MS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数据安全专利识别方法：论文写作版</dc:title>
  <dc:subject>专利识别研究方法与实施步骤</dc:subject>
  <dc:creator>专利数据安全研究项目</dc:creator>
  <cp:keywords>数据安全专利, 专利识别, Gold Corpus, Silver Set, Locked Test</cp:keywords>
  <dc:description>依据项目方法设计基线整理。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