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AP Chemistry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Experiment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qvffz5xeyz" w:id="1"/>
      <w:bookmarkEnd w:id="1"/>
      <w:r w:rsidDel="00000000" w:rsidR="00000000" w:rsidRPr="00000000">
        <w:rPr>
          <w:rtl w:val="0"/>
        </w:rPr>
        <w:t xml:space="preserve">Spectrophotometry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Beers law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relationship between Absorbance and concentration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m:oMath>
        <m:r>
          <w:rPr/>
          <m:t xml:space="preserve">A=abc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Gravimetric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Disolve compound in water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to evaporate water, and make sure constant mass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and dry to get just mass of the compound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find percent mass among other things with this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Titrations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Place an indicator around the pH of the equivalence point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Keep the analyte below the titrant and slowly add the titrant using a burette.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initial and final volumes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color change occurs, stop titrating and note the final volume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at equivalence point, mols acid = mols base, use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to find the unknown molarity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Kinetics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Using Beers law, find the relationship between concentration and absorbance for the substance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Graph concentration vs time and get data points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  <m:oMath>
        <m:r>
          <w:rPr/>
          <m:t xml:space="preserve">[A] vs t, ln[A] vs t, and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[A]</m:t>
            </m:r>
          </m:den>
        </m:f>
        <m:r>
          <w:rPr/>
          <m:t xml:space="preserve">vs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Whichever is the most linear is the order of the reaction, 0th, 1st, or 2nd, respectively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Calorimetry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mass of substance, mass of water, initial and final temperature of water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m:oMath>
        <m:r>
          <w:rPr/>
          <m:t xml:space="preserve">q=mc</m:t>
        </m:r>
        <m:r>
          <w:rPr/>
          <m:t>Δ</m:t>
        </m:r>
        <m:r>
          <w:rPr/>
          <m:t xml:space="preserve">T=</m:t>
        </m:r>
        <m:r>
          <w:rPr/>
          <m:t>Δ</m:t>
        </m:r>
        <m:r>
          <w:rPr/>
          <m:t xml:space="preserve">H • mols</m:t>
        </m:r>
      </m:oMath>
      <w:r w:rsidDel="00000000" w:rsidR="00000000" w:rsidRPr="00000000">
        <w:rPr>
          <w:rtl w:val="0"/>
        </w:rPr>
        <w:t xml:space="preserve"> to solve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