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D42400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0B703830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217C98">
        <w:rPr>
          <w:b/>
        </w:rPr>
        <w:t xml:space="preserve">Primary </w:t>
      </w:r>
      <w:r w:rsidR="008025AF" w:rsidRPr="00217C98">
        <w:rPr>
          <w:b/>
        </w:rPr>
        <w:t>Focus</w:t>
      </w:r>
      <w:r w:rsidR="002D0577" w:rsidRPr="005A3E6A">
        <w:t>: Electromechanical Systems</w:t>
      </w:r>
      <w:r w:rsidR="00D745AD">
        <w:t xml:space="preserve"> &amp; Project Management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DD0C5B">
        <w:trPr>
          <w:trHeight w:val="288"/>
        </w:trPr>
        <w:tc>
          <w:tcPr>
            <w:tcW w:w="4320" w:type="dxa"/>
          </w:tcPr>
          <w:p w14:paraId="7C954158" w14:textId="2DB9BCD2" w:rsidR="009E3EC3" w:rsidRPr="007232AF" w:rsidRDefault="005A3E6A" w:rsidP="0018075B">
            <w:pPr>
              <w:pStyle w:val="Heading2"/>
              <w:outlineLvl w:val="1"/>
            </w:pPr>
            <w:r>
              <w:t>Hardware/</w:t>
            </w:r>
            <w:r w:rsidR="009E3EC3">
              <w:t>Design</w:t>
            </w:r>
          </w:p>
        </w:tc>
        <w:tc>
          <w:tcPr>
            <w:tcW w:w="3600" w:type="dxa"/>
          </w:tcPr>
          <w:p w14:paraId="04F8C2C3" w14:textId="5424DFA6" w:rsidR="009E3EC3" w:rsidRPr="007232AF" w:rsidRDefault="0018075B" w:rsidP="0018075B">
            <w:pPr>
              <w:pStyle w:val="Heading2"/>
              <w:outlineLvl w:val="1"/>
            </w:pPr>
            <w:r>
              <w:t>Programming/Scripting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DD0C5B">
        <w:trPr>
          <w:trHeight w:val="288"/>
        </w:trPr>
        <w:tc>
          <w:tcPr>
            <w:tcW w:w="4320" w:type="dxa"/>
          </w:tcPr>
          <w:p w14:paraId="30281147" w14:textId="3EB9A886" w:rsidR="009E3EC3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Control of Electromechanical Devices</w:t>
            </w:r>
          </w:p>
          <w:p w14:paraId="3A4C61C6" w14:textId="26984607" w:rsidR="005A3E6A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Electrical Troubleshooting w/ Tools</w:t>
            </w:r>
          </w:p>
          <w:p w14:paraId="7EC2C29C" w14:textId="75E50D40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 xml:space="preserve">Extrusion </w:t>
            </w:r>
            <w:r w:rsidR="009E3EC3">
              <w:t>3D Printing</w:t>
            </w:r>
          </w:p>
          <w:p w14:paraId="54F4929F" w14:textId="0521B8AE" w:rsidR="00581218" w:rsidRDefault="00581218" w:rsidP="0091787B">
            <w:pPr>
              <w:pStyle w:val="ListParagraph"/>
              <w:numPr>
                <w:ilvl w:val="0"/>
                <w:numId w:val="4"/>
              </w:numPr>
            </w:pPr>
            <w:r>
              <w:t>Rapid Prototyping</w:t>
            </w:r>
          </w:p>
          <w:p w14:paraId="057AE918" w14:textId="7F756019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10B0E5F7" w14:textId="5AAAAC74" w:rsidR="009E3EC3" w:rsidRDefault="0091787B" w:rsidP="00581218">
            <w:pPr>
              <w:pStyle w:val="ListParagraph"/>
              <w:numPr>
                <w:ilvl w:val="0"/>
                <w:numId w:val="4"/>
              </w:numPr>
            </w:pPr>
            <w:r>
              <w:t>CAD</w:t>
            </w:r>
            <w:r w:rsidR="0077736B">
              <w:t xml:space="preserve"> </w:t>
            </w:r>
            <w:r>
              <w:t>(Solidworks/Autodesk)</w:t>
            </w:r>
          </w:p>
        </w:tc>
        <w:tc>
          <w:tcPr>
            <w:tcW w:w="3600" w:type="dxa"/>
          </w:tcPr>
          <w:p w14:paraId="6D7301F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C/C++</w:t>
            </w:r>
          </w:p>
          <w:p w14:paraId="701FDE6F" w14:textId="2B2E3DEA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Python 3</w:t>
            </w:r>
          </w:p>
          <w:p w14:paraId="280A0743" w14:textId="6565F7CF" w:rsidR="00B3274F" w:rsidRDefault="00B3274F" w:rsidP="009B702D">
            <w:pPr>
              <w:pStyle w:val="ListParagraph"/>
              <w:numPr>
                <w:ilvl w:val="0"/>
                <w:numId w:val="7"/>
              </w:numPr>
            </w:pPr>
            <w:r>
              <w:t>VBA in Excel</w:t>
            </w:r>
          </w:p>
          <w:p w14:paraId="0D15B235" w14:textId="4661A61B" w:rsidR="009E3EC3" w:rsidRDefault="009E3EC3" w:rsidP="00B3274F">
            <w:pPr>
              <w:pStyle w:val="ListParagraph"/>
              <w:numPr>
                <w:ilvl w:val="0"/>
                <w:numId w:val="7"/>
              </w:numPr>
            </w:pPr>
            <w:r>
              <w:t>MATLAB</w:t>
            </w:r>
          </w:p>
          <w:p w14:paraId="14624F8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Embedded Digital Control</w:t>
            </w:r>
          </w:p>
          <w:p w14:paraId="0CAFF980" w14:textId="12F4CE63" w:rsidR="009E3EC3" w:rsidRDefault="009E3EC3" w:rsidP="0091787B">
            <w:pPr>
              <w:pStyle w:val="ListParagraph"/>
              <w:numPr>
                <w:ilvl w:val="0"/>
                <w:numId w:val="7"/>
              </w:numPr>
            </w:pPr>
            <w:r>
              <w:t>Data Acquisition &amp; Processing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  <w:bookmarkStart w:id="1" w:name="_GoBack"/>
        <w:bookmarkEnd w:id="1"/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6E85D78E" w:rsidR="001319C0" w:rsidRDefault="001319C0" w:rsidP="001763EB">
      <w:pPr>
        <w:pStyle w:val="ListParagraph"/>
        <w:numPr>
          <w:ilvl w:val="0"/>
          <w:numId w:val="25"/>
        </w:numPr>
      </w:pPr>
      <w:r>
        <w:t xml:space="preserve">Kevin Sturm – Director of Operation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1BD00371" w:rsidR="00BC38C6" w:rsidRPr="00217C98" w:rsidRDefault="00AD700F" w:rsidP="00166ED8">
      <w:pPr>
        <w:pStyle w:val="ListParagraph"/>
        <w:numPr>
          <w:ilvl w:val="0"/>
          <w:numId w:val="25"/>
        </w:numPr>
        <w:rPr>
          <w:rStyle w:val="Hyperlink"/>
          <w:color w:val="00000A"/>
          <w:u w:val="none"/>
        </w:rPr>
      </w:pPr>
      <w:r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p w14:paraId="1620D9E6" w14:textId="65EBE01A" w:rsidR="00217C98" w:rsidRPr="00B94C67" w:rsidRDefault="00217C98" w:rsidP="00166ED8">
      <w:pPr>
        <w:pStyle w:val="ListParagraph"/>
        <w:numPr>
          <w:ilvl w:val="0"/>
          <w:numId w:val="25"/>
        </w:numPr>
      </w:pPr>
      <w:r>
        <w:t>See LinkedIn projects and SlideShare presentations for examples of some things listed above.</w:t>
      </w:r>
    </w:p>
    <w:sectPr w:rsidR="00217C98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D19A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763EB"/>
    <w:rsid w:val="0018075B"/>
    <w:rsid w:val="00184BF9"/>
    <w:rsid w:val="00185303"/>
    <w:rsid w:val="001C2996"/>
    <w:rsid w:val="001D0B52"/>
    <w:rsid w:val="001D5289"/>
    <w:rsid w:val="001F1F5F"/>
    <w:rsid w:val="00217C98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1218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7334"/>
    <w:rsid w:val="008C6D34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274F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400"/>
    <w:rsid w:val="00D4272F"/>
    <w:rsid w:val="00D54FB5"/>
    <w:rsid w:val="00D62DDC"/>
    <w:rsid w:val="00D745AD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7E6D-2397-401A-9F5D-46BC605A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8</cp:revision>
  <cp:lastPrinted>2018-02-23T16:45:00Z</cp:lastPrinted>
  <dcterms:created xsi:type="dcterms:W3CDTF">2018-02-15T08:06:00Z</dcterms:created>
  <dcterms:modified xsi:type="dcterms:W3CDTF">2018-02-26T13:40:00Z</dcterms:modified>
</cp:coreProperties>
</file>