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1"/>
        <w:numPr>
          <w:numId w:val="2"/>
          <w:ilvl w:val="0"/>
        </w:numPr>
        <w:keepNext/>
      </w:pPr>
      <w:r>
        <w:rPr/>
        <w:t xml:space="preserve">テスト文書</w:t>
      </w:r>
    </w:p>
    <w:p w14:paraId="00000002">
      <w:pPr>
        <w:rPr/>
        <w:pStyle w:val="2"/>
        <w:numPr>
          <w:numId w:val="2"/>
          <w:ilvl w:val="1"/>
        </w:numPr>
        <w:keepNext/>
      </w:pPr>
      <w:r>
        <w:rPr/>
        <w:t xml:space="preserve">はじめに</w:t>
      </w:r>
    </w:p>
    <w:p w14:paraId="00000003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本文書はmd2wordのスタイル適用をテストするためのサンプルである。標準（Normal）スタイルで本文が表示され、見出しには自動番号が付与される。</w:t>
      </w:r>
    </w:p>
    <w:p w14:paraId="00000004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日本語とEnglishが混在するテキストでの表示確認を行う。REST APIなどの技術用語も含む。</w:t>
      </w:r>
    </w:p>
    <w:p w14:paraId="00000005">
      <w:pPr>
        <w:rPr/>
        <w:pStyle w:val="2"/>
        <w:numPr>
          <w:numId w:val="2"/>
          <w:ilvl w:val="1"/>
        </w:numPr>
        <w:keepNext/>
      </w:pPr>
      <w:r>
        <w:rPr/>
        <w:t xml:space="preserve">システム概要</w:t>
      </w:r>
    </w:p>
    <w:p w14:paraId="00000006">
      <w:pPr>
        <w:rPr/>
        <w:pStyle w:val="3"/>
        <w:numPr>
          <w:numId w:val="2"/>
          <w:ilvl w:val="2"/>
        </w:numPr>
        <w:keepNext/>
      </w:pPr>
      <w:r>
        <w:rPr/>
        <w:t xml:space="preserve">アーキテクチャ</w:t>
      </w:r>
    </w:p>
    <w:p w14:paraId="00000007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システムは以下の構成で動作する。</w:t>
      </w:r>
    </w:p>
    <w:p w14:paraId="00000008">
      <w:pPr>
        <w:rPr/>
        <w:pStyle w:val="BulletList"/>
        <w:numPr>
          <w:numId w:val="3"/>
          <w:ilvl w:val="0"/>
        </w:numPr>
      </w:pPr>
      <w:r>
        <w:rPr>
          <w:sz w:val="21"/>
          <w:szCs w:val="21"/>
          <w:rFonts w:ascii="Century" w:hAnsi="Century" w:cs="Century" w:eastAsia="游明朝"/>
        </w:rPr>
        <w:t xml:space="preserve">フロントエンド: React + TypeScript</w:t>
      </w:r>
    </w:p>
    <w:p w14:paraId="00000009">
      <w:pPr>
        <w:rPr/>
        <w:pStyle w:val="BulletList"/>
        <w:numPr>
          <w:numId w:val="3"/>
          <w:ilvl w:val="0"/>
        </w:numPr>
      </w:pPr>
      <w:r>
        <w:rPr>
          <w:sz w:val="21"/>
          <w:szCs w:val="21"/>
          <w:rFonts w:ascii="Century" w:hAnsi="Century" w:cs="Century" w:eastAsia="游明朝"/>
        </w:rPr>
        <w:t xml:space="preserve">バックエンド: Python / Flask</w:t>
      </w:r>
    </w:p>
    <w:p w14:paraId="0000000a">
      <w:pPr>
        <w:rPr/>
        <w:pStyle w:val="BulletList"/>
        <w:numPr>
          <w:numId w:val="3"/>
          <w:ilvl w:val="0"/>
        </w:numPr>
      </w:pPr>
      <w:r>
        <w:rPr>
          <w:sz w:val="21"/>
          <w:szCs w:val="21"/>
          <w:rFonts w:ascii="Century" w:hAnsi="Century" w:cs="Century" w:eastAsia="游明朝"/>
        </w:rPr>
        <w:t xml:space="preserve">データベース: PostgreSQL</w:t>
      </w:r>
    </w:p>
    <w:p w14:paraId="0000000b">
      <w:pPr>
        <w:rPr/>
        <w:pStyle w:val="3"/>
        <w:numPr>
          <w:numId w:val="2"/>
          <w:ilvl w:val="2"/>
        </w:numPr>
        <w:keepNext/>
      </w:pPr>
      <w:r>
        <w:rPr/>
        <w:t xml:space="preserve">構成図</w:t>
      </w:r>
    </w:p>
    <w:p w14:paraId="0000000c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以下にシステムの構成図を示す。</w:t>
      </w:r>
    </w:p>
    <w:p w14:paraId="0000000d">
      <w:pPr>
        <w:rPr/>
        <w:jc w:val="center"/>
      </w:pPr>
      <w:r>
        <w:rPr/>
        <w:drawing>
          <wp:inline distT="0" distB="0" distL="0" distR="0">
            <wp:extent cx="3810000" cy="1905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>
      <w:pPr>
        <w:rPr/>
        <w:jc w:val="center"/>
      </w:pPr>
      <w:r>
        <w:rPr>
          <w:sz w:val="21"/>
          <w:szCs w:val="21"/>
          <w:rFonts w:ascii="Century" w:hAnsi="Century" w:cs="Century" w:eastAsia="游明朝"/>
        </w:rPr>
        <w:t xml:space="preserve">図</w:t>
      </w:r>
      <w:r>
        <w:rPr>
          <w:sz w:val="21"/>
          <w:szCs w:val="21"/>
          <w:rFonts w:ascii="Century" w:hAnsi="Century" w:cs="Century" w:eastAsia="游明朝"/>
        </w:rPr>
        <w:fldChar w:fldCharType="begin" w:dirty="true"/>
        <w:instrText> SEQ Figure \* ARABIC </w:instrText>
        <w:fldChar w:fldCharType="separate" w:dirty="false"/>
        <w:t xml:space="preserve">1</w:t>
        <w:fldChar w:fldCharType="end" w:dirty="false"/>
      </w:r>
      <w:r>
        <w:rPr>
          <w:sz w:val="21"/>
          <w:szCs w:val="21"/>
          <w:rFonts w:ascii="Century" w:hAnsi="Century" w:cs="Century" w:eastAsia="游明朝"/>
        </w:rPr>
        <w:t xml:space="preserve"> 構成図</w:t>
      </w:r>
    </w:p>
    <w:p w14:paraId="0000000f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上図はシステム全体のアーキテクチャを示している。</w:t>
      </w:r>
    </w:p>
    <w:p w14:paraId="00000010">
      <w:pPr>
        <w:rPr/>
        <w:pStyle w:val="2"/>
        <w:numPr>
          <w:numId w:val="2"/>
          <w:ilvl w:val="1"/>
        </w:numPr>
        <w:keepNext/>
      </w:pPr>
      <w:r>
        <w:rPr/>
        <w:t xml:space="preserve">詳細設計</w:t>
      </w:r>
    </w:p>
    <w:p w14:paraId="00000011">
      <w:pPr>
        <w:rPr/>
        <w:pStyle w:val="3"/>
        <w:numPr>
          <w:numId w:val="2"/>
          <w:ilvl w:val="2"/>
        </w:numPr>
        <w:keepNext/>
      </w:pPr>
      <w:r>
        <w:rPr/>
        <w:t xml:space="preserve">API 仕様</w:t>
      </w:r>
    </w:p>
    <w:p w14:paraId="00000012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エンドポイントの一覧を以下に示す。</w:t>
      </w:r>
    </w:p>
    <w:p w14:paraId="00000013">
      <w:pPr>
        <w:rPr/>
        <w:jc w:val="center"/>
      </w:pPr>
      <w:r>
        <w:rPr>
          <w:sz w:val="21"/>
          <w:szCs w:val="21"/>
          <w:b/>
          <w:bCs/>
          <w:rFonts w:ascii="Century" w:hAnsi="Century" w:cs="Century" w:eastAsia="游ゴシック"/>
        </w:rPr>
        <w:t xml:space="preserve">表</w:t>
      </w:r>
      <w:r>
        <w:rPr>
          <w:sz w:val="21"/>
          <w:szCs w:val="21"/>
          <w:b/>
          <w:bCs/>
          <w:rFonts w:ascii="Century" w:hAnsi="Century" w:cs="Century" w:eastAsia="游ゴシック"/>
        </w:rPr>
        <w:fldChar w:fldCharType="begin" w:dirty="true"/>
        <w:instrText> SEQ Table \* ARABIC </w:instrText>
        <w:fldChar w:fldCharType="separate" w:dirty="false"/>
        <w:t xml:space="preserve">1</w:t>
        <w:fldChar w:fldCharType="end" w:dirty="false"/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14">
            <w:pPr>
              <w:rPr>
                <w:b/>
                <w:bCs/>
                <w:rFonts w:ascii="Century" w:hAnsi="Century" w:cs="Century" w:eastAsia="游ゴシック"/>
              </w:rPr>
            </w:pPr>
            <w:r>
              <w:rPr>
                <w:sz w:val="21"/>
                <w:szCs w:val="21"/>
                <w:b/>
                <w:bCs/>
                <w:rFonts w:ascii="Century" w:hAnsi="Century" w:cs="Century" w:eastAsia="游明朝"/>
              </w:rPr>
              <w:t xml:space="preserve">メソッド</w:t>
            </w:r>
          </w:p>
        </w:tc>
        <w:tc>
          <w:tcPr/>
          <w:p w14:paraId="00000015">
            <w:pPr>
              <w:rPr>
                <w:b/>
                <w:bCs/>
                <w:rFonts w:ascii="Century" w:hAnsi="Century" w:cs="Century" w:eastAsia="游ゴシック"/>
              </w:rPr>
            </w:pPr>
            <w:r>
              <w:rPr>
                <w:sz w:val="21"/>
                <w:szCs w:val="21"/>
                <w:b/>
                <w:bCs/>
                <w:rFonts w:ascii="Century" w:hAnsi="Century" w:cs="Century" w:eastAsia="游明朝"/>
              </w:rPr>
              <w:t xml:space="preserve">パス</w:t>
            </w:r>
          </w:p>
        </w:tc>
        <w:tc>
          <w:tcPr/>
          <w:p w14:paraId="00000016">
            <w:pPr>
              <w:rPr>
                <w:b/>
                <w:bCs/>
                <w:rFonts w:ascii="Century" w:hAnsi="Century" w:cs="Century" w:eastAsia="游ゴシック"/>
              </w:rPr>
            </w:pPr>
            <w:r>
              <w:rPr>
                <w:sz w:val="21"/>
                <w:szCs w:val="21"/>
                <w:b/>
                <w:bCs/>
                <w:rFonts w:ascii="Century" w:hAnsi="Century" w:cs="Century" w:eastAsia="游明朝"/>
              </w:rPr>
              <w:t xml:space="preserve">説明</w:t>
            </w:r>
          </w:p>
        </w:tc>
      </w:tr>
      <w:tr>
        <w:trPr/>
        <w:tc>
          <w:tcPr/>
          <w:p w14:paraId="00000017">
            <w:pPr>
              <w:rPr/>
            </w:pPr>
            <w:r>
              <w:rPr>
                <w:sz w:val="21"/>
                <w:szCs w:val="21"/>
                <w:rFonts w:ascii="Century" w:hAnsi="Century" w:cs="Century" w:eastAsia="游明朝"/>
              </w:rPr>
              <w:t xml:space="preserve">GET</w:t>
            </w:r>
          </w:p>
        </w:tc>
        <w:tc>
          <w:tcPr/>
          <w:p w14:paraId="00000018">
            <w:pPr>
              <w:rPr/>
            </w:pPr>
            <w:r>
              <w:rPr>
                <w:sz w:val="21"/>
                <w:szCs w:val="21"/>
                <w:rFonts w:ascii="Century" w:hAnsi="Century" w:cs="Century" w:eastAsia="游明朝"/>
              </w:rPr>
              <w:t xml:space="preserve">/api/v1/datasets</w:t>
            </w:r>
          </w:p>
        </w:tc>
        <w:tc>
          <w:tcPr/>
          <w:p w14:paraId="00000019">
            <w:pPr>
              <w:rPr/>
            </w:pPr>
            <w:r>
              <w:rPr>
                <w:sz w:val="21"/>
                <w:szCs w:val="21"/>
                <w:rFonts w:ascii="Century" w:hAnsi="Century" w:cs="Century" w:eastAsia="游明朝"/>
              </w:rPr>
              <w:t xml:space="preserve">データセット一覧取得</w:t>
            </w:r>
          </w:p>
        </w:tc>
      </w:tr>
      <w:tr>
        <w:trPr/>
        <w:tc>
          <w:tcPr/>
          <w:p w14:paraId="0000001a">
            <w:pPr>
              <w:rPr/>
            </w:pPr>
            <w:r>
              <w:rPr>
                <w:sz w:val="21"/>
                <w:szCs w:val="21"/>
                <w:rFonts w:ascii="Century" w:hAnsi="Century" w:cs="Century" w:eastAsia="游明朝"/>
              </w:rPr>
              <w:t xml:space="preserve">POST</w:t>
            </w:r>
          </w:p>
        </w:tc>
        <w:tc>
          <w:tcPr/>
          <w:p w14:paraId="0000001b">
            <w:pPr>
              <w:rPr/>
            </w:pPr>
            <w:r>
              <w:rPr>
                <w:sz w:val="21"/>
                <w:szCs w:val="21"/>
                <w:rFonts w:ascii="Century" w:hAnsi="Century" w:cs="Century" w:eastAsia="游明朝"/>
              </w:rPr>
              <w:t xml:space="preserve">/api/v1/datasets</w:t>
            </w:r>
          </w:p>
        </w:tc>
        <w:tc>
          <w:tcPr/>
          <w:p w14:paraId="0000001c">
            <w:pPr>
              <w:rPr/>
            </w:pPr>
            <w:r>
              <w:rPr>
                <w:sz w:val="21"/>
                <w:szCs w:val="21"/>
                <w:rFonts w:ascii="Century" w:hAnsi="Century" w:cs="Century" w:eastAsia="游明朝"/>
              </w:rPr>
              <w:t xml:space="preserve">データセット登録</w:t>
            </w:r>
          </w:p>
        </w:tc>
      </w:tr>
      <w:tr>
        <w:trPr/>
        <w:tc>
          <w:tcPr/>
          <w:p w14:paraId="0000001d">
            <w:pPr>
              <w:rPr/>
            </w:pPr>
            <w:r>
              <w:rPr>
                <w:sz w:val="21"/>
                <w:szCs w:val="21"/>
                <w:rFonts w:ascii="Century" w:hAnsi="Century" w:cs="Century" w:eastAsia="游明朝"/>
              </w:rPr>
              <w:t xml:space="preserve">DELETE</w:t>
            </w:r>
          </w:p>
        </w:tc>
        <w:tc>
          <w:tcPr/>
          <w:p w14:paraId="0000001e">
            <w:pPr>
              <w:rPr/>
            </w:pPr>
            <w:r>
              <w:rPr>
                <w:sz w:val="21"/>
                <w:szCs w:val="21"/>
                <w:rFonts w:ascii="Century" w:hAnsi="Century" w:cs="Century" w:eastAsia="游明朝"/>
              </w:rPr>
              <w:t xml:space="preserve">/api/v1/datasets/:id</w:t>
            </w:r>
          </w:p>
        </w:tc>
        <w:tc>
          <w:tcPr/>
          <w:p w14:paraId="0000001f">
            <w:pPr>
              <w:rPr/>
            </w:pPr>
            <w:r>
              <w:rPr>
                <w:sz w:val="21"/>
                <w:szCs w:val="21"/>
                <w:rFonts w:ascii="Century" w:hAnsi="Century" w:cs="Century" w:eastAsia="游明朝"/>
              </w:rPr>
              <w:t xml:space="preserve">データセット削除</w:t>
            </w:r>
          </w:p>
        </w:tc>
      </w:tr>
    </w:tbl>
    <w:p w14:paraId="00000020">
      <w:pPr>
        <w:rPr/>
        <w:pStyle w:val="3"/>
        <w:numPr>
          <w:numId w:val="2"/>
          <w:ilvl w:val="2"/>
        </w:numPr>
        <w:keepNext/>
      </w:pPr>
      <w:r>
        <w:rPr/>
        <w:t xml:space="preserve">認証方式</w:t>
      </w:r>
    </w:p>
    <w:p w14:paraId="00000021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認証には </w:t>
      </w:r>
      <w:r>
        <w:rPr>
          <w:sz w:val="21"/>
          <w:szCs w:val="21"/>
          <w:rFonts w:ascii="Century" w:hAnsi="Century" w:cs="Century" w:eastAsia="游明朝"/>
        </w:rPr>
        <w:t xml:space="preserve">JWTトークン</w:t>
      </w:r>
      <w:r>
        <w:rPr>
          <w:sz w:val="21"/>
          <w:szCs w:val="21"/>
          <w:rFonts w:ascii="Century" w:hAnsi="Century" w:cs="Century" w:eastAsia="游明朝"/>
        </w:rPr>
        <w:t xml:space="preserve"> を使用する。</w:t>
      </w:r>
      <w:r>
        <w:rPr>
          <w:sz w:val="21"/>
          <w:szCs w:val="21"/>
          <w:rFonts w:ascii="Century" w:hAnsi="Century" w:cs="Century" w:eastAsia="游明朝"/>
        </w:rPr>
        <w:t xml:space="preserve">「Authorization: Bearer &lt;token&gt;」</w:t>
      </w:r>
      <w:r>
        <w:rPr>
          <w:sz w:val="21"/>
          <w:szCs w:val="21"/>
          <w:rFonts w:ascii="Century" w:hAnsi="Century" w:cs="Century" w:eastAsia="游明朝"/>
        </w:rPr>
        <w:t xml:space="preserve"> ヘッダで送信する。</w:t>
      </w:r>
    </w:p>
    <w:p w14:paraId="00000022">
      <w:pPr>
        <w:rPr/>
        <w:pStyle w:val="4"/>
        <w:numPr>
          <w:numId w:val="2"/>
          <w:ilvl w:val="3"/>
        </w:numPr>
        <w:keepNext/>
      </w:pPr>
      <w:r>
        <w:rPr/>
        <w:t xml:space="preserve">トークン発行フロー</w:t>
      </w:r>
    </w:p>
    <w:p w14:paraId="00000023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トークンの有効期限は </w:t>
      </w:r>
      <w:r>
        <w:rPr>
          <w:sz w:val="21"/>
          <w:szCs w:val="21"/>
          <w:rFonts w:ascii="Century" w:hAnsi="Century" w:cs="Century" w:eastAsia="游明朝"/>
        </w:rPr>
        <w:t xml:space="preserve">30分</w:t>
      </w:r>
      <w:r>
        <w:rPr>
          <w:sz w:val="21"/>
          <w:szCs w:val="21"/>
          <w:rFonts w:ascii="Century" w:hAnsi="Century" w:cs="Century" w:eastAsia="游明朝"/>
        </w:rPr>
        <w:t xml:space="preserve"> とし、リフレッシュトークンで更新する。</w:t>
      </w:r>
    </w:p>
    <w:p w14:paraId="00000024">
      <w:pPr>
        <w:rPr/>
        <w:ind w:left="360" w:right="0"/>
      </w:pPr>
      <w:r>
        <w:rPr>
          <w:sz w:val="21"/>
          <w:szCs w:val="21"/>
          <w:rFonts w:ascii="Century" w:hAnsi="Century" w:cs="Century" w:eastAsia="游明朝"/>
        </w:rPr>
        <w:t xml:space="preserve">1. </w:t>
      </w:r>
      <w:r>
        <w:rPr>
          <w:sz w:val="21"/>
          <w:szCs w:val="21"/>
          <w:rFonts w:ascii="Century" w:hAnsi="Century" w:cs="Century" w:eastAsia="游明朝"/>
        </w:rPr>
        <w:t xml:space="preserve">クライアントがログイン情報を送信</w:t>
      </w:r>
    </w:p>
    <w:p w14:paraId="00000025">
      <w:pPr>
        <w:rPr/>
        <w:ind w:left="360" w:right="0"/>
      </w:pPr>
      <w:r>
        <w:rPr>
          <w:sz w:val="21"/>
          <w:szCs w:val="21"/>
          <w:rFonts w:ascii="Century" w:hAnsi="Century" w:cs="Century" w:eastAsia="游明朝"/>
        </w:rPr>
        <w:t xml:space="preserve">2. </w:t>
      </w:r>
      <w:r>
        <w:rPr>
          <w:sz w:val="21"/>
          <w:szCs w:val="21"/>
          <w:rFonts w:ascii="Century" w:hAnsi="Century" w:cs="Century" w:eastAsia="游明朝"/>
        </w:rPr>
        <w:t xml:space="preserve">サーバーがJWTを発行</w:t>
      </w:r>
    </w:p>
    <w:p w14:paraId="00000026">
      <w:pPr>
        <w:rPr/>
        <w:ind w:left="360" w:right="0"/>
      </w:pPr>
      <w:r>
        <w:rPr>
          <w:sz w:val="21"/>
          <w:szCs w:val="21"/>
          <w:rFonts w:ascii="Century" w:hAnsi="Century" w:cs="Century" w:eastAsia="游明朝"/>
        </w:rPr>
        <w:t xml:space="preserve">3. </w:t>
      </w:r>
      <w:r>
        <w:rPr>
          <w:sz w:val="21"/>
          <w:szCs w:val="21"/>
          <w:rFonts w:ascii="Century" w:hAnsi="Century" w:cs="Century" w:eastAsia="游明朝"/>
        </w:rPr>
        <w:t xml:space="preserve">クライアントがヘッダに付与してリクエスト</w:t>
      </w:r>
    </w:p>
    <w:p w14:paraId="00000027">
      <w:pPr>
        <w:rPr/>
        <w:pStyle w:val="4"/>
        <w:numPr>
          <w:numId w:val="2"/>
          <w:ilvl w:val="3"/>
        </w:numPr>
        <w:keepNext/>
      </w:pPr>
      <w:r>
        <w:rPr/>
        <w:t xml:space="preserve">エラーハンドリング</w:t>
      </w:r>
    </w:p>
    <w:p w14:paraId="00000028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認証エラー時は以下のJSONを返す。</w:t>
      </w:r>
    </w:p>
    <w:p w14:paraId="00000029">
      <w:pPr>
        <w:rPr/>
      </w:pPr>
      <w:r>
        <w:rPr>
          <w:sz w:val="18"/>
          <w:szCs w:val="18"/>
          <w:rFonts w:ascii="Courier New" w:hAnsi="Courier New" w:cs="Courier New" w:eastAsia="ＭＳ ゴシック"/>
        </w:rPr>
        <w:t xml:space="preserve">{</w:t>
      </w:r>
    </w:p>
    <w:p w14:paraId="0000002a">
      <w:pPr>
        <w:rPr/>
      </w:pPr>
      <w:r>
        <w:rPr>
          <w:sz w:val="18"/>
          <w:szCs w:val="18"/>
          <w:rFonts w:ascii="Courier New" w:hAnsi="Courier New" w:cs="Courier New" w:eastAsia="ＭＳ ゴシック"/>
        </w:rPr>
        <w:t xml:space="preserve">  "error": "unauthorized",</w:t>
      </w:r>
    </w:p>
    <w:p w14:paraId="0000002b">
      <w:pPr>
        <w:rPr/>
      </w:pPr>
      <w:r>
        <w:rPr>
          <w:sz w:val="18"/>
          <w:szCs w:val="18"/>
          <w:rFonts w:ascii="Courier New" w:hAnsi="Courier New" w:cs="Courier New" w:eastAsia="ＭＳ ゴシック"/>
        </w:rPr>
        <w:t xml:space="preserve">  "message": "Invalid or expired token"</w:t>
      </w:r>
    </w:p>
    <w:p w14:paraId="0000002c">
      <w:pPr>
        <w:rPr/>
      </w:pPr>
      <w:r>
        <w:rPr>
          <w:sz w:val="18"/>
          <w:szCs w:val="18"/>
          <w:rFonts w:ascii="Courier New" w:hAnsi="Courier New" w:cs="Courier New" w:eastAsia="ＭＳ ゴシック"/>
        </w:rPr>
        <w:t xml:space="preserve">}</w:t>
      </w:r>
    </w:p>
    <w:p w14:paraId="0000002d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注意:本仕様は暫定版であり、セキュリティレビュー後に変更される可能性がある。</w:t>
      </w:r>
    </w:p>
    <w:p w14:paraId="0000002e">
      <w:pPr>
        <w:rPr/>
      </w:pPr>
    </w:p>
    <w:p w14:paraId="0000002f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以上でテスト文書を終了する。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rPr/>
        <w:ind w:left="420" w:right="0" w:hanging="420"/>
      </w:pPr>
      <w:rPr/>
      <w:pStyle w:val="1"/>
    </w:lvl>
    <w:lvl w:ilvl="1">
      <w:start w:val="1"/>
      <w:numFmt w:val="decimal"/>
      <w:lvlText w:val="%1.%2."/>
      <w:lvlJc w:val="left"/>
      <w:pPr>
        <w:rPr/>
        <w:ind w:left="612" w:right="0" w:hanging="612"/>
      </w:pPr>
      <w:rPr/>
      <w:pStyle w:val="2"/>
    </w:lvl>
    <w:lvl w:ilvl="2">
      <w:start w:val="1"/>
      <w:numFmt w:val="decimal"/>
      <w:lvlText w:val="%1.%2.%3"/>
      <w:lvlJc w:val="left"/>
      <w:pPr>
        <w:rPr/>
        <w:ind w:left="783" w:right="0" w:hanging="783"/>
      </w:pPr>
      <w:rPr/>
      <w:pStyle w:val="3"/>
    </w:lvl>
    <w:lvl w:ilvl="3">
      <w:start w:val="1"/>
      <w:numFmt w:val="decimal"/>
      <w:lvlText w:val="（%4）"/>
      <w:lvlJc w:val="left"/>
      <w:pPr>
        <w:rPr/>
        <w:ind w:left="709" w:right="0" w:hanging="709"/>
      </w:pPr>
      <w:rPr/>
      <w:pStyle w:val="4"/>
    </w:lvl>
    <w:lvl w:ilvl="4">
      <w:start w:val="1"/>
      <w:numFmt w:val="aiueoFullWidth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aiueoFullWidth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9">
    <w:lvl w:ilvl="0">
      <w:start w:val="1"/>
      <w:numFmt w:val="bullet"/>
      <w:lvlText w:val="●"/>
      <w:lvlJc w:val="left"/>
      <w:pPr>
        <w:rPr/>
        <w:ind w:left="360" w:right="0" w:hanging="360"/>
      </w:pPr>
      <w:rPr/>
    </w:lvl>
    <w:lvl w:ilvl="1">
      <w:start w:val="1"/>
      <w:numFmt w:val="bullet"/>
      <w:lvlText w:val="■"/>
      <w:lvlJc w:val="left"/>
      <w:pPr>
        <w:rPr/>
        <w:ind w:left="720" w:right="0" w:hanging="360"/>
      </w:pPr>
      <w:rPr/>
    </w:lvl>
    <w:lvl w:ilvl="2">
      <w:start w:val="1"/>
      <w:numFmt w:val="bullet"/>
      <w:lvlText w:val="▲"/>
      <w:lvlJc w:val="left"/>
      <w:pPr>
        <w:rPr/>
        <w:ind w:left="1080" w:right="0" w:hanging="360"/>
      </w:pPr>
      <w:rPr/>
    </w:lvl>
  </w:abstractNum>
  <w:num w:numId="1">
    <w:abstractNumId w:val="1"/>
  </w:num>
  <w:num w:numId="2">
    <w:abstractNumId w:val="8"/>
  </w:num>
  <w:num w:numId="3">
    <w:abstractNumId w:val="9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entury" w:hAnsi="Century" w:cs="Century" w:eastAsia="游明朝"/>
      </w:rPr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Normal">
    <w:name w:val="Normal"/>
    <w:rPr>
      <w:sz w:val="21"/>
      <w:szCs w:val="21"/>
      <w:rFonts w:ascii="Century" w:hAnsi="Century" w:cs="Century" w:eastAsia="游明朝"/>
    </w:rPr>
    <w:pPr>
      <w:rPr/>
      <w:jc w:val="both"/>
    </w:pPr>
    <w:qFormat/>
  </w:style>
  <w:style w:type="paragraph" w:styleId="13">
    <w:name w:val="本文ｰ見出し"/>
    <w:rPr/>
    <w:pPr>
      <w:rPr/>
      <w:ind w:left="210" w:right="210" w:leftChars="100" w:firstLine="210"/>
    </w:pPr>
    <w:qFormat/>
    <w:basedOn w:val="Normal"/>
  </w:style>
  <w:style w:type="paragraph" w:styleId="1">
    <w:name w:val="heading 1"/>
    <w:rPr>
      <w:sz w:val="28"/>
      <w:szCs w:val="28"/>
      <w:b/>
      <w:bCs/>
      <w:rFonts w:ascii="Century" w:hAnsi="Century" w:cs="Century" w:eastAsia="游ゴシック"/>
    </w:rPr>
    <w:pPr>
      <w:rPr/>
      <w:numPr>
        <w:numId w:val="2"/>
      </w:numPr>
      <w:outlineLvl w:val="0"/>
    </w:pPr>
    <w:next w:val="Normal"/>
    <w:qFormat/>
    <w:basedOn w:val="Normal"/>
  </w:style>
  <w:style w:type="paragraph" w:styleId="2">
    <w:name w:val="heading 2"/>
    <w:rPr>
      <w:sz w:val="24"/>
      <w:szCs w:val="24"/>
    </w:rPr>
    <w:pPr>
      <w:rPr/>
      <w:numPr>
        <w:ilvl w:val="1"/>
      </w:numPr>
      <w:outlineLvl w:val="1"/>
    </w:pPr>
    <w:next w:val="Normal"/>
    <w:qFormat/>
    <w:basedOn w:val="1"/>
  </w:style>
  <w:style w:type="paragraph" w:styleId="3">
    <w:name w:val="heading 3"/>
    <w:rPr>
      <w:sz w:val="22"/>
      <w:szCs w:val="22"/>
      <w:b/>
      <w:bCs/>
      <w:rFonts w:ascii="Century" w:hAnsi="Century" w:cs="Century" w:eastAsia="游ゴシック"/>
    </w:rPr>
    <w:pPr>
      <w:rPr/>
      <w:numPr>
        <w:numId w:val="2"/>
        <w:ilvl w:val="2"/>
      </w:numPr>
      <w:outlineLvl w:val="2"/>
    </w:pPr>
    <w:next w:val="Normal"/>
    <w:qFormat/>
    <w:basedOn w:val="Normal"/>
  </w:style>
  <w:style w:type="paragraph" w:styleId="4">
    <w:name w:val="heading 4"/>
    <w:rPr>
      <w:sz w:val="22"/>
      <w:szCs w:val="22"/>
      <w:b/>
      <w:bCs/>
      <w:rFonts w:eastAsia="游ゴシック"/>
    </w:rPr>
    <w:pPr>
      <w:rPr/>
      <w:numPr>
        <w:numId w:val="2"/>
        <w:ilvl w:val="3"/>
      </w:numPr>
      <w:ind w:left="709" w:right="0" w:hanging="709"/>
      <w:outlineLvl w:val="3"/>
    </w:pPr>
    <w:next w:val="Normal"/>
    <w:qFormat/>
    <w:basedOn w:val="Normal"/>
  </w:style>
  <w:style w:type="paragraph" w:styleId="BulletList">
    <w:name w:val="Bullet List"/>
    <w:rPr/>
    <w:pPr>
      <w:rPr/>
    </w:pPr>
    <w:qFormat/>
    <w:basedOn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Image1" Type="http://schemas.openxmlformats.org/officeDocument/2006/relationships/image" Target="media/rIdImage1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