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EU AI Act</w:t>
      </w:r>
    </w:p>
    <w:p>
      <w:pPr>
        <w:pStyle w:val="Title"/>
      </w:pPr>
      <w:r>
        <w:t xml:space="preserve">Governance Assessment Dossier</w:t>
      </w:r>
    </w:p>
    <w:p>
      <w:pPr>
        <w:spacing w:before="400" w:after="600"/>
        <w:jc w:val="center"/>
      </w:pPr>
      <w:r>
        <w:rPr>
          <w:sz w:val="28"/>
          <w:szCs w:val="28"/>
        </w:rPr>
        <w:t xml:space="preserve">Internes Governance-Dokument</w:t>
      </w:r>
    </w:p>
    <w:p>
      <w:pPr>
        <w:spacing w:after="100"/>
        <w:jc w:val="center"/>
      </w:pPr>
      <w:r>
        <w:rPr>
          <w:sz w:val="22"/>
          <w:szCs w:val="22"/>
        </w:rPr>
        <w:t xml:space="preserve">Dokumentennummer: GOV-KI-2024-001</w:t>
      </w:r>
    </w:p>
    <w:p>
      <w:pPr>
        <w:spacing w:after="100"/>
        <w:jc w:val="center"/>
      </w:pPr>
      <w:r>
        <w:rPr>
          <w:sz w:val="22"/>
          <w:szCs w:val="22"/>
        </w:rPr>
        <w:t xml:space="preserve">Fassung: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Erstellungsdatum: Januar 2025</w:t>
      </w:r>
    </w:p>
    <w:p>
      <w:pPr>
        <w:spacing w:after="400"/>
        <w:jc w:val="center"/>
      </w:pPr>
      <w:r>
        <w:rPr>
          <w:sz w:val="22"/>
          <w:szCs w:val="22"/>
        </w:rPr>
        <w:t xml:space="preserve">Klassifikation: Intern / Vertraulich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DOKUMENTCHARAKTER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Dieses Dokument dient ausschließlich der internen Governance-Dokumentation. Es stellt keine Rechtsberatung dar, enthält keine rechtliche Auslegung der Verordnung (EU) 2024/1689 und begründet keine Gewährleistung hinsichtlich der Konformität mit der Verordnung.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Die Verwendung dieses Dokuments ersetzt nicht die erforderliche rechtliche Prüfung durch qualifizierte Stellen.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Dokumentgegenstand</w:t>
      </w:r>
    </w:p>
    <w:p>
      <w:pPr>
        <w:pStyle w:val="Heading2"/>
      </w:pPr>
      <w:r>
        <w:t xml:space="preserve">1.1 Regelungsrahmen</w:t>
      </w:r>
    </w:p>
    <w:p>
      <w:pPr>
        <w:spacing w:after="150"/>
      </w:pPr>
      <w:r>
        <w:t xml:space="preserve">Gegenstand dieses Dossiers ist die interne Governance-Dokumentation im Zusammenhang mit der Verordnung (EU) 2024/1689 des Europäischen Parlaments und des Rates vom 13. Juni 2024 zur Festlegung harmonisierter Vorschriften für künstliche Intelligenz (Gesetz über künstliche Intelligenz).</w:t>
      </w:r>
      <w:r>
        <w:rPr>
          <w:sz w:val="24"/>
          <w:szCs w:val="24"/>
        </w:rPr>
        <w:t xml:space="preserve"> Die Verordnung wurde am 12. Juli 2024 im Amtsblatt der Europäischen Union veröffentlicht (ABl. L 2024/1689).</w:t>
      </w:r>
    </w:p>
    <w:p>
      <w:pPr>
        <w:pStyle w:val="Heading2"/>
      </w:pPr>
      <w:r>
        <w:t xml:space="preserve">1.2 Dokumentzweck</w:t>
      </w:r>
    </w:p>
    <w:p>
      <w:pPr>
        <w:spacing w:after="150"/>
      </w:pPr>
      <w:r>
        <w:t xml:space="preserve">Das Dossier dokumentiert den Stand der internen Governance-Strukturen in Bezug auf den Einsatz von KI-Systemen. Die Dokumentation erfolgt auf Grundlage der zum Erstellungszeitpunkt geltenden Fassung der Verordnung.</w:t>
      </w:r>
    </w:p>
    <w:p>
      <w:pPr>
        <w:pStyle w:val="Heading2"/>
      </w:pPr>
      <w:r>
        <w:t xml:space="preserve">1.3 Dokumentstatus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Dokumentart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Internes Governance-Artefakt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Rechtsberatung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Nein – Dokument enthält keine Rechtsberatung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Rechtsauslegung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Nein – Dokument enthält keine Auslegung der Verordnung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Konformitätszusage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Nein – Dokument begründet keine Konformitätszusage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Rechtliche Prüfung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Erforderlich vor Verwendung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Anwendungsbereich der Verordnung</w:t>
      </w:r>
    </w:p>
    <w:p>
      <w:pPr>
        <w:pStyle w:val="Heading2"/>
      </w:pPr>
      <w:r>
        <w:t xml:space="preserve">2.1 Sachlicher Anwendungsbereich</w:t>
      </w:r>
    </w:p>
    <w:p>
      <w:pPr>
        <w:spacing w:after="150"/>
      </w:pPr>
      <w:r>
        <w:t xml:space="preserve">Die Verordnung (EU) 2024/1689 regelt das Inverkehrbringen, die Inbetriebnahme und die Verwendung von KI-Systemen in der Union. Der Begriff des KI-Systems ist in Artikel 3 Nummer 1 der Verordnung legaldefiniert.</w:t>
      </w:r>
    </w:p>
    <w:p>
      <w:pPr>
        <w:pStyle w:val="Heading2"/>
      </w:pPr>
      <w:r>
        <w:t xml:space="preserve">2.2 Rollen nach der Verordnung</w:t>
      </w:r>
    </w:p>
    <w:p>
      <w:pPr>
        <w:spacing w:after="100"/>
      </w:pPr>
      <w:r>
        <w:t xml:space="preserve">Die Verordnung differenziert zwischen verschiedenen Akteuren. Die wesentlichen Rollen sind: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Rolle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Legaldefinition (Verordnung)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Anbieter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3 Nummer 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Betreiber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3 Nummer 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Einführer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3 Nummer 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Händler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3 Nummer 7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Risikobasierter Ansatz der Verordnung</w:t>
      </w:r>
    </w:p>
    <w:p>
      <w:pPr>
        <w:pStyle w:val="Heading2"/>
      </w:pPr>
      <w:r>
        <w:t xml:space="preserve">3.1 Systematik</w:t>
      </w:r>
    </w:p>
    <w:p>
      <w:pPr>
        <w:spacing w:after="150"/>
      </w:pPr>
      <w:r>
        <w:t xml:space="preserve">Die Verordnung verfolgt einen risikobasierten Ansatz. KI-Systeme werden nach ihrem Risikopotenzial kategorisiert. Die Anforderungen der Verordnung variieren entsprechend der Risikokategorie.</w:t>
      </w:r>
    </w:p>
    <w:p>
      <w:pPr>
        <w:pStyle w:val="Heading2"/>
      </w:pPr>
      <w:r>
        <w:t xml:space="preserve">3.2 Risikokategorien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Kategorie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Rechtsfolge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Rechtsgrundlage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Verbotene KI-Praktiken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Untersagung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Hochrisiko-KI-Systeme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Umfassende Anforderungen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6, 9–15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Transparenzpflichtige Systeme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Informationspflichten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50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Sonstige KI-Systeme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Keine spezifischen Anforderungen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6 Absatz 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Hochrisiko-Anwendungsbereiche</w:t>
      </w:r>
    </w:p>
    <w:p>
      <w:pPr>
        <w:spacing w:after="100"/>
      </w:pPr>
      <w:r>
        <w:t xml:space="preserve">Anhang III der Verordnung enthält eine abschließende Aufzählung der Hochrisiko-Anwendungsbereiche:</w:t>
      </w:r>
    </w:p>
    <w:p>
      <w:pPr>
        <w:pStyle w:val="ListParagraph"/>
        <w:numPr>
          <w:ilvl w:val="0"/>
          <w:numId w:val="2"/>
        </w:numPr>
      </w:pPr>
      <w:r>
        <w:t xml:space="preserve">Biometrie (Anhang III Nummer 1)</w:t>
      </w:r>
    </w:p>
    <w:p>
      <w:pPr>
        <w:pStyle w:val="ListParagraph"/>
        <w:numPr>
          <w:ilvl w:val="0"/>
          <w:numId w:val="2"/>
        </w:numPr>
      </w:pPr>
      <w:r>
        <w:t xml:space="preserve">Kritische Infrastruktur (Anhang III Nummer 2)</w:t>
      </w:r>
    </w:p>
    <w:p>
      <w:pPr>
        <w:pStyle w:val="ListParagraph"/>
        <w:numPr>
          <w:ilvl w:val="0"/>
          <w:numId w:val="2"/>
        </w:numPr>
      </w:pPr>
      <w:r>
        <w:t xml:space="preserve">Allgemeine und berufliche Bildung (Anhang III Nummer 3)</w:t>
      </w:r>
    </w:p>
    <w:p>
      <w:pPr>
        <w:pStyle w:val="ListParagraph"/>
        <w:numPr>
          <w:ilvl w:val="0"/>
          <w:numId w:val="2"/>
        </w:numPr>
      </w:pPr>
      <w:r>
        <w:t xml:space="preserve">Beschäftigung, Personalmanagement, Zugang zu selbstständiger Erwerbstätigkeit (Anhang III Nummer 4)</w:t>
      </w:r>
    </w:p>
    <w:p>
      <w:pPr>
        <w:pStyle w:val="ListParagraph"/>
        <w:numPr>
          <w:ilvl w:val="0"/>
          <w:numId w:val="2"/>
        </w:numPr>
      </w:pPr>
      <w:r>
        <w:t xml:space="preserve">Zugang zu und Inanspruchnahme von wesentlichen privaten und öffentlichen Diensten und Leistungen (Anhang III Nummer 5)</w:t>
      </w:r>
    </w:p>
    <w:p>
      <w:pPr>
        <w:pStyle w:val="ListParagraph"/>
        <w:numPr>
          <w:ilvl w:val="0"/>
          <w:numId w:val="2"/>
        </w:numPr>
      </w:pPr>
      <w:r>
        <w:t xml:space="preserve">Strafverfolgung (Anhang III Nummer 6)</w:t>
      </w:r>
    </w:p>
    <w:p>
      <w:pPr>
        <w:pStyle w:val="ListParagraph"/>
        <w:numPr>
          <w:ilvl w:val="0"/>
          <w:numId w:val="2"/>
        </w:numPr>
      </w:pPr>
      <w:r>
        <w:t xml:space="preserve">Migration, Asyl und Grenzkontrolle (Anhang III Nummer 7)</w:t>
      </w:r>
    </w:p>
    <w:p>
      <w:pPr>
        <w:pStyle w:val="ListParagraph"/>
        <w:numPr>
          <w:ilvl w:val="0"/>
          <w:numId w:val="2"/>
        </w:numPr>
      </w:pPr>
      <w:r>
        <w:t xml:space="preserve">Rechtspflege und demokratische Prozesse (Anhang III Nummer 8)</w:t>
      </w:r>
    </w:p>
    <w:p>
      <w:pPr>
        <w:spacing w:after="200"/>
      </w:pPr>
    </w:p>
    <w:p>
      <w:pPr>
        <w:pStyle w:val="Heading1"/>
      </w:pPr>
      <w:r>
        <w:t xml:space="preserve">4. Verbotene KI-Praktiken</w:t>
      </w:r>
    </w:p>
    <w:p>
      <w:pPr>
        <w:pStyle w:val="Heading2"/>
      </w:pPr>
      <w:r>
        <w:t xml:space="preserve">4.1 Regelungsgehalt</w:t>
      </w:r>
    </w:p>
    <w:p>
      <w:pPr>
        <w:spacing w:after="150"/>
      </w:pPr>
      <w:r>
        <w:t xml:space="preserve">Artikel 5 der Verordnung enthält einen abschließenden Katalog verbotener KI-Praktiken. Diese Praktiken sind unabhängig von der Rolle des Akteurs untersagt.</w:t>
      </w:r>
    </w:p>
    <w:p>
      <w:pPr>
        <w:pStyle w:val="Heading2"/>
      </w:pPr>
      <w:r>
        <w:t xml:space="preserve">4.2 Verbotstatbestände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Verbotstatbestand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Rechtsgrundlage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Unterschwellige oder manipulative Techniken zur Verhaltensbeeinflussung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Art. 5 Abs. 1 lit. 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Ausnutzung von Schwächen aufgrund von Alter, Behinderung oder sozialer/wirtschaftlicher Situation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Art. 5 Abs. 1 lit. 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Soziale Bewertungssysteme (Social Scoring)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Art. 5 Abs. 1 lit. 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Kriminalitätsrisikoprognose auf Grundlage von Profiling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Art. 5 Abs. 1 lit. 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Gesichtserkennung durch ungezieltes Scraping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Art. 5 Abs. 1 lit. 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Emotionserkennung am Arbeitsplatz und in Bildungseinrichtungen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Art. 5 Abs. 1 lit. f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Biometrische Kategorisierung nach sensiblen Merkmalen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Art. 5 Abs. 1 lit. 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Biometrische Echtzeit-Fernidentifizierung in öffentlichen Räumen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Art. 5 Abs. 1 lit. 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Anforderungen an Hochrisiko-KI-Systeme</w:t>
      </w:r>
    </w:p>
    <w:p>
      <w:pPr>
        <w:pStyle w:val="Heading2"/>
      </w:pPr>
      <w:r>
        <w:t xml:space="preserve">5.1 Anforderungskatalog</w:t>
      </w:r>
    </w:p>
    <w:p>
      <w:pPr>
        <w:spacing w:after="100"/>
      </w:pPr>
      <w:r>
        <w:t xml:space="preserve">Die Verordnung stellt an Hochrisiko-KI-Systeme folgende Anforderungen: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Anforderung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Gegenstand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Rechtsgrundlage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Risikomanagementsystem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Risikoidentifikation, -bewertung, -minderung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9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Daten und Datenverwaltung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Data Governance, Datenqualität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10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Technische Dokumentation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Systembeschreibung, Entwicklungsprozess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11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Aufbewahrung von Aufzeichnungen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Protokollierung, Nachvollziehbarkeit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12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Transparenz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Gebrauchsanweisung, Informationspflichten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13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Menschliche Aufsicht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Überwachung, Eingriffsmöglichkeit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14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Genauigkeit, Robustheit, Cybersicherheit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Leistung, Widerstandsfähigkeit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Artikel 15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Menschliche Aufsicht</w:t>
      </w:r>
    </w:p>
    <w:p>
      <w:pPr>
        <w:spacing w:after="100"/>
      </w:pPr>
      <w:r>
        <w:t xml:space="preserve">Artikel 14 der Verordnung konkretisiert die Anforderungen an die menschliche Aufsicht. Hochrisiko-KI-Systeme sind so zu konzipieren, dass:</w:t>
      </w:r>
    </w:p>
    <w:p>
      <w:pPr>
        <w:pStyle w:val="ListParagraph"/>
        <w:numPr>
          <w:ilvl w:val="0"/>
          <w:numId w:val="3"/>
        </w:numPr>
      </w:pPr>
      <w:r>
        <w:t xml:space="preserve">natürliche Personen die relevanten Fähigkeiten und Grenzen des Systems verstehen können (Artikel 14 Absatz 4 Buchstabe a)</w:t>
      </w:r>
    </w:p>
    <w:p>
      <w:pPr>
        <w:pStyle w:val="ListParagraph"/>
        <w:numPr>
          <w:ilvl w:val="0"/>
          <w:numId w:val="3"/>
        </w:numPr>
      </w:pPr>
      <w:r>
        <w:t xml:space="preserve">der Betrieb ordnungsgemäß überwacht werden kann (Artikel 14 Absatz 4 Buchstabe b)</w:t>
      </w:r>
    </w:p>
    <w:p>
      <w:pPr>
        <w:pStyle w:val="ListParagraph"/>
        <w:numPr>
          <w:ilvl w:val="0"/>
          <w:numId w:val="3"/>
        </w:numPr>
      </w:pPr>
      <w:r>
        <w:t xml:space="preserve">Anomalien, Fehlfunktionen und unerwartete Leistungen erkannt werden können (Artikel 14 Absatz 4 Buchstabe c)</w:t>
      </w:r>
    </w:p>
    <w:p>
      <w:pPr>
        <w:pStyle w:val="ListParagraph"/>
        <w:numPr>
          <w:ilvl w:val="0"/>
          <w:numId w:val="3"/>
        </w:numPr>
      </w:pPr>
      <w:r>
        <w:t xml:space="preserve">die Ausgaben korrekt interpretiert werden können (Artikel 14 Absatz 4 Buchstabe d)</w:t>
      </w:r>
    </w:p>
    <w:p>
      <w:pPr>
        <w:pStyle w:val="ListParagraph"/>
        <w:numPr>
          <w:ilvl w:val="0"/>
          <w:numId w:val="3"/>
        </w:numPr>
      </w:pPr>
      <w:r>
        <w:t xml:space="preserve">die Entscheidung getroffen werden kann, das System nicht zu verwenden (Artikel 14 Absatz 4 Buchstabe e)</w:t>
      </w:r>
    </w:p>
    <w:p>
      <w:pPr>
        <w:pStyle w:val="ListParagraph"/>
        <w:numPr>
          <w:ilvl w:val="0"/>
          <w:numId w:val="3"/>
        </w:numPr>
      </w:pPr>
      <w:r>
        <w:t xml:space="preserve">in den Betrieb eingegriffen oder dieser unterbrochen werden kann (Artikel 14 Absatz 4 Buchstabe f)</w:t>
      </w:r>
    </w:p>
    <w:p>
      <w:pPr>
        <w:spacing w:after="200"/>
      </w:pPr>
    </w:p>
    <w:p>
      <w:pPr>
        <w:pStyle w:val="Heading1"/>
      </w:pPr>
      <w:r>
        <w:t xml:space="preserve">6. Pflichten der Akteure</w:t>
      </w:r>
    </w:p>
    <w:p>
      <w:pPr>
        <w:pStyle w:val="Heading2"/>
      </w:pPr>
      <w:r>
        <w:t xml:space="preserve">6.1 Anbieterpflichten</w:t>
      </w:r>
    </w:p>
    <w:p>
      <w:pPr>
        <w:spacing w:after="100"/>
      </w:pPr>
      <w:r>
        <w:t xml:space="preserve">Die Pflichten des Anbieters von Hochrisiko-KI-Systemen sind in Artikel 16 der Verordnung geregelt. Der Anbieter stellt sicher, dass das KI-System die Anforderungen der Artikel 9 bis 15 erfüllt.</w:t>
      </w:r>
    </w:p>
    <w:p>
      <w:pPr>
        <w:pStyle w:val="Heading2"/>
      </w:pPr>
      <w:r>
        <w:t xml:space="preserve">6.2 Betreiberpflichten</w:t>
      </w:r>
    </w:p>
    <w:p>
      <w:pPr>
        <w:spacing w:after="100"/>
      </w:pPr>
      <w:r>
        <w:t xml:space="preserve">Die Pflichten des Betreibers von Hochrisiko-KI-Systemen sind in Artikel 26 der Verordnung geregelt. Wesentliche Betreiberpflichten umfassen:</w:t>
      </w:r>
    </w:p>
    <w:p>
      <w:pPr>
        <w:pStyle w:val="ListParagraph"/>
        <w:numPr>
          <w:ilvl w:val="0"/>
          <w:numId w:val="4"/>
        </w:numPr>
      </w:pPr>
      <w:r>
        <w:t xml:space="preserve">Umsetzung geeigneter technischer und organisatorischer Maßnahmen (Artikel 26 Absatz 1)</w:t>
      </w:r>
    </w:p>
    <w:p>
      <w:pPr>
        <w:pStyle w:val="ListParagraph"/>
        <w:numPr>
          <w:ilvl w:val="0"/>
          <w:numId w:val="4"/>
        </w:numPr>
      </w:pPr>
      <w:r>
        <w:t xml:space="preserve">Zuweisung der menschlichen Aufsicht an kompetente Personen (Artikel 26 Absatz 2)</w:t>
      </w:r>
    </w:p>
    <w:p>
      <w:pPr>
        <w:pStyle w:val="ListParagraph"/>
        <w:numPr>
          <w:ilvl w:val="0"/>
          <w:numId w:val="4"/>
        </w:numPr>
      </w:pPr>
      <w:r>
        <w:t xml:space="preserve">Sicherstellung der Relevanz der Eingabedaten (Artikel 26 Absatz 4)</w:t>
      </w:r>
    </w:p>
    <w:p>
      <w:pPr>
        <w:pStyle w:val="ListParagraph"/>
        <w:numPr>
          <w:ilvl w:val="0"/>
          <w:numId w:val="4"/>
        </w:numPr>
      </w:pPr>
      <w:r>
        <w:t xml:space="preserve">Überwachung des Betriebs gemäß Gebrauchsanweisung (Artikel 26 Absatz 5)</w:t>
      </w:r>
    </w:p>
    <w:p>
      <w:pPr>
        <w:pStyle w:val="ListParagraph"/>
        <w:numPr>
          <w:ilvl w:val="0"/>
          <w:numId w:val="4"/>
        </w:numPr>
      </w:pPr>
      <w:r>
        <w:t xml:space="preserve">Aufbewahrung automatisch erzeugter Protokolle (Artikel 26 Absatz 6)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Einschränkungen und Vorbehalte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WESENTLICHE EINSCHRÄNKUNGEN</w:t>
            </w:r>
          </w:p>
          <w:p>
            <w:pPr>
              <w:spacing w:before="100"/>
            </w:pPr>
            <w:r>
              <w:t xml:space="preserve">Dieses Dossier unterliegt folgenden Einschränkungen: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7.1 Keine Rechtsberatung</w:t>
      </w:r>
    </w:p>
    <w:p>
      <w:pPr>
        <w:spacing w:after="150"/>
      </w:pPr>
      <w:r>
        <w:t xml:space="preserve">Dieses Dokument stellt keine Rechtsberatung dar. Die Inhalte wurden ohne Kenntnis der konkreten Umstände des Einzelfalls erstellt. Eine rechtliche Beratung durch qualifizierte Rechtsberater bleibt erforderlich.</w:t>
      </w:r>
    </w:p>
    <w:p>
      <w:pPr>
        <w:pStyle w:val="Heading2"/>
      </w:pPr>
      <w:r>
        <w:t xml:space="preserve">7.2 Keine Rechtsauslegung</w:t>
      </w:r>
    </w:p>
    <w:p>
      <w:pPr>
        <w:spacing w:after="150"/>
      </w:pPr>
      <w:r>
        <w:t xml:space="preserve">Dieses Dokument enthält keine Auslegung der Verordnung (EU) 2024/1689. Die Darstellung der Verordnungsinhalte erfolgt ohne interpretative Wertung. Für die verbindliche Auslegung sind die zuständigen Behörden und Gerichte maßgeblich.</w:t>
      </w:r>
    </w:p>
    <w:p>
      <w:pPr>
        <w:pStyle w:val="Heading2"/>
      </w:pPr>
      <w:r>
        <w:t xml:space="preserve">7.3 Keine Konformitätszusage</w:t>
      </w:r>
    </w:p>
    <w:p>
      <w:pPr>
        <w:spacing w:after="150"/>
      </w:pPr>
      <w:r>
        <w:t xml:space="preserve">Die Verwendung dieses Dokuments begründet keine Konformität mit der Verordnung. Die Konformitätsbewertung obliegt dem jeweiligen Anbieter oder Betreiber unter Beachtung der einschlägigen Verfahren.</w:t>
      </w:r>
    </w:p>
    <w:p>
      <w:pPr>
        <w:pStyle w:val="Heading2"/>
      </w:pPr>
      <w:r>
        <w:t xml:space="preserve">7.4 Dokumentationscharakter</w:t>
      </w:r>
    </w:p>
    <w:p>
      <w:pPr>
        <w:spacing w:after="150"/>
      </w:pPr>
      <w:r>
        <w:t xml:space="preserve">Dieses Dokument ist ein internes Governance-Artefakt. Es dient der Dokumentation des Governance-Standes und der Strukturierung interner Prozesse. Es ersetzt keine behördlich geforderte Dokumentation.</w:t>
      </w:r>
    </w:p>
    <w:p>
      <w:pPr>
        <w:pStyle w:val="Heading2"/>
      </w:pPr>
      <w:r>
        <w:t xml:space="preserve">7.5 Aktualität</w:t>
      </w:r>
    </w:p>
    <w:p>
      <w:pPr>
        <w:spacing w:after="150"/>
      </w:pPr>
      <w:r>
        <w:t xml:space="preserve">Die Inhalte dieses Dokuments entsprechen dem Stand zum Erstellungszeitpunkt. Änderungen der Verordnung, delegierte Rechtsakte, Durchführungsrechtsakte oder Leitlinien der zuständigen Behörden können eine Aktualisierung erforderlich machen.</w:t>
      </w:r>
    </w:p>
    <w:p>
      <w:pPr>
        <w:pStyle w:val="Heading2"/>
      </w:pPr>
      <w:r>
        <w:t xml:space="preserve">7.6 Erforderliche Maßnahmen</w:t>
      </w:r>
    </w:p>
    <w:p>
      <w:pPr>
        <w:spacing w:after="100"/>
      </w:pPr>
      <w:r>
        <w:t xml:space="preserve">Vor der Verwendung dieses Dokuments für Governance-Zwecke ist erforderlich:</w:t>
      </w:r>
    </w:p>
    <w:p>
      <w:pPr>
        <w:pStyle w:val="ListParagraph"/>
        <w:numPr>
          <w:ilvl w:val="0"/>
          <w:numId w:val="5"/>
        </w:numPr>
      </w:pPr>
      <w:r>
        <w:t xml:space="preserve">Rechtliche Prüfung durch qualifizierte Stellen</w:t>
      </w:r>
    </w:p>
    <w:p>
      <w:pPr>
        <w:pStyle w:val="ListParagraph"/>
        <w:numPr>
          <w:ilvl w:val="0"/>
          <w:numId w:val="5"/>
        </w:numPr>
      </w:pPr>
      <w:r>
        <w:t xml:space="preserve">Anpassung an die spezifische Unternehmenssituation</w:t>
      </w:r>
    </w:p>
    <w:p>
      <w:pPr>
        <w:pStyle w:val="ListParagraph"/>
        <w:numPr>
          <w:ilvl w:val="0"/>
          <w:numId w:val="5"/>
        </w:numPr>
      </w:pPr>
      <w:r>
        <w:t xml:space="preserve">Abgleich mit dem aktuellen Rechtsstand</w:t>
      </w:r>
    </w:p>
    <w:p>
      <w:pPr>
        <w:pStyle w:val="ListParagraph"/>
        <w:numPr>
          <w:ilvl w:val="0"/>
          <w:numId w:val="5"/>
        </w:numPr>
      </w:pPr>
      <w:r>
        <w:t xml:space="preserve">Formelle Freigabe durch die zuständige Stelle</w:t>
      </w:r>
    </w:p>
    <w:p>
      <w:pPr>
        <w:spacing w:after="200"/>
      </w:pPr>
    </w:p>
    <w:p>
      <w:pPr>
        <w:pStyle w:val="Heading1"/>
      </w:pPr>
      <w:r>
        <w:t xml:space="preserve">8. Übergangsfristen</w:t>
      </w:r>
    </w:p>
    <w:p>
      <w:pPr>
        <w:pStyle w:val="Heading2"/>
      </w:pPr>
      <w:r>
        <w:t xml:space="preserve">8.1 Gestaffelte Anwendung</w:t>
      </w:r>
    </w:p>
    <w:p>
      <w:pPr>
        <w:spacing w:after="100"/>
      </w:pPr>
      <w:r>
        <w:t xml:space="preserve">Artikel 113 der Verordnung sieht eine gestaffelte Anwendung vor: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Regelungsbereich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Anwendung ab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Verbotene KI-Praktiken (Kapitel II)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 Februar 2025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KI-Modelle mit allgemeinem Verwendungszweck (Kapitel V)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 August 2025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Governance und Sanktionen (Kapitel VII, XII)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 August 2025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Hochrisiko-KI-Systeme nach Anhang III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 August 2026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Hochrisiko-KI-Systeme nach Anhang 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2. August 2027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Sanktionsrahmen</w:t>
      </w:r>
    </w:p>
    <w:p>
      <w:pPr>
        <w:spacing w:after="100"/>
      </w:pPr>
      <w:r>
        <w:t xml:space="preserve">Artikel 99 der Verordnung sieht folgende Sanktionsrahmen vor: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Verstoß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Bußgeldrahmen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Verbotene KI-Praktiken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Bis 35 Mio. EUR / 7% Jahresumsatz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Verstoß gegen Anforderungen Artikel 9–15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Bis 15 Mio. EUR / 3% Jahresumsatz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Falsche oder unvollständige Angaben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Bis 7,5 Mio. EUR / 1% Jahresumsatz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Dokumentkontrolle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Dokumentennummer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GOV-KI-2024-001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Fassung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Erstellungsdatum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Januar 2025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Klassifikation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Intern / Vertraulich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Rechtsgrundlage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Verordnung (EU) 2024/1689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b/>
                <w:bCs/>
              </w:rPr>
              <w:t xml:space="preserve">Dokumentart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Internes Governance-Artefakt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Freigabe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/>
              <w:left/>
              <w:bottom w:val="single" w:color="000000" w:sz="1"/>
              <w:right/>
            </w:tcBorders>
          </w:tcPr>
          <w:p>
            <w:pPr>
              <w:spacing w:before="400"/>
            </w:pPr>
          </w:p>
          <w:p>
            <w:r>
              <w:t xml:space="preserve">Datum</w:t>
            </w:r>
          </w:p>
        </w:tc>
        <w:tc>
          <w:tcPr>
            <w:tcBorders>
              <w:top/>
              <w:left/>
              <w:bottom w:val="single" w:color="000000" w:sz="1"/>
              <w:right/>
            </w:tcBorders>
          </w:tcPr>
          <w:p>
            <w:pPr>
              <w:spacing w:before="400"/>
            </w:pPr>
          </w:p>
          <w:p>
            <w:r>
              <w:t xml:space="preserve">Freigabe</w:t>
            </w:r>
          </w:p>
        </w:tc>
      </w:tr>
    </w:tbl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</w:rPr>
              <w:t xml:space="preserve">DOKUMENTCHARAKTER</w:t>
            </w:r>
          </w:p>
          <w:p>
            <w:pPr>
              <w:spacing w:after="100"/>
              <w:jc w:val="center"/>
            </w:pPr>
            <w:r>
              <w:t xml:space="preserve">Internes Governance-Artefakt</w:t>
            </w:r>
          </w:p>
          <w:p>
            <w:pPr>
              <w:spacing w:after="100"/>
              <w:jc w:val="center"/>
            </w:pPr>
            <w:r>
              <w:t xml:space="preserve">Keine Rechtsberatung – Keine Rechtsauslegung – Keine Konformitätszusage</w:t>
            </w:r>
          </w:p>
          <w:p>
            <w:pPr>
              <w:spacing w:after="100"/>
              <w:jc w:val="center"/>
            </w:pPr>
            <w:r>
              <w:t xml:space="preserve">Rechtliche Prüfung vor Verwendung erforderlich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Seite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von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t xml:space="preserve">EU AI Act Governance Assessment Dossier – Internes Dokument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2026-01-06T08:40:24.877Z</dcterms:created>
  <dcterms:modified xsi:type="dcterms:W3CDTF">2026-01-06T08:40:24.877Z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