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Hans"/>
              </w:rPr>
              <w:t>C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</w:rPr>
              <w:t>2206751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first"/>
          <w:pgSz w:w="12240" w:h="15840"/>
          <w:pgMar w:top="576" w:right="1440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</w:p>
    <w:p>
      <w:pPr>
        <w:jc w:val="center"/>
        <w:rPr>
          <w:rFonts w:ascii="Tahoma" w:hAnsi="Tahoma" w:cs="Tahoma"/>
          <w:sz w:val="20"/>
          <w:szCs w:val="20"/>
        </w:rPr>
        <w:sectPr>
          <w:type w:val="continuous"/>
          <w:pgSz w:w="12240" w:h="15840"/>
          <w:pgMar w:top="1440" w:right="1440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Contents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sectPr>
          <w:pgSz w:w="12240" w:h="15840"/>
          <w:pgMar w:top="1440" w:right="1440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bookmarkStart w:id="0" w:name="_Toc5827"/>
      <w:bookmarkStart w:id="1" w:name="_Toc20610"/>
      <w:r>
        <w:rPr>
          <w:rFonts w:hint="default" w:ascii="Times New Roman" w:hAnsi="Times New Roman" w:eastAsia="黑体" w:cs="Times New Roman"/>
          <w:b/>
          <w:bCs/>
          <w:sz w:val="36"/>
          <w:szCs w:val="36"/>
          <w:lang w:val="en-US" w:eastAsia="zh-CN"/>
        </w:rPr>
        <w:t xml:space="preserve">1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Introductio</w:t>
      </w:r>
      <w:bookmarkEnd w:id="0"/>
      <w:bookmarkEnd w:id="1"/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 </w:t>
      </w:r>
      <w:bookmarkStart w:id="2" w:name="_Toc28164"/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Problem Background</w:t>
      </w:r>
      <w:bookmarkEnd w:id="2"/>
    </w:p>
    <w:p>
      <w:pPr>
        <w:pStyle w:val="11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随着金融体制改革的深入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越来越多的人开始接触投资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。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市场交易者经常买卖波动较大的资产，以实现总回报最大化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的目标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。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而在期货市场中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黄金和比特币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是两种常见的热门资产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它们具有不同的性质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。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黄金是经典的价值储存手段和对冲通胀的工具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它由于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历史原因成为了货币，所以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兼具80%的商品属性+20%的货币属性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另外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由于黄金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资源存储量有限、自身金属性能稳定，所以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能够长期持有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价值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较为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Hans" w:bidi="ar"/>
        </w:rPr>
        <w:t>稳定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330" w:firstLineChars="150"/>
        <w:jc w:val="left"/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比特币是一种数字的、分散的、部分匿名的货币，不受任何政府或其他法律实体的支持，也不可兑换成黄金或其他商品。它依赖于对等网络和加密来维护其完整性。与大多数货币或在线支付服务（如</w:t>
      </w:r>
      <w:r>
        <w:rPr>
          <w:rStyle w:val="13"/>
          <w:rFonts w:hint="eastAsia" w:ascii="宋体" w:hAnsi="宋体" w:eastAsia="宋体" w:cs="宋体"/>
          <w:color w:val="auto"/>
          <w:highlight w:val="none"/>
          <w:shd w:val="clear" w:color="auto" w:fill="auto"/>
        </w:rPr>
        <w:t>PayPal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）相比，比特币流动性强，交易成本低，目前被广泛用于投机化交易。</w:t>
      </w:r>
    </w:p>
    <w:p>
      <w:pPr>
        <w:keepNext w:val="0"/>
        <w:keepLines w:val="0"/>
        <w:widowControl/>
        <w:suppressLineNumbers w:val="0"/>
        <w:ind w:firstLine="330" w:firstLineChars="150"/>
        <w:jc w:val="left"/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CN"/>
        </w:rPr>
        <w:t>在相当长一段时间里，黄金一直是市场稳定的来源之一。而比特币仍被视新鲜事物和陌生事物，其价格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相对而言并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CN"/>
        </w:rPr>
        <w:t>不稳定。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通过</w:t>
      </w:r>
      <w:bookmarkStart w:id="4" w:name="_GoBack"/>
      <w:bookmarkEnd w:id="4"/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研究二者的投资组合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我们可以由此延拓至多种资产的投资组合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  <w:lang w:eastAsia="zh-Hans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因此对这个数据进行分析是也是一种对经济市场的一种分析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</w:rPr>
        <w:t>。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通过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建立量化投资模型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分析市场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投资和理财</w:t>
      </w:r>
      <w:r>
        <w:rPr>
          <w:rFonts w:hint="default" w:ascii="宋体" w:hAnsi="宋体" w:eastAsia="宋体" w:cs="宋体"/>
          <w:color w:val="auto"/>
          <w:highlight w:val="none"/>
          <w:shd w:val="clear" w:color="auto" w:fill="auto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进行量化投资预测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由此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  <w:t>创建利益最大化，</w:t>
      </w:r>
      <w:r>
        <w:rPr>
          <w:rFonts w:hint="eastAsia" w:ascii="宋体" w:hAnsi="宋体" w:eastAsia="宋体" w:cs="宋体"/>
          <w:color w:val="auto"/>
          <w:highlight w:val="none"/>
          <w:shd w:val="clear" w:color="auto" w:fill="auto"/>
          <w:lang w:val="en-US" w:eastAsia="zh-Hans"/>
        </w:rPr>
        <w:t>提高投资交易行为盈利的概率将成为经济市场的一大趋势</w:t>
      </w:r>
      <w:r>
        <w:rPr>
          <w:rFonts w:hint="default" w:ascii="宋体" w:hAnsi="宋体" w:eastAsia="宋体" w:cs="宋体"/>
          <w:color w:val="auto"/>
          <w:highlight w:val="none"/>
          <w:lang w:eastAsia="zh-Hans"/>
        </w:rPr>
        <w:t>。</w:t>
      </w:r>
    </w:p>
    <w:p>
      <w:pPr>
        <w:pStyle w:val="11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color w:val="auto"/>
          <w:highlight w:val="none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ind w:firstLine="480" w:firstLineChars="200"/>
      </w:pPr>
      <w:r>
        <w:rPr>
          <w:rFonts w:hint="eastAsia" w:ascii="宋体" w:hAnsi="宋体" w:eastAsia="宋体" w:cs="宋体"/>
        </w:rPr>
        <w:t>展</w:t>
      </w:r>
      <w:r>
        <w:t>的过程。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 Problem Statement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 this problem, we need to accomplish the following objectives: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 Overview of Our 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Balabala...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work we have done in this problem is mainly shown in the following Figure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Figure 1: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??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黑体" w:cs="Times New Roman"/>
          <w:b/>
          <w:bCs/>
          <w:sz w:val="36"/>
          <w:szCs w:val="36"/>
          <w:lang w:val="en-US" w:eastAsia="zh-CN"/>
        </w:rPr>
        <w:t xml:space="preserve">2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Assumptions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We made the following assumptions to help us with our modeling. These assumptions 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promise of our subsequent analysis.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54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Aaaaaaaaaaaaaaaaaaaaaaaaaaaaaaaaaaaaaaaaaaaaaaaaaaaaaaaaaaaaaaaaaaaaaaaaaaaaaaaaaaaaaaaaaaaa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3   Notations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The primary notations used in this paper are listed in Table 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Table 1: Notations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80"/>
        <w:gridCol w:w="5640"/>
      </w:tblGrid>
      <w:tr>
        <w:trPr>
          <w:jc w:val="center"/>
        </w:trPr>
        <w:tc>
          <w:tcPr>
            <w:tcW w:w="2580" w:type="dxa"/>
            <w:tcBorders>
              <w:top w:val="single" w:color="auto" w:sz="18" w:space="0"/>
              <w:left w:val="nil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Symbol</w:t>
            </w:r>
          </w:p>
        </w:tc>
        <w:tc>
          <w:tcPr>
            <w:tcW w:w="5640" w:type="dxa"/>
            <w:tcBorders>
              <w:top w:val="single" w:color="auto" w:sz="18" w:space="0"/>
              <w:bottom w:val="single" w:color="auto" w:sz="18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</w:tr>
      <w:tr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80" w:type="dxa"/>
            <w:tcBorders>
              <w:top w:val="nil"/>
              <w:left w:val="nil"/>
              <w:bottom w:val="single" w:color="auto" w:sz="1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tcBorders>
              <w:top w:val="nil"/>
              <w:bottom w:val="single" w:color="auto" w:sz="18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4  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Model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Chars="0"/>
        <w:jc w:val="both"/>
        <w:textAlignment w:val="auto"/>
        <w:outlineLvl w:val="1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4.1  </w:t>
      </w:r>
      <w:bookmarkStart w:id="3" w:name="_Toc26404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Preliminary Preparation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5  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Model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Chars="0"/>
        <w:jc w:val="both"/>
        <w:textAlignment w:val="auto"/>
        <w:outlineLvl w:val="1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5.1   Preliminary Preparation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6  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Model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Chars="0"/>
        <w:jc w:val="both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6.1   Preliminary Preparation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7   Sensitivity Analysis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8   Strengths and Weaknesses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8.1   Strengths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8.2   Weaknesses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8.3   Future 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9   Conclusion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Memo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References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Appendix</w:t>
      </w:r>
    </w:p>
    <w:sectPr>
      <w:headerReference r:id="rId4" w:type="default"/>
      <w:pgSz w:w="12240" w:h="15840"/>
      <w:pgMar w:top="1440" w:right="1440" w:bottom="1440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00002FF" w:usb1="4000ACFF" w:usb2="00000001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6020202030204"/>
    <w:charset w:val="01"/>
    <w:family w:val="swiss"/>
    <w:pitch w:val="default"/>
    <w:sig w:usb0="00000287" w:usb1="00000800" w:usb2="00000000" w:usb3="00000000" w:csb0="2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00806050000020004"/>
    <w:charset w:val="00"/>
    <w:family w:val="auto"/>
    <w:pitch w:val="default"/>
    <w:sig w:usb0="80000027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706020202030204"/>
    <w:charset w:val="00"/>
    <w:family w:val="auto"/>
    <w:pitch w:val="default"/>
    <w:sig w:usb0="00000287" w:usb1="00000800" w:usb2="00000000" w:usb3="00000000" w:csb0="2000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 xml:space="preserve"> of 25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lang w:val="en-US" w:eastAsia="zh-CN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 w:eastAsia="宋体"/>
                        <w:lang w:val="en-US" w:eastAsia="zh-CN"/>
                      </w:rPr>
                      <w:t xml:space="preserve"> of 25</w:t>
                    </w:r>
                  </w:p>
                </w:txbxContent>
              </v:textbox>
            </v:shape>
          </w:pict>
        </mc:Fallback>
      </mc:AlternateContent>
    </w:r>
    <w:r>
      <w:rPr>
        <w:rStyle w:val="6"/>
        <w:rFonts w:hint="eastAsia" w:eastAsia="宋体"/>
        <w:lang w:val="en-US" w:eastAsia="zh-CN"/>
      </w:rPr>
      <w:t>Team # 2206751</w:t>
    </w:r>
    <w:r>
      <w:rPr>
        <w:rStyle w:val="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B2E66"/>
    <w:multiLevelType w:val="singleLevel"/>
    <w:tmpl w:val="FCBB2E66"/>
    <w:lvl w:ilvl="0" w:tentative="0">
      <w:start w:val="1"/>
      <w:numFmt w:val="bullet"/>
      <w:lvlText w:val=""/>
      <w:lvlJc w:val="left"/>
      <w:pPr>
        <w:ind w:left="0" w:leftChars="0" w:firstLine="454" w:firstLineChars="0"/>
      </w:pPr>
      <w:rPr>
        <w:rFonts w:hint="default" w:ascii="Wingdings" w:hAnsi="Wingdings"/>
      </w:rPr>
    </w:lvl>
  </w:abstractNum>
  <w:abstractNum w:abstractNumId="1">
    <w:nsid w:val="21A1BDA9"/>
    <w:multiLevelType w:val="multilevel"/>
    <w:tmpl w:val="21A1BD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967E1"/>
    <w:rsid w:val="00DB59BB"/>
    <w:rsid w:val="00E85789"/>
    <w:rsid w:val="00EA201B"/>
    <w:rsid w:val="00FD4DD0"/>
    <w:rsid w:val="09BD2FFD"/>
    <w:rsid w:val="19D859C1"/>
    <w:rsid w:val="1B8042D0"/>
    <w:rsid w:val="1EDD1350"/>
    <w:rsid w:val="2A9738AE"/>
    <w:rsid w:val="2E274C93"/>
    <w:rsid w:val="7F7D8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page number"/>
    <w:basedOn w:val="4"/>
    <w:unhideWhenUsed/>
    <w:qFormat/>
    <w:uiPriority w:val="99"/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4"/>
    <w:link w:val="3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Footer Char"/>
    <w:basedOn w:val="4"/>
    <w:link w:val="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FFFFFF"/>
      <w:kern w:val="0"/>
      <w:sz w:val="24"/>
      <w:szCs w:val="24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FFFFF"/>
      <w:kern w:val="0"/>
      <w:sz w:val="24"/>
      <w:szCs w:val="24"/>
      <w:lang w:val="en-US" w:eastAsia="zh-CN" w:bidi="ar"/>
    </w:rPr>
  </w:style>
  <w:style w:type="character" w:customStyle="1" w:styleId="13">
    <w:name w:val="s1"/>
    <w:basedOn w:val="4"/>
    <w:uiPriority w:val="0"/>
    <w:rPr>
      <w:rFonts w:hint="default" w:ascii="helvetica" w:hAnsi="helvetica" w:eastAsia="helvetica" w:cs="helvetic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2019-10-09T22:00:00Z</dcterms:created>
  <dc:creator>COMAP Inc.</dc:creator>
  <cp:lastModifiedBy>pengwen</cp:lastModifiedBy>
  <dcterms:modified xsi:type="dcterms:W3CDTF">2022-02-19T01:12:38Z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8F1D153144C34A3E839C889C1C5E1E00</vt:lpwstr>
  </property>
</Properties>
</file>