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72"/>
          <w:szCs w:val="72"/>
        </w:rPr>
        <w:t xml:space="preserve">DajSrce</w:t>
      </w:r>
    </w:p>
    <w:p>
      <w:pPr>
        <w:spacing w:after="600"/>
        <w:jc w:val="center"/>
      </w:pPr>
      <w:r>
        <w:rPr>
          <w:rFonts w:ascii="Arial" w:cs="Arial" w:eastAsia="Arial" w:hAnsi="Arial"/>
          <w:b/>
          <w:bCs/>
          <w:color w:val="2F5496"/>
          <w:sz w:val="36"/>
          <w:szCs w:val="36"/>
        </w:rPr>
        <w:t xml:space="preserve">ESG &amp; CSR Reporting — Implementation Plan</w:t>
      </w:r>
    </w:p>
    <w:p>
      <w:pPr>
        <w:spacing w:after="200"/>
        <w:jc w:val="center"/>
      </w:pPr>
      <w:r>
        <w:rPr>
          <w:rFonts w:ascii="Arial" w:cs="Arial" w:eastAsia="Arial" w:hAnsi="Arial"/>
          <w:i/>
          <w:iCs/>
          <w:color w:val="555555"/>
          <w:sz w:val="22"/>
          <w:szCs w:val="22"/>
        </w:rPr>
        <w:t xml:space="preserve">Regulatory research, product design, data model, phased roadmap, and monetization thesis</w:t>
      </w:r>
    </w:p>
    <w:p>
      <w:pPr>
        <w:spacing w:after="60" w:before="2400"/>
        <w:jc w:val="center"/>
      </w:pPr>
      <w:r>
        <w:rPr>
          <w:rFonts w:ascii="Arial" w:cs="Arial" w:eastAsia="Arial" w:hAnsi="Arial"/>
          <w:sz w:val="22"/>
          <w:szCs w:val="22"/>
        </w:rPr>
        <w:t xml:space="preserve">Prepared for: Ivan Dražetić</w:t>
      </w:r>
    </w:p>
    <w:p>
      <w:pPr>
        <w:spacing w:after="60"/>
        <w:jc w:val="center"/>
      </w:pPr>
      <w:r>
        <w:rPr>
          <w:rFonts w:ascii="Arial" w:cs="Arial" w:eastAsia="Arial" w:hAnsi="Arial"/>
          <w:sz w:val="22"/>
          <w:szCs w:val="22"/>
        </w:rPr>
        <w:t xml:space="preserve">Date: 17 April 2026</w:t>
      </w:r>
    </w:p>
    <w:p>
      <w:pPr>
        <w:jc w:val="center"/>
      </w:pPr>
      <w:r>
        <w:rPr>
          <w:rFonts w:ascii="Arial" w:cs="Arial" w:eastAsia="Arial" w:hAnsi="Arial"/>
          <w:color w:val="2F5496"/>
          <w:sz w:val="22"/>
          <w:szCs w:val="22"/>
        </w:rPr>
        <w:t xml:space="preserve">Project: dajsrce.vercel.app</w:t>
      </w:r>
    </w:p>
    <w:p>
      <w:r>
        <w:br w:type="page"/>
      </w:r>
    </w:p>
    <w:p>
      <w:pPr>
        <w:pStyle w:val="Heading1"/>
        <w:spacing w:after="180" w:before="300"/>
      </w:pPr>
      <w:r>
        <w:rPr>
          <w:rFonts w:ascii="Arial" w:cs="Arial" w:eastAsia="Arial" w:hAnsi="Arial"/>
          <w:b/>
          <w:bCs/>
          <w:color w:val="1F3864"/>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00"/>
      </w:pPr>
      <w:r>
        <w:rPr>
          <w:rFonts w:ascii="Arial" w:cs="Arial" w:eastAsia="Arial" w:hAnsi="Arial"/>
          <w:b/>
          <w:bCs/>
          <w:color w:val="1F3864"/>
          <w:sz w:val="32"/>
          <w:szCs w:val="32"/>
        </w:rPr>
        <w:t xml:space="preserve">Executive summary</w:t>
      </w:r>
    </w:p>
    <w:p>
      <w:pPr>
        <w:spacing w:after="120" w:line="300"/>
        <w:jc w:val="left"/>
      </w:pPr>
      <w:r>
        <w:rPr>
          <w:rFonts w:ascii="Arial" w:cs="Arial" w:eastAsia="Arial" w:hAnsi="Arial"/>
          <w:b w:val="false"/>
          <w:bCs w:val="false"/>
          <w:i w:val="false"/>
          <w:iCs w:val="false"/>
          <w:sz w:val="22"/>
          <w:szCs w:val="22"/>
        </w:rPr>
        <w:t xml:space="preserve">DajSrce today is a free civic-tech platform that connects Zagreb citizens and institutions around donations and volunteering. The data the platform already captures — who gave what, when, to which institution, and which employees volunteered how many hours — is precisely the data large companies and SMEs in the EU now struggle to produce for mandatory and voluntary sustainability reporting, and precisely the evidence the Croatian Tax Administration requires to claim the corporate profit-tax donation deduction.</w:t>
      </w:r>
    </w:p>
    <w:p>
      <w:pPr>
        <w:spacing w:after="120" w:line="300"/>
        <w:jc w:val="left"/>
      </w:pPr>
      <w:r>
        <w:rPr>
          <w:rFonts w:ascii="Arial" w:cs="Arial" w:eastAsia="Arial" w:hAnsi="Arial"/>
          <w:b w:val="false"/>
          <w:bCs w:val="false"/>
          <w:i w:val="false"/>
          <w:iCs w:val="false"/>
          <w:sz w:val="22"/>
          <w:szCs w:val="22"/>
        </w:rPr>
        <w:t xml:space="preserve">The thesis of this plan is simple: donation execution is a commodity, but audit-grade donation and volunteer evidence is not. By layering an ESG/CSR reporting product on top of the existing DajSrce platform, we can keep the citizen and institution experience free while selling a SaaS product to companies that converts the data they already generate on DajSrce into three high-value outputs — annual tax-receipt packs, CSRD/VSME-aligned ESG exports, and branded CSR reports — plus a public impact profile for PR and employer branding.</w:t>
      </w:r>
    </w:p>
    <w:p>
      <w:pPr>
        <w:spacing w:after="120" w:line="300"/>
        <w:jc w:val="left"/>
      </w:pPr>
      <w:r>
        <w:rPr>
          <w:rFonts w:ascii="Arial" w:cs="Arial" w:eastAsia="Arial" w:hAnsi="Arial"/>
          <w:b w:val="false"/>
          <w:bCs w:val="false"/>
          <w:i w:val="false"/>
          <w:iCs w:val="false"/>
          <w:sz w:val="22"/>
          <w:szCs w:val="22"/>
        </w:rPr>
        <w:t xml:space="preserve">The regulatory context in April 2026 is favourable. The EU Omnibus I package, published in the Official Journal on 26 February 2026, narrowed full CSRD scope to companies with more than 1,000 employees and over €450m net turnover, while the Commission’s 30 July 2025 Recommendation on the Voluntary SME Standard (VSME) creates a single, market-blessed template for everyone below that threshold. Croatia transposed the CSRD into the Accounting Act (OG 85/2024) in July 2024 without gold-plating, and HANFA supervises compliance with penalties up to EUR 13,270. The Croatian Profit Tax Act allows a donation deduction of 2% of prior-year revenue, with an uncapped strategic-projects exception; the user has flagged an expected further uplift toward 4%, which would double the available tax shield and materially increase willingness to pay for a platform that proves the deduction.</w:t>
      </w:r>
    </w:p>
    <w:p>
      <w:pPr>
        <w:spacing w:after="120" w:line="300"/>
        <w:jc w:val="left"/>
      </w:pPr>
      <w:r>
        <w:rPr>
          <w:rFonts w:ascii="Arial" w:cs="Arial" w:eastAsia="Arial" w:hAnsi="Arial"/>
          <w:b w:val="false"/>
          <w:bCs w:val="false"/>
          <w:i w:val="false"/>
          <w:iCs w:val="false"/>
          <w:sz w:val="22"/>
          <w:szCs w:val="22"/>
        </w:rPr>
        <w:t xml:space="preserve">The plan proposes a three-tier SaaS product (Free / SME / Enterprise) layered on top of the existing Supabase + Next.js stack, an additive data model (companies, company memberships, campaigns, volunteer hours, acknowledgements, receipts, reports), and a five-phase roadmap that can be delivered incrementally without destabilising the current public site. Phase 1 (tax receipts) is the fastest path to paid conversion; Phase 2 (VSME/ESRS exports) is the defensible moat; Phase 3 (branded CSR reports + public profiles) is the viral growth lever. At a blended ARPU of ~EUR 1,800/year across ~500 paying Croatian companies alone, DajSrce reaches ~EUR 0.9m ARR without leaving Zagreb, with EU-wide expansion as natural optionality.</w:t>
      </w:r>
    </w:p>
    <w:p>
      <w:r>
        <w:br w:type="page"/>
      </w:r>
    </w:p>
    <w:p>
      <w:pPr>
        <w:pStyle w:val="Heading1"/>
        <w:spacing w:after="180" w:before="300"/>
      </w:pPr>
      <w:r>
        <w:rPr>
          <w:rFonts w:ascii="Arial" w:cs="Arial" w:eastAsia="Arial" w:hAnsi="Arial"/>
          <w:b/>
          <w:bCs/>
          <w:color w:val="1F3864"/>
          <w:sz w:val="32"/>
          <w:szCs w:val="32"/>
        </w:rPr>
        <w:t xml:space="preserve">Part I — EU regulatory landscape</w:t>
      </w:r>
    </w:p>
    <w:p>
      <w:pPr>
        <w:pStyle w:val="Heading2"/>
        <w:spacing w:after="120" w:before="240"/>
      </w:pPr>
      <w:r>
        <w:rPr>
          <w:rFonts w:ascii="Arial" w:cs="Arial" w:eastAsia="Arial" w:hAnsi="Arial"/>
          <w:b/>
          <w:bCs/>
          <w:color w:val="1F3864"/>
          <w:sz w:val="26"/>
          <w:szCs w:val="26"/>
        </w:rPr>
        <w:t xml:space="preserve">1. CSRD and the 2026 Omnibus</w:t>
      </w:r>
    </w:p>
    <w:p>
      <w:pPr>
        <w:spacing w:after="120" w:line="300"/>
        <w:jc w:val="left"/>
      </w:pPr>
      <w:r>
        <w:rPr>
          <w:rFonts w:ascii="Arial" w:cs="Arial" w:eastAsia="Arial" w:hAnsi="Arial"/>
          <w:b w:val="false"/>
          <w:bCs w:val="false"/>
          <w:i w:val="false"/>
          <w:iCs w:val="false"/>
          <w:sz w:val="22"/>
          <w:szCs w:val="22"/>
        </w:rPr>
        <w:t xml:space="preserve">The Corporate Sustainability Reporting Directive (CSRD, Directive (EU) 2022/2464) is the binding EU regime for non-financial reporting. It mandates preparation of a sustainability statement prepared under the European Sustainability Reporting Standards (ESRS) adopted by the Commission as a delegated act on 31 July 2023.</w:t>
      </w:r>
    </w:p>
    <w:p>
      <w:pPr>
        <w:spacing w:after="120" w:line="300"/>
        <w:jc w:val="left"/>
      </w:pPr>
      <w:r>
        <w:rPr>
          <w:rFonts w:ascii="Arial" w:cs="Arial" w:eastAsia="Arial" w:hAnsi="Arial"/>
          <w:b w:val="false"/>
          <w:bCs w:val="false"/>
          <w:i w:val="false"/>
          <w:iCs w:val="false"/>
          <w:sz w:val="22"/>
          <w:szCs w:val="22"/>
        </w:rPr>
        <w:t xml:space="preserve">The political economy shifted in 2025–2026. The Commission’s "Omnibus I" proposal of 26 February 2025 was adopted by the Council on 24 February 2026 and published in the Official Journal on 26 February 2026. It materially changes scope, content and timing:</w:t>
      </w:r>
    </w:p>
    <w:p>
      <w:pPr>
        <w:pStyle w:val="ListParagraph"/>
        <w:numPr>
          <w:ilvl w:val="0"/>
          <w:numId w:val="2"/>
        </w:numPr>
        <w:spacing w:after="60" w:line="280"/>
      </w:pPr>
      <w:r>
        <w:rPr>
          <w:rFonts w:ascii="Arial" w:cs="Arial" w:eastAsia="Arial" w:hAnsi="Arial"/>
          <w:b/>
          <w:bCs/>
          <w:sz w:val="22"/>
          <w:szCs w:val="22"/>
        </w:rPr>
        <w:t xml:space="preserve">Scope: </w:t>
      </w:r>
      <w:r>
        <w:rPr>
          <w:rFonts w:ascii="Arial" w:cs="Arial" w:eastAsia="Arial" w:hAnsi="Arial"/>
          <w:sz w:val="22"/>
          <w:szCs w:val="22"/>
        </w:rPr>
        <w:t xml:space="preserve">full CSRD obligations apply only to undertakings with more than 1,000 employees and net turnover above €450m. The previous thresholds (250 employees / €50m turnover / €25m total assets) no longer bring a company in scope.</w:t>
      </w:r>
    </w:p>
    <w:p>
      <w:pPr>
        <w:pStyle w:val="ListParagraph"/>
        <w:numPr>
          <w:ilvl w:val="0"/>
          <w:numId w:val="2"/>
        </w:numPr>
        <w:spacing w:after="60" w:line="280"/>
      </w:pPr>
      <w:r>
        <w:rPr>
          <w:rFonts w:ascii="Arial" w:cs="Arial" w:eastAsia="Arial" w:hAnsi="Arial"/>
          <w:b/>
          <w:bCs/>
          <w:sz w:val="22"/>
          <w:szCs w:val="22"/>
        </w:rPr>
        <w:t xml:space="preserve">Wave 1: </w:t>
      </w:r>
      <w:r>
        <w:rPr>
          <w:rFonts w:ascii="Arial" w:cs="Arial" w:eastAsia="Arial" w:hAnsi="Arial"/>
          <w:sz w:val="22"/>
          <w:szCs w:val="22"/>
        </w:rPr>
        <w:t xml:space="preserve">continues for former NFRD entities meeting the new thresholds (FY2024 report filed in 2025).</w:t>
      </w:r>
    </w:p>
    <w:p>
      <w:pPr>
        <w:pStyle w:val="ListParagraph"/>
        <w:numPr>
          <w:ilvl w:val="0"/>
          <w:numId w:val="2"/>
        </w:numPr>
        <w:spacing w:after="60" w:line="280"/>
      </w:pPr>
      <w:r>
        <w:rPr>
          <w:rFonts w:ascii="Arial" w:cs="Arial" w:eastAsia="Arial" w:hAnsi="Arial"/>
          <w:b/>
          <w:bCs/>
          <w:sz w:val="22"/>
          <w:szCs w:val="22"/>
        </w:rPr>
        <w:t xml:space="preserve">Wave 2 (large non-NFRD): </w:t>
      </w:r>
      <w:r>
        <w:rPr>
          <w:rFonts w:ascii="Arial" w:cs="Arial" w:eastAsia="Arial" w:hAnsi="Arial"/>
          <w:sz w:val="22"/>
          <w:szCs w:val="22"/>
        </w:rPr>
        <w:t xml:space="preserve">first reports pushed to 2028 covering FY2027.</w:t>
      </w:r>
    </w:p>
    <w:p>
      <w:pPr>
        <w:pStyle w:val="ListParagraph"/>
        <w:numPr>
          <w:ilvl w:val="0"/>
          <w:numId w:val="2"/>
        </w:numPr>
        <w:spacing w:after="60" w:line="280"/>
      </w:pPr>
      <w:r>
        <w:rPr>
          <w:rFonts w:ascii="Arial" w:cs="Arial" w:eastAsia="Arial" w:hAnsi="Arial"/>
          <w:b/>
          <w:bCs/>
          <w:sz w:val="22"/>
          <w:szCs w:val="22"/>
        </w:rPr>
        <w:t xml:space="preserve">Listed SMEs: </w:t>
      </w:r>
      <w:r>
        <w:rPr>
          <w:rFonts w:ascii="Arial" w:cs="Arial" w:eastAsia="Arial" w:hAnsi="Arial"/>
          <w:sz w:val="22"/>
          <w:szCs w:val="22"/>
        </w:rPr>
        <w:t xml:space="preserve">removed from mandatory scope; the LSME standard is effectively shelved in favour of VSME for voluntary use.</w:t>
      </w:r>
    </w:p>
    <w:p>
      <w:pPr>
        <w:pStyle w:val="ListParagraph"/>
        <w:numPr>
          <w:ilvl w:val="0"/>
          <w:numId w:val="2"/>
        </w:numPr>
        <w:spacing w:after="60" w:line="280"/>
      </w:pPr>
      <w:r>
        <w:rPr>
          <w:rFonts w:ascii="Arial" w:cs="Arial" w:eastAsia="Arial" w:hAnsi="Arial"/>
          <w:b/>
          <w:bCs/>
          <w:sz w:val="22"/>
          <w:szCs w:val="22"/>
        </w:rPr>
        <w:t xml:space="preserve">ESRS simplification: </w:t>
      </w:r>
      <w:r>
        <w:rPr>
          <w:rFonts w:ascii="Arial" w:cs="Arial" w:eastAsia="Arial" w:hAnsi="Arial"/>
          <w:sz w:val="22"/>
          <w:szCs w:val="22"/>
        </w:rPr>
        <w:t xml:space="preserve">EFRAG published revised exposure drafts on 31 July 2025 cutting roughly half of the mandatory datapoints, simplifying the double-materiality assessment, and introducing an overarching fair-presentation principle.</w:t>
      </w:r>
    </w:p>
    <w:p>
      <w:pPr>
        <w:spacing w:after="120" w:line="300"/>
        <w:jc w:val="left"/>
      </w:pPr>
      <w:r>
        <w:rPr>
          <w:rFonts w:ascii="Arial" w:cs="Arial" w:eastAsia="Arial" w:hAnsi="Arial"/>
          <w:b w:val="false"/>
          <w:bCs w:val="false"/>
          <w:i w:val="false"/>
          <w:iCs w:val="false"/>
          <w:sz w:val="22"/>
          <w:szCs w:val="22"/>
        </w:rPr>
        <w:t xml:space="preserve">Product implication: the Enterprise tier of DajSrce must be able to produce ESRS-aligned data output for the remaining mandatory filers, while the SME/Starter tier should target the much larger universe of companies that fall below the new 1,000-employee / €450m threshold but still face data requests "cascaded" by large customers, banks, and insurers.</w:t>
      </w:r>
    </w:p>
    <w:p>
      <w:pPr>
        <w:pStyle w:val="Heading2"/>
        <w:spacing w:after="120" w:before="240"/>
      </w:pPr>
      <w:r>
        <w:rPr>
          <w:rFonts w:ascii="Arial" w:cs="Arial" w:eastAsia="Arial" w:hAnsi="Arial"/>
          <w:b/>
          <w:bCs/>
          <w:color w:val="1F3864"/>
          <w:sz w:val="26"/>
          <w:szCs w:val="26"/>
        </w:rPr>
        <w:t xml:space="preserve">2. ESRS S1 — Own Workforce and volunteer hours</w:t>
      </w:r>
    </w:p>
    <w:p>
      <w:pPr>
        <w:spacing w:after="120" w:line="300"/>
        <w:jc w:val="left"/>
      </w:pPr>
      <w:r>
        <w:rPr>
          <w:rFonts w:ascii="Arial" w:cs="Arial" w:eastAsia="Arial" w:hAnsi="Arial"/>
          <w:b w:val="false"/>
          <w:bCs w:val="false"/>
          <w:i w:val="false"/>
          <w:iCs w:val="false"/>
          <w:sz w:val="22"/>
          <w:szCs w:val="22"/>
        </w:rPr>
        <w:t xml:space="preserve">ESRS S1 "Own Workforce" is the social standard most relevant to employee volunteering. Under the revised 2025 exposure drafts, S1 retains disclosures on employee training and development, working time, work-life balance (including paid leave and time spent on non-work activities supported by the company), and community engagement where offered as a workforce benefit. Volunteer hours granted by the employer — "volunteer time off" — are reportable under S1 as a workforce benefit and development indicator, and under S3 as an input to the affected community (see below).</w:t>
      </w:r>
    </w:p>
    <w:p>
      <w:pPr>
        <w:spacing w:after="120" w:line="300"/>
        <w:jc w:val="left"/>
      </w:pPr>
      <w:r>
        <w:rPr>
          <w:rFonts w:ascii="Arial" w:cs="Arial" w:eastAsia="Arial" w:hAnsi="Arial"/>
          <w:b w:val="false"/>
          <w:bCs w:val="false"/>
          <w:i w:val="false"/>
          <w:iCs w:val="false"/>
          <w:sz w:val="22"/>
          <w:szCs w:val="22"/>
        </w:rPr>
        <w:t xml:space="preserve">DajSrce is ideally placed to supply this data because it already captures the identity, event, and time window of every volunteer signup. A small enrichment — linking employees to their employer in a verifiable way, and computing the hours actually delivered — converts that raw data into an ESRS S1 disclosure line and a GRI 404-2 equivalent.</w:t>
      </w:r>
    </w:p>
    <w:p>
      <w:pPr>
        <w:pStyle w:val="Heading2"/>
        <w:spacing w:after="120" w:before="240"/>
      </w:pPr>
      <w:r>
        <w:rPr>
          <w:rFonts w:ascii="Arial" w:cs="Arial" w:eastAsia="Arial" w:hAnsi="Arial"/>
          <w:b/>
          <w:bCs/>
          <w:color w:val="1F3864"/>
          <w:sz w:val="26"/>
          <w:szCs w:val="26"/>
        </w:rPr>
        <w:t xml:space="preserve">3. ESRS S3 — Affected Communities</w:t>
      </w:r>
    </w:p>
    <w:p>
      <w:pPr>
        <w:spacing w:after="120" w:line="300"/>
        <w:jc w:val="left"/>
      </w:pPr>
      <w:r>
        <w:rPr>
          <w:rFonts w:ascii="Arial" w:cs="Arial" w:eastAsia="Arial" w:hAnsi="Arial"/>
          <w:b w:val="false"/>
          <w:bCs w:val="false"/>
          <w:i w:val="false"/>
          <w:iCs w:val="false"/>
          <w:sz w:val="22"/>
          <w:szCs w:val="22"/>
        </w:rPr>
        <w:t xml:space="preserve">ESRS S3 "Affected Communities" requires undertakings to describe their material impacts on communities through their own operations and value chain, their policies and processes for engaging with those communities, the actions taken to prevent or mitigate negative impacts and to pursue positive impacts, the resources allocated to those actions, and the effectiveness of those actions (S3-1 through S3-5). Community investment programmes and charitable contributions are explicitly mentioned as actions the undertaking "may disclose" under S3-4, including information about whether affected communities played a role in the design of the programme and the intended or achieved positive outcomes.</w:t>
      </w:r>
    </w:p>
    <w:p>
      <w:pPr>
        <w:spacing w:after="120" w:line="300"/>
        <w:jc w:val="left"/>
      </w:pPr>
      <w:r>
        <w:rPr>
          <w:rFonts w:ascii="Arial" w:cs="Arial" w:eastAsia="Arial" w:hAnsi="Arial"/>
          <w:b w:val="false"/>
          <w:bCs w:val="false"/>
          <w:i w:val="false"/>
          <w:iCs w:val="false"/>
          <w:sz w:val="22"/>
          <w:szCs w:val="22"/>
        </w:rPr>
        <w:t xml:space="preserve">This is the single best fit for DajSrce. The platform operationalises the community-engagement loop that S3 presupposes: institutions themselves post the needs that the corporate donor then fulfils. That chain — institution-posted need → corporate pledge → institution acknowledgement — is literally the "community-driven design and delivery" narrative S3 asks for, and DajSrce can output it as structured evidence.</w:t>
      </w:r>
    </w:p>
    <w:p>
      <w:pPr>
        <w:pStyle w:val="Heading2"/>
        <w:spacing w:after="120" w:before="240"/>
      </w:pPr>
      <w:r>
        <w:rPr>
          <w:rFonts w:ascii="Arial" w:cs="Arial" w:eastAsia="Arial" w:hAnsi="Arial"/>
          <w:b/>
          <w:bCs/>
          <w:color w:val="1F3864"/>
          <w:sz w:val="26"/>
          <w:szCs w:val="26"/>
        </w:rPr>
        <w:t xml:space="preserve">4. VSME — Voluntary Standard for SMEs</w:t>
      </w:r>
    </w:p>
    <w:p>
      <w:pPr>
        <w:spacing w:after="120" w:line="300"/>
        <w:jc w:val="left"/>
      </w:pPr>
      <w:r>
        <w:rPr>
          <w:rFonts w:ascii="Arial" w:cs="Arial" w:eastAsia="Arial" w:hAnsi="Arial"/>
          <w:b w:val="false"/>
          <w:bCs w:val="false"/>
          <w:i w:val="false"/>
          <w:iCs w:val="false"/>
          <w:sz w:val="22"/>
          <w:szCs w:val="22"/>
        </w:rPr>
        <w:t xml:space="preserve">On 30 July 2025 the European Commission adopted a Recommendation on a voluntary sustainability reporting standard for micro, small and medium-sized undertakings (the VSME standard), following EFRAG’s final delivery in December 2024. VSME has two modules: a Basic module (11 disclosures covering GHG scope 1 and 2, energy, pollution, water, biodiversity-proxy, waste, own workforce, anti-corruption) and a Comprehensive module that adds value-chain and community engagement topics. VSME is designed to be a single market-blessed answer to the flood of ESG questionnaires SMEs receive from banks, insurers, and large corporate customers.</w:t>
      </w:r>
    </w:p>
    <w:p>
      <w:pPr>
        <w:spacing w:after="120" w:line="300"/>
        <w:jc w:val="left"/>
      </w:pPr>
      <w:r>
        <w:rPr>
          <w:rFonts w:ascii="Arial" w:cs="Arial" w:eastAsia="Arial" w:hAnsi="Arial"/>
          <w:b w:val="false"/>
          <w:bCs w:val="false"/>
          <w:i w:val="false"/>
          <w:iCs w:val="false"/>
          <w:sz w:val="22"/>
          <w:szCs w:val="22"/>
        </w:rPr>
        <w:t xml:space="preserve">VSME is where the volume is. There are roughly 24 million SMEs in the EU and, in Croatia, the vast majority of active firms sit below the 1,000/€450m Omnibus threshold. The VSME-aligned export is therefore the core SKU of the SME tier.</w:t>
      </w:r>
    </w:p>
    <w:p>
      <w:pPr>
        <w:pStyle w:val="Heading2"/>
        <w:spacing w:after="120" w:before="240"/>
      </w:pPr>
      <w:r>
        <w:rPr>
          <w:rFonts w:ascii="Arial" w:cs="Arial" w:eastAsia="Arial" w:hAnsi="Arial"/>
          <w:b/>
          <w:bCs/>
          <w:color w:val="1F3864"/>
          <w:sz w:val="26"/>
          <w:szCs w:val="26"/>
        </w:rPr>
        <w:t xml:space="preserve">5. Complementary frameworks (GRI 413, B4SI, B-Corp, SDG)</w:t>
      </w:r>
    </w:p>
    <w:p>
      <w:pPr>
        <w:spacing w:after="120" w:line="300"/>
        <w:jc w:val="left"/>
      </w:pPr>
      <w:r>
        <w:rPr>
          <w:rFonts w:ascii="Arial" w:cs="Arial" w:eastAsia="Arial" w:hAnsi="Arial"/>
          <w:b w:val="false"/>
          <w:bCs w:val="false"/>
          <w:i w:val="false"/>
          <w:iCs w:val="false"/>
          <w:sz w:val="22"/>
          <w:szCs w:val="22"/>
        </w:rPr>
        <w:t xml:space="preserve">Large corporate donors rarely report against only one framework. The plan aligns the DajSrce data model so that a single source of evidence can populate each of the following:</w:t>
      </w:r>
    </w:p>
    <w:p>
      <w:pPr>
        <w:pStyle w:val="ListParagraph"/>
        <w:numPr>
          <w:ilvl w:val="0"/>
          <w:numId w:val="2"/>
        </w:numPr>
        <w:spacing w:after="60" w:line="280"/>
      </w:pPr>
      <w:r>
        <w:rPr>
          <w:rFonts w:ascii="Arial" w:cs="Arial" w:eastAsia="Arial" w:hAnsi="Arial"/>
          <w:b/>
          <w:bCs/>
          <w:sz w:val="22"/>
          <w:szCs w:val="22"/>
        </w:rPr>
        <w:t xml:space="preserve">GRI 413 Local Communities (2016): </w:t>
      </w:r>
      <w:r>
        <w:rPr>
          <w:rFonts w:ascii="Arial" w:cs="Arial" w:eastAsia="Arial" w:hAnsi="Arial"/>
          <w:sz w:val="22"/>
          <w:szCs w:val="22"/>
        </w:rPr>
        <w:t xml:space="preserve">Disclosure 413-1 on operations with local community engagement and development programmes maps directly to DajSrce’s institution-by-institution engagement log.</w:t>
      </w:r>
    </w:p>
    <w:p>
      <w:pPr>
        <w:pStyle w:val="ListParagraph"/>
        <w:numPr>
          <w:ilvl w:val="0"/>
          <w:numId w:val="2"/>
        </w:numPr>
        <w:spacing w:after="60" w:line="280"/>
      </w:pPr>
      <w:r>
        <w:rPr>
          <w:rFonts w:ascii="Arial" w:cs="Arial" w:eastAsia="Arial" w:hAnsi="Arial"/>
          <w:b/>
          <w:bCs/>
          <w:sz w:val="22"/>
          <w:szCs w:val="22"/>
        </w:rPr>
        <w:t xml:space="preserve">B4SI (formerly LBG) Community Investment Framework: </w:t>
      </w:r>
      <w:r>
        <w:rPr>
          <w:rFonts w:ascii="Arial" w:cs="Arial" w:eastAsia="Arial" w:hAnsi="Arial"/>
          <w:sz w:val="22"/>
          <w:szCs w:val="22"/>
        </w:rPr>
        <w:t xml:space="preserve">the global de-facto standard for measuring corporate community investment as Inputs → Outputs → Impacts, classified by motivation (charitable gift / community investment / commercial initiative).</w:t>
      </w:r>
    </w:p>
    <w:p>
      <w:pPr>
        <w:pStyle w:val="ListParagraph"/>
        <w:numPr>
          <w:ilvl w:val="0"/>
          <w:numId w:val="2"/>
        </w:numPr>
        <w:spacing w:after="60" w:line="280"/>
      </w:pPr>
      <w:r>
        <w:rPr>
          <w:rFonts w:ascii="Arial" w:cs="Arial" w:eastAsia="Arial" w:hAnsi="Arial"/>
          <w:b/>
          <w:bCs/>
          <w:sz w:val="22"/>
          <w:szCs w:val="22"/>
        </w:rPr>
        <w:t xml:space="preserve">B Corp Impact Assessment — Community section: </w:t>
      </w:r>
      <w:r>
        <w:rPr>
          <w:rFonts w:ascii="Arial" w:cs="Arial" w:eastAsia="Arial" w:hAnsi="Arial"/>
          <w:sz w:val="22"/>
          <w:szCs w:val="22"/>
        </w:rPr>
        <w:t xml:space="preserve">evaluates economic impact, civic engagement, charitable giving and DEI, with specific points for formal giving commitments and volunteer time off.</w:t>
      </w:r>
    </w:p>
    <w:p>
      <w:pPr>
        <w:pStyle w:val="ListParagraph"/>
        <w:numPr>
          <w:ilvl w:val="0"/>
          <w:numId w:val="2"/>
        </w:numPr>
        <w:spacing w:after="60" w:line="280"/>
      </w:pPr>
      <w:r>
        <w:rPr>
          <w:rFonts w:ascii="Arial" w:cs="Arial" w:eastAsia="Arial" w:hAnsi="Arial"/>
          <w:b/>
          <w:bCs/>
          <w:sz w:val="22"/>
          <w:szCs w:val="22"/>
        </w:rPr>
        <w:t xml:space="preserve">UN SDGs: </w:t>
      </w:r>
      <w:r>
        <w:rPr>
          <w:rFonts w:ascii="Arial" w:cs="Arial" w:eastAsia="Arial" w:hAnsi="Arial"/>
          <w:sz w:val="22"/>
          <w:szCs w:val="22"/>
        </w:rPr>
        <w:t xml:space="preserve">tagging institutions and needs against SDG 1, 2, 3, 4, 10 and 17 allows the public impact profile and CSR report to speak the SDG language stakeholders expect.</w:t>
      </w:r>
    </w:p>
    <w:p>
      <w:r>
        <w:br w:type="page"/>
      </w:r>
    </w:p>
    <w:p>
      <w:pPr>
        <w:pStyle w:val="Heading1"/>
        <w:spacing w:after="180" w:before="300"/>
      </w:pPr>
      <w:r>
        <w:rPr>
          <w:rFonts w:ascii="Arial" w:cs="Arial" w:eastAsia="Arial" w:hAnsi="Arial"/>
          <w:b/>
          <w:bCs/>
          <w:color w:val="1F3864"/>
          <w:sz w:val="32"/>
          <w:szCs w:val="32"/>
        </w:rPr>
        <w:t xml:space="preserve">Part II — Croatian specifics</w:t>
      </w:r>
    </w:p>
    <w:p>
      <w:pPr>
        <w:pStyle w:val="Heading2"/>
        <w:spacing w:after="120" w:before="240"/>
      </w:pPr>
      <w:r>
        <w:rPr>
          <w:rFonts w:ascii="Arial" w:cs="Arial" w:eastAsia="Arial" w:hAnsi="Arial"/>
          <w:b/>
          <w:bCs/>
          <w:color w:val="1F3864"/>
          <w:sz w:val="26"/>
          <w:szCs w:val="26"/>
        </w:rPr>
        <w:t xml:space="preserve">1. Transposition of the CSRD</w:t>
      </w:r>
    </w:p>
    <w:p>
      <w:pPr>
        <w:spacing w:after="120" w:line="300"/>
        <w:jc w:val="left"/>
      </w:pPr>
      <w:r>
        <w:rPr>
          <w:rFonts w:ascii="Arial" w:cs="Arial" w:eastAsia="Arial" w:hAnsi="Arial"/>
          <w:b w:val="false"/>
          <w:bCs w:val="false"/>
          <w:i w:val="false"/>
          <w:iCs w:val="false"/>
          <w:sz w:val="22"/>
          <w:szCs w:val="22"/>
        </w:rPr>
        <w:t xml:space="preserve">Croatia adopted the new Accounting Act (Zakon o računovodstvu, OG 85/2024) and aligned amendments to the Audit Act and Capital Markets Act on 12 July 2024, published on 19 July 2024 and in force from 27 July 2024. Transposition is "without gold-plating" — Croatian obligations track the CSRD scope, content and timing as amended by the Omnibus. HANFA supervises sustainability reporting by listed issuers; the Ministry of Finance supervises other obliged undertakings. Sanctions range from EUR 660 to EUR 13,270 per offence.</w:t>
      </w:r>
    </w:p>
    <w:p>
      <w:pPr>
        <w:pStyle w:val="Heading2"/>
        <w:spacing w:after="120" w:before="240"/>
      </w:pPr>
      <w:r>
        <w:rPr>
          <w:rFonts w:ascii="Arial" w:cs="Arial" w:eastAsia="Arial" w:hAnsi="Arial"/>
          <w:b/>
          <w:bCs/>
          <w:color w:val="1F3864"/>
          <w:sz w:val="26"/>
          <w:szCs w:val="26"/>
        </w:rPr>
        <w:t xml:space="preserve">2. Corporate profit tax — the donation deduction</w:t>
      </w:r>
    </w:p>
    <w:p>
      <w:pPr>
        <w:spacing w:after="120" w:line="300"/>
        <w:jc w:val="left"/>
      </w:pPr>
      <w:r>
        <w:rPr>
          <w:rFonts w:ascii="Arial" w:cs="Arial" w:eastAsia="Arial" w:hAnsi="Arial"/>
          <w:b w:val="false"/>
          <w:bCs w:val="false"/>
          <w:i w:val="false"/>
          <w:iCs w:val="false"/>
          <w:sz w:val="22"/>
          <w:szCs w:val="22"/>
        </w:rPr>
        <w:t xml:space="preserve">The Croatian Profit Tax Act (Zakon o porezu na dobit) currently treats donations in cash or in-kind made for cultural, scientific, educational, health, humanitarian, sports, religious, environmental and other public-benefit purposes as tax-deductible business expense up to 2% of revenue realised in Croatia in the previous or current tax period. Donations above 2% are also deductible when the underlying programme is identified as a strategic project under a ministerial decision with Government consent. Recipients must be entities registered to pursue the listed public-benefit activities, and a donation verification (potvrda) or a donation contract is required documentation.</w:t>
      </w:r>
    </w:p>
    <w:p>
      <w:pPr>
        <w:spacing w:after="120" w:line="300"/>
        <w:jc w:val="left"/>
      </w:pPr>
      <w:r>
        <w:rPr>
          <w:rFonts w:ascii="Arial" w:cs="Arial" w:eastAsia="Arial" w:hAnsi="Arial"/>
          <w:b w:val="false"/>
          <w:bCs w:val="false"/>
          <w:i w:val="false"/>
          <w:iCs w:val="false"/>
          <w:sz w:val="22"/>
          <w:szCs w:val="22"/>
        </w:rPr>
        <w:t xml:space="preserve">At a headline corporate profit-tax rate of 10% (revenue ≤ €1m) or 18% (revenue &gt; €1m), the full 2% headroom is economically meaningful for any profitable company: a Croatian firm with €10m revenue can deduct up to €200,000 of donations, reducing profit tax by up to €36,000 at the high rate. The user has flagged an expected uplift of the deduction ceiling from 2% to 4%, which would double the available tax shield — the product must be designed so that the ceiling is a configurable parameter rather than hard-coded.</w:t>
      </w:r>
    </w:p>
    <w:p>
      <w:pPr>
        <w:spacing w:after="120" w:line="300"/>
        <w:jc w:val="left"/>
      </w:pPr>
      <w:r>
        <w:rPr>
          <w:rFonts w:ascii="Arial" w:cs="Arial" w:eastAsia="Arial" w:hAnsi="Arial"/>
          <w:b w:val="false"/>
          <w:bCs w:val="false"/>
          <w:i w:val="false"/>
          <w:iCs w:val="false"/>
          <w:sz w:val="22"/>
          <w:szCs w:val="22"/>
        </w:rPr>
        <w:t xml:space="preserve">The practical binding constraint on claiming the deduction is documentation, not availability. Companies routinely donate less than the allowance because the internal effort of chasing verifications, matching them to the accounting records, and surviving a Porezna uprava audit is greater than the tax saved. DajSrce can collapse that friction to zero by issuing structured donation verifications directly from institutions at the moment the pledge is marked delivered, and by generating a fiscal-year statement that is audit-ready.</w:t>
      </w:r>
    </w:p>
    <w:p>
      <w:pPr>
        <w:pStyle w:val="Heading2"/>
        <w:spacing w:after="120" w:before="240"/>
      </w:pPr>
      <w:r>
        <w:rPr>
          <w:rFonts w:ascii="Arial" w:cs="Arial" w:eastAsia="Arial" w:hAnsi="Arial"/>
          <w:b/>
          <w:bCs/>
          <w:color w:val="1F3864"/>
          <w:sz w:val="26"/>
          <w:szCs w:val="26"/>
        </w:rPr>
        <w:t xml:space="preserve">3. Personal income tax — the individual giving track</w:t>
      </w:r>
    </w:p>
    <w:p>
      <w:pPr>
        <w:spacing w:after="120" w:line="300"/>
        <w:jc w:val="left"/>
      </w:pPr>
      <w:r>
        <w:rPr>
          <w:rFonts w:ascii="Arial" w:cs="Arial" w:eastAsia="Arial" w:hAnsi="Arial"/>
          <w:b w:val="false"/>
          <w:bCs w:val="false"/>
          <w:i w:val="false"/>
          <w:iCs w:val="false"/>
          <w:sz w:val="22"/>
          <w:szCs w:val="22"/>
        </w:rPr>
        <w:t xml:space="preserve">Zakon o porezu na dohodak allows natural persons to treat gifts to qualifying institutions as a deduction of up to 2% of the previous year’s total income. From 2024, an additional benefit applies to donations above 2% when directed at strategic projects of national importance. Documentation requirements mirror the corporate regime. DajSrce’s existing citizen user base is a ready-made channel for personal tax receipts; this unlocks a secondary product — personal annual giving statements — at marginal incremental cost.</w:t>
      </w:r>
    </w:p>
    <w:p>
      <w:pPr>
        <w:pStyle w:val="Heading2"/>
        <w:spacing w:after="120" w:before="240"/>
      </w:pPr>
      <w:r>
        <w:rPr>
          <w:rFonts w:ascii="Arial" w:cs="Arial" w:eastAsia="Arial" w:hAnsi="Arial"/>
          <w:b/>
          <w:bCs/>
          <w:color w:val="1F3864"/>
          <w:sz w:val="26"/>
          <w:szCs w:val="26"/>
        </w:rPr>
        <w:t xml:space="preserve">4. VAT and in-kind donations</w:t>
      </w:r>
    </w:p>
    <w:p>
      <w:pPr>
        <w:spacing w:after="120" w:line="300"/>
        <w:jc w:val="left"/>
      </w:pPr>
      <w:r>
        <w:rPr>
          <w:rFonts w:ascii="Arial" w:cs="Arial" w:eastAsia="Arial" w:hAnsi="Arial"/>
          <w:b w:val="false"/>
          <w:bCs w:val="false"/>
          <w:i w:val="false"/>
          <w:iCs w:val="false"/>
          <w:sz w:val="22"/>
          <w:szCs w:val="22"/>
        </w:rPr>
        <w:t xml:space="preserve">Croatian VAT law exempts importation of donated goods intended to satisfy basic human needs (food, medicine, clothing) and equipment imported by registered humanitarian and charitable organisations. In domestic transactions, in-kind donations by VAT-registered businesses are generally subject to output VAT unless the goods qualify for specific exemptions (e.g. food donations to recognised charities under special rules). The platform should therefore distinguish cash pledges from in-kind pledges and clearly label the VAT treatment on the receipt.</w:t>
      </w:r>
    </w:p>
    <w:p>
      <w:pPr>
        <w:pStyle w:val="Heading2"/>
        <w:spacing w:after="120" w:before="240"/>
      </w:pPr>
      <w:r>
        <w:rPr>
          <w:rFonts w:ascii="Arial" w:cs="Arial" w:eastAsia="Arial" w:hAnsi="Arial"/>
          <w:b/>
          <w:bCs/>
          <w:color w:val="1F3864"/>
          <w:sz w:val="26"/>
          <w:szCs w:val="26"/>
        </w:rPr>
        <w:t xml:space="preserve">5. Data protection and the Croatian supervisory regime</w:t>
      </w:r>
    </w:p>
    <w:p>
      <w:pPr>
        <w:spacing w:after="120" w:line="300"/>
        <w:jc w:val="left"/>
      </w:pPr>
      <w:r>
        <w:rPr>
          <w:rFonts w:ascii="Arial" w:cs="Arial" w:eastAsia="Arial" w:hAnsi="Arial"/>
          <w:b w:val="false"/>
          <w:bCs w:val="false"/>
          <w:i w:val="false"/>
          <w:iCs w:val="false"/>
          <w:sz w:val="22"/>
          <w:szCs w:val="22"/>
        </w:rPr>
        <w:t xml:space="preserve">All employee-level data flowing through the platform (who volunteered, when, how long) is personal data under the GDPR. Processing requires a lawful basis — most cleanly, employer-as-controller with DajSrce as processor under a data processing agreement. Employer tenants must be contractually on the hook for employee consent where company-level CSR reports include any data that can identify individuals. Aggregated public reports (e.g. "our employees volunteered 1,240 hours in 2026") do not raise this issue; individualised leaderboards and internal recognition dashboards do, and the plan therefore keeps personal-level dashboards strictly inside the tenant.</w:t>
      </w:r>
    </w:p>
    <w:p>
      <w:r>
        <w:br w:type="page"/>
      </w:r>
    </w:p>
    <w:p>
      <w:pPr>
        <w:pStyle w:val="Heading1"/>
        <w:spacing w:after="180" w:before="300"/>
      </w:pPr>
      <w:r>
        <w:rPr>
          <w:rFonts w:ascii="Arial" w:cs="Arial" w:eastAsia="Arial" w:hAnsi="Arial"/>
          <w:b/>
          <w:bCs/>
          <w:color w:val="1F3864"/>
          <w:sz w:val="32"/>
          <w:szCs w:val="32"/>
        </w:rPr>
        <w:t xml:space="preserve">Part III — Strategic opportunity and monetization thesis</w:t>
      </w:r>
    </w:p>
    <w:p>
      <w:pPr>
        <w:pStyle w:val="Heading2"/>
        <w:spacing w:after="120" w:before="240"/>
      </w:pPr>
      <w:r>
        <w:rPr>
          <w:rFonts w:ascii="Arial" w:cs="Arial" w:eastAsia="Arial" w:hAnsi="Arial"/>
          <w:b/>
          <w:bCs/>
          <w:color w:val="1F3864"/>
          <w:sz w:val="26"/>
          <w:szCs w:val="26"/>
        </w:rPr>
        <w:t xml:space="preserve">Why ESG + CSR is the monetization edge</w:t>
      </w:r>
    </w:p>
    <w:p>
      <w:pPr>
        <w:spacing w:after="120" w:line="300"/>
        <w:jc w:val="left"/>
      </w:pPr>
      <w:r>
        <w:rPr>
          <w:rFonts w:ascii="Arial" w:cs="Arial" w:eastAsia="Arial" w:hAnsi="Arial"/>
          <w:b w:val="false"/>
          <w:bCs w:val="false"/>
          <w:i w:val="false"/>
          <w:iCs w:val="false"/>
          <w:sz w:val="22"/>
          <w:szCs w:val="22"/>
        </w:rPr>
        <w:t xml:space="preserve">DajSrce currently has three strong distribution assets — a live, bilingual web product; a growing list of Zagreb institutions with verified contact data and geocoded addresses; and a proximity-notification system that turns every new post into a local push event. None of these monetise donors directly, and none should: charging citizens to donate is contrary to the product ethos and would collapse the network effect.</w:t>
      </w:r>
    </w:p>
    <w:p>
      <w:pPr>
        <w:spacing w:after="120" w:line="300"/>
        <w:jc w:val="left"/>
      </w:pPr>
      <w:r>
        <w:rPr>
          <w:rFonts w:ascii="Arial" w:cs="Arial" w:eastAsia="Arial" w:hAnsi="Arial"/>
          <w:b w:val="false"/>
          <w:bCs w:val="false"/>
          <w:i w:val="false"/>
          <w:iCs w:val="false"/>
          <w:sz w:val="22"/>
          <w:szCs w:val="22"/>
        </w:rPr>
        <w:t xml:space="preserve">What monetises well is the layer above the transaction: the evidence that the transaction occurred, the attribution of that evidence to the right cost centre, the classification of the impact against the right framework, and the conversion of that structured record into regulator-, auditor- and banker-ready outputs. Companies already pay tens of thousands of euros per year for "ESG data platforms" that do this on self-reported inputs — DajSrce has a structurally better starting point because the inputs are independently verified by third-party institutions at the moment of delivery.</w:t>
      </w:r>
    </w:p>
    <w:p>
      <w:pPr>
        <w:pStyle w:val="Heading2"/>
        <w:spacing w:after="120" w:before="240"/>
      </w:pPr>
      <w:r>
        <w:rPr>
          <w:rFonts w:ascii="Arial" w:cs="Arial" w:eastAsia="Arial" w:hAnsi="Arial"/>
          <w:b/>
          <w:bCs/>
          <w:color w:val="1F3864"/>
          <w:sz w:val="26"/>
          <w:szCs w:val="26"/>
        </w:rPr>
        <w:t xml:space="preserve">Target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Segment</w:t>
            </w:r>
          </w:p>
        </w:tc>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Typical trigger</w:t>
            </w:r>
          </w:p>
        </w:tc>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Pain</w:t>
            </w:r>
          </w:p>
        </w:tc>
        <w:tc>
          <w:tcPr>
            <w:tcW w:type="dxa" w:w="2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Willingness to pay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Enterprise (CSRD)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Mandatory CSRD filing; ESRS S3 / S1 disclosure prep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Auditor-grade evidence, low-cost per disclosure point</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EUR 8–15k / year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Mid-market (trickle-down)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Bank/customer ESG questionnaires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Annual VSME-style questionnaire burden</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EUR 1.5–4k / year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SME (Croatia)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Claiming the 2% → 4% profit-tax deduction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Verification chasing, audit risk</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EUR 200–600 / year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Institution (charity)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Transparency demands from donors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Capacity to issue verifications</w:t>
            </w:r>
          </w:p>
        </w:tc>
        <w:tc>
          <w:tcPr>
            <w:tcW w:type="dxa" w:w="2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 (growth fuel)</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Market sizing — bottom-up, Croatia only</w:t>
      </w:r>
    </w:p>
    <w:p>
      <w:pPr>
        <w:pStyle w:val="ListParagraph"/>
        <w:numPr>
          <w:ilvl w:val="0"/>
          <w:numId w:val="2"/>
        </w:numPr>
        <w:spacing w:after="60" w:line="280"/>
      </w:pPr>
      <w:r>
        <w:rPr>
          <w:rFonts w:ascii="Arial" w:cs="Arial" w:eastAsia="Arial" w:hAnsi="Arial"/>
          <w:b/>
          <w:bCs/>
          <w:sz w:val="22"/>
          <w:szCs w:val="22"/>
        </w:rPr>
        <w:t xml:space="preserve">Large filers in-scope under Omnibus: </w:t>
      </w:r>
      <w:r>
        <w:rPr>
          <w:rFonts w:ascii="Arial" w:cs="Arial" w:eastAsia="Arial" w:hAnsi="Arial"/>
          <w:sz w:val="22"/>
          <w:szCs w:val="22"/>
        </w:rPr>
        <w:t xml:space="preserve">~80 Croatian undertakings (listed companies on ZSE with more than 1,000 employees and large subsidiaries of EU groups). At €10k ARPU = €0.8m.</w:t>
      </w:r>
    </w:p>
    <w:p>
      <w:pPr>
        <w:pStyle w:val="ListParagraph"/>
        <w:numPr>
          <w:ilvl w:val="0"/>
          <w:numId w:val="2"/>
        </w:numPr>
        <w:spacing w:after="60" w:line="280"/>
      </w:pPr>
      <w:r>
        <w:rPr>
          <w:rFonts w:ascii="Arial" w:cs="Arial" w:eastAsia="Arial" w:hAnsi="Arial"/>
          <w:b/>
          <w:bCs/>
          <w:sz w:val="22"/>
          <w:szCs w:val="22"/>
        </w:rPr>
        <w:t xml:space="preserve">Mid-market / large SMEs: </w:t>
      </w:r>
      <w:r>
        <w:rPr>
          <w:rFonts w:ascii="Arial" w:cs="Arial" w:eastAsia="Arial" w:hAnsi="Arial"/>
          <w:sz w:val="22"/>
          <w:szCs w:val="22"/>
        </w:rPr>
        <w:t xml:space="preserve">~1,500 firms with 50–999 employees. 10% attach at €2k ARPU = €0.3m.</w:t>
      </w:r>
    </w:p>
    <w:p>
      <w:pPr>
        <w:pStyle w:val="ListParagraph"/>
        <w:numPr>
          <w:ilvl w:val="0"/>
          <w:numId w:val="2"/>
        </w:numPr>
        <w:spacing w:after="60" w:line="280"/>
      </w:pPr>
      <w:r>
        <w:rPr>
          <w:rFonts w:ascii="Arial" w:cs="Arial" w:eastAsia="Arial" w:hAnsi="Arial"/>
          <w:b/>
          <w:bCs/>
          <w:sz w:val="22"/>
          <w:szCs w:val="22"/>
        </w:rPr>
        <w:t xml:space="preserve">Active Croatian SMEs: </w:t>
      </w:r>
      <w:r>
        <w:rPr>
          <w:rFonts w:ascii="Arial" w:cs="Arial" w:eastAsia="Arial" w:hAnsi="Arial"/>
          <w:sz w:val="22"/>
          <w:szCs w:val="22"/>
        </w:rPr>
        <w:t xml:space="preserve">~140,000. 2% self-serve attach at €300 ARPU = €0.84m.</w:t>
      </w:r>
    </w:p>
    <w:p>
      <w:pPr>
        <w:spacing w:after="120" w:line="300"/>
        <w:jc w:val="left"/>
      </w:pPr>
      <w:r>
        <w:rPr>
          <w:rFonts w:ascii="Arial" w:cs="Arial" w:eastAsia="Arial" w:hAnsi="Arial"/>
          <w:b w:val="false"/>
          <w:bCs w:val="false"/>
          <w:i w:val="false"/>
          <w:iCs w:val="false"/>
          <w:sz w:val="22"/>
          <w:szCs w:val="22"/>
        </w:rPr>
        <w:t xml:space="preserve">Total addressable Croatian ARR ≈ €2.0m at modest attach rates. EU-wide expansion (starting with the Western Balkans / CEE footprint the user already covers in research) multiplies this 20–50x. The plan does not assume EU expansion in Phase 1–2; it is optionality.</w:t>
      </w:r>
    </w:p>
    <w:p>
      <w:r>
        <w:br w:type="page"/>
      </w:r>
    </w:p>
    <w:p>
      <w:pPr>
        <w:pStyle w:val="Heading1"/>
        <w:spacing w:after="180" w:before="300"/>
      </w:pPr>
      <w:r>
        <w:rPr>
          <w:rFonts w:ascii="Arial" w:cs="Arial" w:eastAsia="Arial" w:hAnsi="Arial"/>
          <w:b/>
          <w:bCs/>
          <w:color w:val="1F3864"/>
          <w:sz w:val="32"/>
          <w:szCs w:val="32"/>
        </w:rPr>
        <w:t xml:space="preserve">Part IV — Product design</w:t>
      </w:r>
    </w:p>
    <w:p>
      <w:pPr>
        <w:pStyle w:val="Heading2"/>
        <w:spacing w:after="120" w:before="240"/>
      </w:pPr>
      <w:r>
        <w:rPr>
          <w:rFonts w:ascii="Arial" w:cs="Arial" w:eastAsia="Arial" w:hAnsi="Arial"/>
          <w:b/>
          <w:bCs/>
          <w:color w:val="1F3864"/>
          <w:sz w:val="26"/>
          <w:szCs w:val="26"/>
        </w:rPr>
        <w:t xml:space="preserve">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Persona</w:t>
            </w:r>
          </w:p>
        </w:tc>
        <w:tc>
          <w:tcPr>
            <w:tcW w:type="dxa" w:w="3313"/>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Jobs-to-be-done</w:t>
            </w:r>
          </w:p>
        </w:tc>
        <w:tc>
          <w:tcPr>
            <w:tcW w:type="dxa" w:w="3313"/>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Success signal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Corporate CSR/ESG lead</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Run a credible community-investment programme; produce audit-ready disclosures for S1/S3/VSME; show ROI to the CFO</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 single dashboard with all donations, hours, beneficiaries and framework tags — one-click exports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Finance / tax manager</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Maximise the profit-tax donation deduction without audit risk; reconcile giving with ledger cost centres</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PDF fiscal-year donation statement with signed institution verifications attached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HR / employer branding</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Turn volunteering into an employee benefit and recruiting asset; track participation and VTO hours</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Internal leaderboard, shareable public profile, VTO hours by department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Institution lead</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Attract reliable corporate partners; issue compliant donation verifications with minimal admin</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One-click acknowledge on a delivered pledge; branded "we need X" campaign page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Citizen donor</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Give to local institutions and (optionally) claim the personal income-tax deduction</w:t>
            </w:r>
          </w:p>
        </w:tc>
        <w:tc>
          <w:tcPr>
            <w:tcW w:type="dxa" w:w="3313"/>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Annual giving statement, badges, progress feed</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Feature catalogue</w:t>
      </w:r>
    </w:p>
    <w:p>
      <w:pPr>
        <w:spacing w:after="120" w:line="300"/>
        <w:jc w:val="left"/>
      </w:pPr>
      <w:r>
        <w:rPr>
          <w:rFonts w:ascii="Arial" w:cs="Arial" w:eastAsia="Arial" w:hAnsi="Arial"/>
          <w:b w:val="false"/>
          <w:bCs w:val="false"/>
          <w:i w:val="false"/>
          <w:iCs w:val="false"/>
          <w:sz w:val="22"/>
          <w:szCs w:val="22"/>
        </w:rPr>
        <w:t xml:space="preserve">Each feature below is additive to the current DajSrce feature set and reuses the existing Supabase schema wherever possible.</w:t>
      </w:r>
    </w:p>
    <w:p>
      <w:pPr>
        <w:pStyle w:val="ListParagraph"/>
        <w:numPr>
          <w:ilvl w:val="0"/>
          <w:numId w:val="2"/>
        </w:numPr>
        <w:spacing w:after="60" w:line="280"/>
      </w:pPr>
      <w:r>
        <w:rPr>
          <w:rFonts w:ascii="Arial" w:cs="Arial" w:eastAsia="Arial" w:hAnsi="Arial"/>
          <w:b/>
          <w:bCs/>
          <w:sz w:val="22"/>
          <w:szCs w:val="22"/>
        </w:rPr>
        <w:t xml:space="preserve">Company tenant onboarding: </w:t>
      </w:r>
      <w:r>
        <w:rPr>
          <w:rFonts w:ascii="Arial" w:cs="Arial" w:eastAsia="Arial" w:hAnsi="Arial"/>
          <w:sz w:val="22"/>
          <w:szCs w:val="22"/>
        </w:rPr>
        <w:t xml:space="preserve">new role "company_admin" on profiles; company creation with OIB verification against the Croatian sudski registar (via OIB-lookup API); invite-by-email flow for employees with domain-based auto-join.</w:t>
      </w:r>
    </w:p>
    <w:p>
      <w:pPr>
        <w:pStyle w:val="ListParagraph"/>
        <w:numPr>
          <w:ilvl w:val="0"/>
          <w:numId w:val="2"/>
        </w:numPr>
        <w:spacing w:after="60" w:line="280"/>
      </w:pPr>
      <w:r>
        <w:rPr>
          <w:rFonts w:ascii="Arial" w:cs="Arial" w:eastAsia="Arial" w:hAnsi="Arial"/>
          <w:b/>
          <w:bCs/>
          <w:sz w:val="22"/>
          <w:szCs w:val="22"/>
        </w:rPr>
        <w:t xml:space="preserve">Campaigns: </w:t>
      </w:r>
      <w:r>
        <w:rPr>
          <w:rFonts w:ascii="Arial" w:cs="Arial" w:eastAsia="Arial" w:hAnsi="Arial"/>
          <w:sz w:val="22"/>
          <w:szCs w:val="22"/>
        </w:rPr>
        <w:t xml:space="preserve">a company groups pledges and volunteer events into a named CSR campaign (e.g. "Christmas Food Drive 2026"), with a target amount, theme, and SDG tags. Pledges made by employees against campaign-linked needs are automatically attributed to the company when the employee opts in.</w:t>
      </w:r>
    </w:p>
    <w:p>
      <w:pPr>
        <w:pStyle w:val="ListParagraph"/>
        <w:numPr>
          <w:ilvl w:val="0"/>
          <w:numId w:val="2"/>
        </w:numPr>
        <w:spacing w:after="60" w:line="280"/>
      </w:pPr>
      <w:r>
        <w:rPr>
          <w:rFonts w:ascii="Arial" w:cs="Arial" w:eastAsia="Arial" w:hAnsi="Arial"/>
          <w:b/>
          <w:bCs/>
          <w:sz w:val="22"/>
          <w:szCs w:val="22"/>
        </w:rPr>
        <w:t xml:space="preserve">Matched donations: </w:t>
      </w:r>
      <w:r>
        <w:rPr>
          <w:rFonts w:ascii="Arial" w:cs="Arial" w:eastAsia="Arial" w:hAnsi="Arial"/>
          <w:sz w:val="22"/>
          <w:szCs w:val="22"/>
        </w:rPr>
        <w:t xml:space="preserve">an employee pledge triggers a company match at a configured ratio; the match is a separate corporate pledge that institutions see alongside the original.</w:t>
      </w:r>
    </w:p>
    <w:p>
      <w:pPr>
        <w:pStyle w:val="ListParagraph"/>
        <w:numPr>
          <w:ilvl w:val="0"/>
          <w:numId w:val="2"/>
        </w:numPr>
        <w:spacing w:after="60" w:line="280"/>
      </w:pPr>
      <w:r>
        <w:rPr>
          <w:rFonts w:ascii="Arial" w:cs="Arial" w:eastAsia="Arial" w:hAnsi="Arial"/>
          <w:b/>
          <w:bCs/>
          <w:sz w:val="22"/>
          <w:szCs w:val="22"/>
        </w:rPr>
        <w:t xml:space="preserve">Volunteer-time-off tracking: </w:t>
      </w:r>
      <w:r>
        <w:rPr>
          <w:rFonts w:ascii="Arial" w:cs="Arial" w:eastAsia="Arial" w:hAnsi="Arial"/>
          <w:sz w:val="22"/>
          <w:szCs w:val="22"/>
        </w:rPr>
        <w:t xml:space="preserve">the existing volunteer_signups row is enriched with actual start/end times on check-in; HR sees VTO hours by department, by quarter, by institution.</w:t>
      </w:r>
    </w:p>
    <w:p>
      <w:pPr>
        <w:pStyle w:val="ListParagraph"/>
        <w:numPr>
          <w:ilvl w:val="0"/>
          <w:numId w:val="2"/>
        </w:numPr>
        <w:spacing w:after="60" w:line="280"/>
      </w:pPr>
      <w:r>
        <w:rPr>
          <w:rFonts w:ascii="Arial" w:cs="Arial" w:eastAsia="Arial" w:hAnsi="Arial"/>
          <w:b/>
          <w:bCs/>
          <w:sz w:val="22"/>
          <w:szCs w:val="22"/>
        </w:rPr>
        <w:t xml:space="preserve">Institution acknowledgement: </w:t>
      </w:r>
      <w:r>
        <w:rPr>
          <w:rFonts w:ascii="Arial" w:cs="Arial" w:eastAsia="Arial" w:hAnsi="Arial"/>
          <w:sz w:val="22"/>
          <w:szCs w:val="22"/>
        </w:rPr>
        <w:t xml:space="preserve">the dashboard of each institution gains an "acknowledge delivery" action on any delivered pledge; the acknowledgement is timestamped, signed with the institution user’s Supabase session, and becomes the legal receipt.</w:t>
      </w:r>
    </w:p>
    <w:p>
      <w:pPr>
        <w:pStyle w:val="ListParagraph"/>
        <w:numPr>
          <w:ilvl w:val="0"/>
          <w:numId w:val="2"/>
        </w:numPr>
        <w:spacing w:after="60" w:line="280"/>
      </w:pPr>
      <w:r>
        <w:rPr>
          <w:rFonts w:ascii="Arial" w:cs="Arial" w:eastAsia="Arial" w:hAnsi="Arial"/>
          <w:b/>
          <w:bCs/>
          <w:sz w:val="22"/>
          <w:szCs w:val="22"/>
        </w:rPr>
        <w:t xml:space="preserve">Fiscal-year statement generator: </w:t>
      </w:r>
      <w:r>
        <w:rPr>
          <w:rFonts w:ascii="Arial" w:cs="Arial" w:eastAsia="Arial" w:hAnsi="Arial"/>
          <w:sz w:val="22"/>
          <w:szCs w:val="22"/>
        </w:rPr>
        <w:t xml:space="preserve">for each company tenant, at year end (or on demand), a PDF statement listing every acknowledged donation, cumulative amount, % of prior-year revenue consumed of the 2%/4% ceiling, and the attached institution verifications. The statement is generated server-side using pdf-lib or a headless browser.</w:t>
      </w:r>
    </w:p>
    <w:p>
      <w:pPr>
        <w:pStyle w:val="ListParagraph"/>
        <w:numPr>
          <w:ilvl w:val="0"/>
          <w:numId w:val="2"/>
        </w:numPr>
        <w:spacing w:after="60" w:line="280"/>
      </w:pPr>
      <w:r>
        <w:rPr>
          <w:rFonts w:ascii="Arial" w:cs="Arial" w:eastAsia="Arial" w:hAnsi="Arial"/>
          <w:b/>
          <w:bCs/>
          <w:sz w:val="22"/>
          <w:szCs w:val="22"/>
        </w:rPr>
        <w:t xml:space="preserve">VSME / ESRS export: </w:t>
      </w:r>
      <w:r>
        <w:rPr>
          <w:rFonts w:ascii="Arial" w:cs="Arial" w:eastAsia="Arial" w:hAnsi="Arial"/>
          <w:sz w:val="22"/>
          <w:szCs w:val="22"/>
        </w:rPr>
        <w:t xml:space="preserve">a data-point mapping layer outputs a single ZIP containing a machine-readable JSON / XBRL-ready file, a CSV, and a PDF narrative — each datapoint stamped with its source pledge IDs and institution signatures.</w:t>
      </w:r>
    </w:p>
    <w:p>
      <w:pPr>
        <w:pStyle w:val="ListParagraph"/>
        <w:numPr>
          <w:ilvl w:val="0"/>
          <w:numId w:val="2"/>
        </w:numPr>
        <w:spacing w:after="60" w:line="280"/>
      </w:pPr>
      <w:r>
        <w:rPr>
          <w:rFonts w:ascii="Arial" w:cs="Arial" w:eastAsia="Arial" w:hAnsi="Arial"/>
          <w:b/>
          <w:bCs/>
          <w:sz w:val="22"/>
          <w:szCs w:val="22"/>
        </w:rPr>
        <w:t xml:space="preserve">Branded CSR report: </w:t>
      </w:r>
      <w:r>
        <w:rPr>
          <w:rFonts w:ascii="Arial" w:cs="Arial" w:eastAsia="Arial" w:hAnsi="Arial"/>
          <w:sz w:val="22"/>
          <w:szCs w:val="22"/>
        </w:rPr>
        <w:t xml:space="preserve">a DOCX/PDF generator that uses the company’s logo and colours, produces charts of giving over time, top beneficiaries, SDG breakdown, and the story of two or three representative beneficiaries (pulled from acknowledged pledges).</w:t>
      </w:r>
    </w:p>
    <w:p>
      <w:pPr>
        <w:pStyle w:val="ListParagraph"/>
        <w:numPr>
          <w:ilvl w:val="0"/>
          <w:numId w:val="2"/>
        </w:numPr>
        <w:spacing w:after="60" w:line="280"/>
      </w:pPr>
      <w:r>
        <w:rPr>
          <w:rFonts w:ascii="Arial" w:cs="Arial" w:eastAsia="Arial" w:hAnsi="Arial"/>
          <w:b/>
          <w:bCs/>
          <w:sz w:val="22"/>
          <w:szCs w:val="22"/>
        </w:rPr>
        <w:t xml:space="preserve">Public impact profile: </w:t>
      </w:r>
      <w:r>
        <w:rPr>
          <w:rFonts w:ascii="Arial" w:cs="Arial" w:eastAsia="Arial" w:hAnsi="Arial"/>
          <w:sz w:val="22"/>
          <w:szCs w:val="22"/>
        </w:rPr>
        <w:t xml:space="preserve">a shareable /company/[slug] page with verified metrics, links to campaigns, and an open-graph card for LinkedIn.</w:t>
      </w:r>
    </w:p>
    <w:p>
      <w:pPr>
        <w:pStyle w:val="Heading2"/>
        <w:spacing w:after="120" w:before="240"/>
      </w:pPr>
      <w:r>
        <w:rPr>
          <w:rFonts w:ascii="Arial" w:cs="Arial" w:eastAsia="Arial" w:hAnsi="Arial"/>
          <w:b/>
          <w:bCs/>
          <w:color w:val="1F3864"/>
          <w:sz w:val="26"/>
          <w:szCs w:val="26"/>
        </w:rPr>
        <w:t xml:space="preserve">Tier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Capability</w:t>
            </w:r>
          </w:p>
        </w:tc>
        <w:tc>
          <w:tcPr>
            <w:tcW w:type="dxa" w:w="234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Free</w:t>
            </w:r>
          </w:p>
        </w:tc>
        <w:tc>
          <w:tcPr>
            <w:tcW w:type="dxa" w:w="234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SME (€49–€199/mo)</w:t>
            </w:r>
          </w:p>
        </w:tc>
        <w:tc>
          <w:tcPr>
            <w:tcW w:type="dxa" w:w="2342"/>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Enterprise (from €999/mo)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 profile &amp; campaigns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Employee matching &amp; VTO</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 to 10 employees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 to 500</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Unlimited + SSO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Annual tax-receipt pack (HR Profit Tax)</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 PDF</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 signed + XML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VSME export (CSV/JSON)</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Basic module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Basic + Comprehensive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ESRS S1/S3/S4 data pack</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Yes, audit trail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GRI 413 &amp; B4SI mapping</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Manual tag</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Auto-tag + review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Branded CSR report (DOCX/PDF)</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Template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Custom template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Public impact profile /company/[slug]</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Read-only</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Custom domain</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Custom domain + embed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 &amp; accounting integrations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Webhooks</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 + Pantheon/Minimax/Xero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Support</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Community</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Email, 2 bd</w:t>
            </w:r>
          </w:p>
        </w:tc>
        <w:tc>
          <w:tcPr>
            <w:tcW w:type="dxa" w:w="2342"/>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Dedicated CSM</w:t>
            </w:r>
          </w:p>
        </w:tc>
      </w:tr>
    </w:tbl>
    <w:p>
      <w:pPr>
        <w:spacing w:after="120"/>
      </w:pPr>
      <w:r>
        <w:t xml:space="preserve"/>
      </w:r>
    </w:p>
    <w:p>
      <w:r>
        <w:br w:type="page"/>
      </w:r>
    </w:p>
    <w:p>
      <w:pPr>
        <w:pStyle w:val="Heading1"/>
        <w:spacing w:after="180" w:before="300"/>
      </w:pPr>
      <w:r>
        <w:rPr>
          <w:rFonts w:ascii="Arial" w:cs="Arial" w:eastAsia="Arial" w:hAnsi="Arial"/>
          <w:b/>
          <w:bCs/>
          <w:color w:val="1F3864"/>
          <w:sz w:val="32"/>
          <w:szCs w:val="32"/>
        </w:rPr>
        <w:t xml:space="preserve">Part V — Data model and architecture</w:t>
      </w:r>
    </w:p>
    <w:p>
      <w:pPr>
        <w:pStyle w:val="Heading2"/>
        <w:spacing w:after="120" w:before="240"/>
      </w:pPr>
      <w:r>
        <w:rPr>
          <w:rFonts w:ascii="Arial" w:cs="Arial" w:eastAsia="Arial" w:hAnsi="Arial"/>
          <w:b/>
          <w:bCs/>
          <w:color w:val="1F3864"/>
          <w:sz w:val="26"/>
          <w:szCs w:val="26"/>
        </w:rPr>
        <w:t xml:space="preserve">Design principles</w:t>
      </w:r>
    </w:p>
    <w:p>
      <w:pPr>
        <w:pStyle w:val="ListParagraph"/>
        <w:numPr>
          <w:ilvl w:val="0"/>
          <w:numId w:val="2"/>
        </w:numPr>
        <w:spacing w:after="60" w:line="280"/>
      </w:pPr>
      <w:r>
        <w:rPr>
          <w:rFonts w:ascii="Arial" w:cs="Arial" w:eastAsia="Arial" w:hAnsi="Arial"/>
          <w:b/>
          <w:bCs/>
          <w:sz w:val="22"/>
          <w:szCs w:val="22"/>
        </w:rPr>
        <w:t xml:space="preserve">Additive only. </w:t>
      </w:r>
      <w:r>
        <w:rPr>
          <w:rFonts w:ascii="Arial" w:cs="Arial" w:eastAsia="Arial" w:hAnsi="Arial"/>
          <w:sz w:val="22"/>
          <w:szCs w:val="22"/>
        </w:rPr>
        <w:t xml:space="preserve">No destructive changes to the existing schema. All new tables are introduced in migration 003 onwards; existing columns are extended via nullable additions so the try-Supabase-then-fallback pattern in /api/* keeps working.</w:t>
      </w:r>
    </w:p>
    <w:p>
      <w:pPr>
        <w:pStyle w:val="ListParagraph"/>
        <w:numPr>
          <w:ilvl w:val="0"/>
          <w:numId w:val="2"/>
        </w:numPr>
        <w:spacing w:after="60" w:line="280"/>
      </w:pPr>
      <w:r>
        <w:rPr>
          <w:rFonts w:ascii="Arial" w:cs="Arial" w:eastAsia="Arial" w:hAnsi="Arial"/>
          <w:b/>
          <w:bCs/>
          <w:sz w:val="22"/>
          <w:szCs w:val="22"/>
        </w:rPr>
        <w:t xml:space="preserve">Evidence is first-class. </w:t>
      </w:r>
      <w:r>
        <w:rPr>
          <w:rFonts w:ascii="Arial" w:cs="Arial" w:eastAsia="Arial" w:hAnsi="Arial"/>
          <w:sz w:val="22"/>
          <w:szCs w:val="22"/>
        </w:rPr>
        <w:t xml:space="preserve">Every row that contributes to a tax receipt or an ESG export must trace back to a signed acknowledgement. pledge_acknowledgements is the foundation.</w:t>
      </w:r>
    </w:p>
    <w:p>
      <w:pPr>
        <w:pStyle w:val="ListParagraph"/>
        <w:numPr>
          <w:ilvl w:val="0"/>
          <w:numId w:val="2"/>
        </w:numPr>
        <w:spacing w:after="60" w:line="280"/>
      </w:pPr>
      <w:r>
        <w:rPr>
          <w:rFonts w:ascii="Arial" w:cs="Arial" w:eastAsia="Arial" w:hAnsi="Arial"/>
          <w:b/>
          <w:bCs/>
          <w:sz w:val="22"/>
          <w:szCs w:val="22"/>
        </w:rPr>
        <w:t xml:space="preserve">Tenanted, not multi-tenanted. </w:t>
      </w:r>
      <w:r>
        <w:rPr>
          <w:rFonts w:ascii="Arial" w:cs="Arial" w:eastAsia="Arial" w:hAnsi="Arial"/>
          <w:sz w:val="22"/>
          <w:szCs w:val="22"/>
        </w:rPr>
        <w:t xml:space="preserve">A company is a lightweight tenant bound to a set of profiles via company_members — no separate schema or database per tenant. Row-level security does the isolation.</w:t>
      </w:r>
    </w:p>
    <w:p>
      <w:pPr>
        <w:pStyle w:val="ListParagraph"/>
        <w:numPr>
          <w:ilvl w:val="0"/>
          <w:numId w:val="2"/>
        </w:numPr>
        <w:spacing w:after="60" w:line="280"/>
      </w:pPr>
      <w:r>
        <w:rPr>
          <w:rFonts w:ascii="Arial" w:cs="Arial" w:eastAsia="Arial" w:hAnsi="Arial"/>
          <w:b/>
          <w:bCs/>
          <w:sz w:val="22"/>
          <w:szCs w:val="22"/>
        </w:rPr>
        <w:t xml:space="preserve">Separation of facts and renders. </w:t>
      </w:r>
      <w:r>
        <w:rPr>
          <w:rFonts w:ascii="Arial" w:cs="Arial" w:eastAsia="Arial" w:hAnsi="Arial"/>
          <w:sz w:val="22"/>
          <w:szCs w:val="22"/>
        </w:rPr>
        <w:t xml:space="preserve">donation_receipts, esg_exports and csr_reports are render artefacts. Regenerating them must be idempotent against the underlying pledges and acknowledgements.</w:t>
      </w:r>
    </w:p>
    <w:p>
      <w:pPr>
        <w:pStyle w:val="Heading2"/>
        <w:spacing w:after="120" w:before="240"/>
      </w:pPr>
      <w:r>
        <w:rPr>
          <w:rFonts w:ascii="Arial" w:cs="Arial" w:eastAsia="Arial" w:hAnsi="Arial"/>
          <w:b/>
          <w:bCs/>
          <w:color w:val="1F3864"/>
          <w:sz w:val="26"/>
          <w:szCs w:val="26"/>
        </w:rPr>
        <w:t xml:space="preserve">New tables (migration 003_esg_schema.sql)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Table</w:t>
            </w:r>
          </w:p>
        </w:tc>
        <w:tc>
          <w:tcPr>
            <w:tcW w:type="dxa" w:w="48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Purpose &amp; key columns</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RLS scope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companies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Corporate tenant. id, legal_name, oib, address, size_class, csrd_wave, subscription_tier, logo_url, verified_at, default_match_ratio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Public select basic profile; admin-scoped update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company_members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Links profiles → companies with role (admin / finance / employee) and department. Unique (profile_id, company_id)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Member-scoped select; admin-scoped insert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campaigns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company_id, name, description, starts_at, ends_at, target_amount, sdg_tags[], theme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Member-scoped select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pledges (amended)</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Adds company_id, campaign_id, is_matched, matched_by_pledge_id, tax_category, delivery_fulfilled_at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Existing + company-member read on own company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pledge_acknowledgements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pledge_id, institution_user_id, signed_at, signature_hash, notes, delivery_photo_url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Institution-scoped insert; donor+company read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volunteer_hours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event_signup_id, user_id, institution_id, hours, company_id (nullable), recorded_by, recorded_at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User-scoped select; institution-scoped insert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donation_receipts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company_id, fiscal_year, total_amount, deduction_ceiling_pct, ceiling_consumed_pct, pdf_url, generated_at, version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Company-admin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esg_exports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company_id, framework (vsme/esrs/gri413/b4si), period, file_url, file_format, generated_at, evidence_manifest_jsonb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Company-admin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csr_reports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company_id, period, template_id, pdf_url, docx_url, generated_at, public_slug (nullable)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Company-admin write; public read if public_slug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subscriptions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company_id, tier, status, stripe_subscription_id, current_period_end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Company-admin only</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Key flows</w:t>
      </w:r>
    </w:p>
    <w:p>
      <w:pPr>
        <w:pStyle w:val="Heading3"/>
        <w:spacing w:after="80" w:before="180"/>
      </w:pPr>
      <w:r>
        <w:rPr>
          <w:rFonts w:ascii="Arial" w:cs="Arial" w:eastAsia="Arial" w:hAnsi="Arial"/>
          <w:b/>
          <w:bCs/>
          <w:color w:val="2F5496"/>
          <w:sz w:val="23"/>
          <w:szCs w:val="23"/>
        </w:rPr>
        <w:t xml:space="preserve">Flow A — Corporate pledge with employee matching</w:t>
      </w:r>
    </w:p>
    <w:p>
      <w:pPr>
        <w:pStyle w:val="ListParagraph"/>
        <w:numPr>
          <w:ilvl w:val="0"/>
          <w:numId w:val="3"/>
        </w:numPr>
        <w:spacing w:after="60" w:line="280"/>
      </w:pPr>
      <w:r>
        <w:rPr>
          <w:rFonts w:ascii="Arial" w:cs="Arial" w:eastAsia="Arial" w:hAnsi="Arial"/>
          <w:sz w:val="22"/>
          <w:szCs w:val="22"/>
        </w:rPr>
        <w:t xml:space="preserve">Employee (company_member) clicks "Pledge" on a need, selects "Contribute on behalf of &lt;Employer&gt;".</w:t>
      </w:r>
    </w:p>
    <w:p>
      <w:pPr>
        <w:pStyle w:val="ListParagraph"/>
        <w:numPr>
          <w:ilvl w:val="0"/>
          <w:numId w:val="3"/>
        </w:numPr>
        <w:spacing w:after="60" w:line="280"/>
      </w:pPr>
      <w:r>
        <w:rPr>
          <w:rFonts w:ascii="Arial" w:cs="Arial" w:eastAsia="Arial" w:hAnsi="Arial"/>
          <w:sz w:val="22"/>
          <w:szCs w:val="22"/>
        </w:rPr>
        <w:t xml:space="preserve">POST /api/pledges creates the employee pledge with company_id and campaign_id set; if the company has default_match_ratio &gt; 0, the same handler inserts a second pledge of type="match" against the same need, attributed to the company, linked by matched_by_pledge_id.</w:t>
      </w:r>
    </w:p>
    <w:p>
      <w:pPr>
        <w:pStyle w:val="ListParagraph"/>
        <w:numPr>
          <w:ilvl w:val="0"/>
          <w:numId w:val="3"/>
        </w:numPr>
        <w:spacing w:after="60" w:line="280"/>
      </w:pPr>
      <w:r>
        <w:rPr>
          <w:rFonts w:ascii="Arial" w:cs="Arial" w:eastAsia="Arial" w:hAnsi="Arial"/>
          <w:sz w:val="22"/>
          <w:szCs w:val="22"/>
        </w:rPr>
        <w:t xml:space="preserve">Institution marks the pledge delivered on the dashboard; POST /api/pledges/[id]/acknowledge inserts a pledge_acknowledgements row signed by the institution user.</w:t>
      </w:r>
    </w:p>
    <w:p>
      <w:pPr>
        <w:pStyle w:val="ListParagraph"/>
        <w:numPr>
          <w:ilvl w:val="0"/>
          <w:numId w:val="3"/>
        </w:numPr>
        <w:spacing w:after="60" w:line="280"/>
      </w:pPr>
      <w:r>
        <w:rPr>
          <w:rFonts w:ascii="Arial" w:cs="Arial" w:eastAsia="Arial" w:hAnsi="Arial"/>
          <w:sz w:val="22"/>
          <w:szCs w:val="22"/>
        </w:rPr>
        <w:t xml:space="preserve">Company admin dashboard reflects the pledge in the fiscal-year running total and the campaign progress bar.</w:t>
      </w:r>
    </w:p>
    <w:p>
      <w:pPr>
        <w:pStyle w:val="Heading3"/>
        <w:spacing w:after="80" w:before="180"/>
      </w:pPr>
      <w:r>
        <w:rPr>
          <w:rFonts w:ascii="Arial" w:cs="Arial" w:eastAsia="Arial" w:hAnsi="Arial"/>
          <w:b/>
          <w:bCs/>
          <w:color w:val="2F5496"/>
          <w:sz w:val="23"/>
          <w:szCs w:val="23"/>
        </w:rPr>
        <w:t xml:space="preserve">Flow B — Annual fiscal-year statement</w:t>
      </w:r>
    </w:p>
    <w:p>
      <w:pPr>
        <w:pStyle w:val="ListParagraph"/>
        <w:numPr>
          <w:ilvl w:val="0"/>
          <w:numId w:val="3"/>
        </w:numPr>
        <w:spacing w:after="60" w:line="280"/>
      </w:pPr>
      <w:r>
        <w:rPr>
          <w:rFonts w:ascii="Arial" w:cs="Arial" w:eastAsia="Arial" w:hAnsi="Arial"/>
          <w:sz w:val="22"/>
          <w:szCs w:val="22"/>
        </w:rPr>
        <w:t xml:space="preserve">GET /api/companies/[id]/receipts?fy=2026 triggers the renderer if no current version exists, otherwise streams the existing PDF.</w:t>
      </w:r>
    </w:p>
    <w:p>
      <w:pPr>
        <w:pStyle w:val="ListParagraph"/>
        <w:numPr>
          <w:ilvl w:val="0"/>
          <w:numId w:val="3"/>
        </w:numPr>
        <w:spacing w:after="60" w:line="280"/>
      </w:pPr>
      <w:r>
        <w:rPr>
          <w:rFonts w:ascii="Arial" w:cs="Arial" w:eastAsia="Arial" w:hAnsi="Arial"/>
          <w:sz w:val="22"/>
          <w:szCs w:val="22"/>
        </w:rPr>
        <w:t xml:space="preserve">Renderer collects all acknowledged pledges in the fiscal year, groups by institution, sums by tax_category, applies the configured ceiling (2% or 4% of prior-year revenue as stored on the company record).</w:t>
      </w:r>
    </w:p>
    <w:p>
      <w:pPr>
        <w:pStyle w:val="ListParagraph"/>
        <w:numPr>
          <w:ilvl w:val="0"/>
          <w:numId w:val="3"/>
        </w:numPr>
        <w:spacing w:after="60" w:line="280"/>
      </w:pPr>
      <w:r>
        <w:rPr>
          <w:rFonts w:ascii="Arial" w:cs="Arial" w:eastAsia="Arial" w:hAnsi="Arial"/>
          <w:sz w:val="22"/>
          <w:szCs w:val="22"/>
        </w:rPr>
        <w:t xml:space="preserve">Renderer produces a PDF containing the line items, the attached institution verifications, and a narrative paragraph citing the Profit Tax Act article. A companion XML/JSON manifest is produced for accounting-system import.</w:t>
      </w:r>
    </w:p>
    <w:p>
      <w:pPr>
        <w:pStyle w:val="Heading3"/>
        <w:spacing w:after="80" w:before="180"/>
      </w:pPr>
      <w:r>
        <w:rPr>
          <w:rFonts w:ascii="Arial" w:cs="Arial" w:eastAsia="Arial" w:hAnsi="Arial"/>
          <w:b/>
          <w:bCs/>
          <w:color w:val="2F5496"/>
          <w:sz w:val="23"/>
          <w:szCs w:val="23"/>
        </w:rPr>
        <w:t xml:space="preserve">Flow C — VSME / ESRS export</w:t>
      </w:r>
    </w:p>
    <w:p>
      <w:pPr>
        <w:pStyle w:val="ListParagraph"/>
        <w:numPr>
          <w:ilvl w:val="0"/>
          <w:numId w:val="3"/>
        </w:numPr>
        <w:spacing w:after="60" w:line="280"/>
      </w:pPr>
      <w:r>
        <w:rPr>
          <w:rFonts w:ascii="Arial" w:cs="Arial" w:eastAsia="Arial" w:hAnsi="Arial"/>
          <w:sz w:val="22"/>
          <w:szCs w:val="22"/>
        </w:rPr>
        <w:t xml:space="preserve">GET /api/companies/[id]/esg-export?framework=vsme&amp;period=2026 runs the datapoint-mapping module.</w:t>
      </w:r>
    </w:p>
    <w:p>
      <w:pPr>
        <w:pStyle w:val="ListParagraph"/>
        <w:numPr>
          <w:ilvl w:val="0"/>
          <w:numId w:val="3"/>
        </w:numPr>
        <w:spacing w:after="60" w:line="280"/>
      </w:pPr>
      <w:r>
        <w:rPr>
          <w:rFonts w:ascii="Arial" w:cs="Arial" w:eastAsia="Arial" w:hAnsi="Arial"/>
          <w:sz w:val="22"/>
          <w:szCs w:val="22"/>
        </w:rPr>
        <w:t xml:space="preserve">The module reads a framework manifest (JSON) that maps each datapoint to a SQL view or computed expression; missing datapoints return a skip-code with reason and what input is needed from the tenant.</w:t>
      </w:r>
    </w:p>
    <w:p>
      <w:pPr>
        <w:pStyle w:val="ListParagraph"/>
        <w:numPr>
          <w:ilvl w:val="0"/>
          <w:numId w:val="3"/>
        </w:numPr>
        <w:spacing w:after="60" w:line="280"/>
      </w:pPr>
      <w:r>
        <w:rPr>
          <w:rFonts w:ascii="Arial" w:cs="Arial" w:eastAsia="Arial" w:hAnsi="Arial"/>
          <w:sz w:val="22"/>
          <w:szCs w:val="22"/>
        </w:rPr>
        <w:t xml:space="preserve">Output is a ZIP with: data.csv, data.json, narrative.pdf, manifest.json, and an evidence/ folder of per-datapoint PDF evidence extracts. The manifest lists SHA-256 hashes of each evidence file for auditor chain-of-custody.</w:t>
      </w:r>
    </w:p>
    <w:p>
      <w:pPr>
        <w:pStyle w:val="Heading2"/>
        <w:spacing w:after="120" w:before="240"/>
      </w:pPr>
      <w:r>
        <w:rPr>
          <w:rFonts w:ascii="Arial" w:cs="Arial" w:eastAsia="Arial" w:hAnsi="Arial"/>
          <w:b/>
          <w:bCs/>
          <w:color w:val="1F3864"/>
          <w:sz w:val="26"/>
          <w:szCs w:val="26"/>
        </w:rPr>
        <w:t xml:space="preserve">Architecture additions</w:t>
      </w:r>
    </w:p>
    <w:p>
      <w:pPr>
        <w:pStyle w:val="ListParagraph"/>
        <w:numPr>
          <w:ilvl w:val="0"/>
          <w:numId w:val="2"/>
        </w:numPr>
        <w:spacing w:after="60" w:line="280"/>
      </w:pPr>
      <w:r>
        <w:rPr>
          <w:rFonts w:ascii="Arial" w:cs="Arial" w:eastAsia="Arial" w:hAnsi="Arial"/>
          <w:b/>
          <w:bCs/>
          <w:sz w:val="22"/>
          <w:szCs w:val="22"/>
        </w:rPr>
        <w:t xml:space="preserve">Renderer service. </w:t>
      </w:r>
      <w:r>
        <w:rPr>
          <w:rFonts w:ascii="Arial" w:cs="Arial" w:eastAsia="Arial" w:hAnsi="Arial"/>
          <w:sz w:val="22"/>
          <w:szCs w:val="22"/>
        </w:rPr>
        <w:t xml:space="preserve">A Next.js route handler that invokes pdf-lib or puppeteer-core (on Vercel serverless functions or a dedicated worker on Railway/Fly) to generate the PDFs and DOCX. Charts rendered as SVG server-side with vega-lite to avoid runtime DOM.</w:t>
      </w:r>
    </w:p>
    <w:p>
      <w:pPr>
        <w:pStyle w:val="ListParagraph"/>
        <w:numPr>
          <w:ilvl w:val="0"/>
          <w:numId w:val="2"/>
        </w:numPr>
        <w:spacing w:after="60" w:line="280"/>
      </w:pPr>
      <w:r>
        <w:rPr>
          <w:rFonts w:ascii="Arial" w:cs="Arial" w:eastAsia="Arial" w:hAnsi="Arial"/>
          <w:b/>
          <w:bCs/>
          <w:sz w:val="22"/>
          <w:szCs w:val="22"/>
        </w:rPr>
        <w:t xml:space="preserve">Storage. </w:t>
      </w:r>
      <w:r>
        <w:rPr>
          <w:rFonts w:ascii="Arial" w:cs="Arial" w:eastAsia="Arial" w:hAnsi="Arial"/>
          <w:sz w:val="22"/>
          <w:szCs w:val="22"/>
        </w:rPr>
        <w:t xml:space="preserve">Supabase Storage buckets receipts/ and exports/ with private ACLs; signed URLs issued to company-admin users only. Evidence files never leave Supabase Storage.</w:t>
      </w:r>
    </w:p>
    <w:p>
      <w:pPr>
        <w:pStyle w:val="ListParagraph"/>
        <w:numPr>
          <w:ilvl w:val="0"/>
          <w:numId w:val="2"/>
        </w:numPr>
        <w:spacing w:after="60" w:line="280"/>
      </w:pPr>
      <w:r>
        <w:rPr>
          <w:rFonts w:ascii="Arial" w:cs="Arial" w:eastAsia="Arial" w:hAnsi="Arial"/>
          <w:b/>
          <w:bCs/>
          <w:sz w:val="22"/>
          <w:szCs w:val="22"/>
        </w:rPr>
        <w:t xml:space="preserve">Billing. </w:t>
      </w:r>
      <w:r>
        <w:rPr>
          <w:rFonts w:ascii="Arial" w:cs="Arial" w:eastAsia="Arial" w:hAnsi="Arial"/>
          <w:sz w:val="22"/>
          <w:szCs w:val="22"/>
        </w:rPr>
        <w:t xml:space="preserve">Stripe for subscriptions and usage metering; webhook at /api/stripe/webhook updates subscriptions.status. Tier-gating is enforced at the API layer via a middleware that checks the resolved subscriptions row for the requesting profile’s company.</w:t>
      </w:r>
    </w:p>
    <w:p>
      <w:pPr>
        <w:pStyle w:val="ListParagraph"/>
        <w:numPr>
          <w:ilvl w:val="0"/>
          <w:numId w:val="2"/>
        </w:numPr>
        <w:spacing w:after="60" w:line="280"/>
      </w:pPr>
      <w:r>
        <w:rPr>
          <w:rFonts w:ascii="Arial" w:cs="Arial" w:eastAsia="Arial" w:hAnsi="Arial"/>
          <w:b/>
          <w:bCs/>
          <w:sz w:val="22"/>
          <w:szCs w:val="22"/>
        </w:rPr>
        <w:t xml:space="preserve">Integrations. </w:t>
      </w:r>
      <w:r>
        <w:rPr>
          <w:rFonts w:ascii="Arial" w:cs="Arial" w:eastAsia="Arial" w:hAnsi="Arial"/>
          <w:sz w:val="22"/>
          <w:szCs w:val="22"/>
        </w:rPr>
        <w:t xml:space="preserve">Accounting connectors (Pantheon, Minimax, Luceed, Xero) implemented as one-way exports initially — CSV/XML in the vendor’s import format — with API connectors as a Phase 4 upsell. SSO via WorkOS or Azure Entra ID for the Enterprise tier.</w:t>
      </w:r>
    </w:p>
    <w:p>
      <w:pPr>
        <w:pStyle w:val="ListParagraph"/>
        <w:numPr>
          <w:ilvl w:val="0"/>
          <w:numId w:val="2"/>
        </w:numPr>
        <w:spacing w:after="60" w:line="280"/>
      </w:pPr>
      <w:r>
        <w:rPr>
          <w:rFonts w:ascii="Arial" w:cs="Arial" w:eastAsia="Arial" w:hAnsi="Arial"/>
          <w:b/>
          <w:bCs/>
          <w:sz w:val="22"/>
          <w:szCs w:val="22"/>
        </w:rPr>
        <w:t xml:space="preserve">Audit trail. </w:t>
      </w:r>
      <w:r>
        <w:rPr>
          <w:rFonts w:ascii="Arial" w:cs="Arial" w:eastAsia="Arial" w:hAnsi="Arial"/>
          <w:sz w:val="22"/>
          <w:szCs w:val="22"/>
        </w:rPr>
        <w:t xml:space="preserve">An append-only audit_log table records every material action (pledge created, acknowledged, receipt generated, export produced) with the acting user and a hash-chained record to support the auditor standard coming in ESRS assurance.</w:t>
      </w:r>
    </w:p>
    <w:p>
      <w:r>
        <w:br w:type="page"/>
      </w:r>
    </w:p>
    <w:p>
      <w:pPr>
        <w:pStyle w:val="Heading1"/>
        <w:spacing w:after="180" w:before="300"/>
      </w:pPr>
      <w:r>
        <w:rPr>
          <w:rFonts w:ascii="Arial" w:cs="Arial" w:eastAsia="Arial" w:hAnsi="Arial"/>
          <w:b/>
          <w:bCs/>
          <w:color w:val="1F3864"/>
          <w:sz w:val="32"/>
          <w:szCs w:val="32"/>
        </w:rPr>
        <w:t xml:space="preserve">Part VI — Phased roadmap</w:t>
      </w:r>
    </w:p>
    <w:p>
      <w:pPr>
        <w:spacing w:after="120" w:line="300"/>
        <w:jc w:val="left"/>
      </w:pPr>
      <w:r>
        <w:rPr>
          <w:rFonts w:ascii="Arial" w:cs="Arial" w:eastAsia="Arial" w:hAnsi="Arial"/>
          <w:b w:val="false"/>
          <w:bCs w:val="false"/>
          <w:i w:val="false"/>
          <w:iCs w:val="false"/>
          <w:sz w:val="22"/>
          <w:szCs w:val="22"/>
        </w:rPr>
        <w:t xml:space="preserve">The roadmap is sequenced so that each phase produces a sellable increment and so that no phase depends on features from a later phase. Phase 0 is the only prerequisite for everything else; Phases 1, 2 and 3 can be parallelised once Phase 0 is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426"/>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Phase</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Target</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Scope</w:t>
            </w:r>
          </w:p>
        </w:tc>
        <w:tc>
          <w:tcPr>
            <w:tcW w:type="dxa" w:w="24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Effort (dev-weeks)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0 — Foundations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 weeks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Migration 003 (companies, company_members, campaigns, pledge_acknowledgements, audit_log). Company onboarding flow (OIB lookup, invite by email, domain auto-join). Extend /api/pledges to accept company_id. Fix known bugs §9 of CLAUDE.md in the same PR.</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3</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 — Tax receipts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 weeks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Institution acknowledgement UX; fiscal-year statement renderer; PDF + XML/JSON manifest; company admin dashboard; SME subscription tier; Stripe wiring.</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 — ESG export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10 weeks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Framework manifests for VSME Basic, ESRS S1/S3, GRI 413, B4SI. Evidence manifest + hash chain. Export ZIP pipeline. Enterprise tier + SSO.</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10</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3 — CSR report + public profile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 weeks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Branded DOCX/PDF CSR report generator; public /company/[slug] page; open-graph cards; SDG tagging taxonomy; beneficiary stories pulled from acknowledgements.</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 — Integrations &amp; EU</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Ongoing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Pantheon/Minimax/Luceed/Xero connectors; API; WorkOS SSO; localisation for Slovenia, Hungary, Romania; Transnational Giving Europe rails for cross-border deductibility.</w:t>
            </w:r>
          </w:p>
        </w:tc>
        <w:tc>
          <w:tcPr>
            <w:tcW w:type="dxa" w:w="2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Rolling</w:t>
            </w:r>
          </w:p>
        </w:tc>
      </w:tr>
    </w:tbl>
    <w:p>
      <w:pPr>
        <w:spacing w:after="120"/>
      </w:pPr>
      <w:r>
        <w:t xml:space="preserve"/>
      </w:r>
    </w:p>
    <w:p>
      <w:pPr>
        <w:pStyle w:val="Heading2"/>
        <w:spacing w:after="120" w:before="240"/>
      </w:pPr>
      <w:r>
        <w:rPr>
          <w:rFonts w:ascii="Arial" w:cs="Arial" w:eastAsia="Arial" w:hAnsi="Arial"/>
          <w:b/>
          <w:bCs/>
          <w:color w:val="1F3864"/>
          <w:sz w:val="26"/>
          <w:szCs w:val="26"/>
        </w:rPr>
        <w:t xml:space="preserve">Phase 0 — Foundations (2 weeks)</w:t>
      </w:r>
    </w:p>
    <w:p>
      <w:pPr>
        <w:spacing w:after="120" w:line="300"/>
        <w:jc w:val="left"/>
      </w:pPr>
      <w:r>
        <w:rPr>
          <w:rFonts w:ascii="Arial" w:cs="Arial" w:eastAsia="Arial" w:hAnsi="Arial"/>
          <w:b w:val="false"/>
          <w:bCs w:val="false"/>
          <w:i w:val="false"/>
          <w:iCs w:val="false"/>
          <w:sz w:val="22"/>
          <w:szCs w:val="22"/>
        </w:rPr>
        <w:t xml:space="preserve">The prerequisite for every downstream capability. Ship the data model additions, the company onboarding, and the acknowledgement primitive. Piggy-back the three outstanding bugs flagged in CLAUDE.md §9 (missing credentials on PledgeButton/VolunteerEventCard fetches, event_date field name mismatch) so the new APIs do not inherit them.</w:t>
      </w:r>
    </w:p>
    <w:p>
      <w:pPr>
        <w:pStyle w:val="Heading2"/>
        <w:spacing w:after="120" w:before="240"/>
      </w:pPr>
      <w:r>
        <w:rPr>
          <w:rFonts w:ascii="Arial" w:cs="Arial" w:eastAsia="Arial" w:hAnsi="Arial"/>
          <w:b/>
          <w:bCs/>
          <w:color w:val="1F3864"/>
          <w:sz w:val="26"/>
          <w:szCs w:val="26"/>
        </w:rPr>
        <w:t xml:space="preserve">Phase 1 — Tax receipts (6 weeks)</w:t>
      </w:r>
    </w:p>
    <w:p>
      <w:pPr>
        <w:spacing w:after="120" w:line="300"/>
        <w:jc w:val="left"/>
      </w:pPr>
      <w:r>
        <w:rPr>
          <w:rFonts w:ascii="Arial" w:cs="Arial" w:eastAsia="Arial" w:hAnsi="Arial"/>
          <w:b w:val="false"/>
          <w:bCs w:val="false"/>
          <w:i w:val="false"/>
          <w:iCs w:val="false"/>
          <w:sz w:val="22"/>
          <w:szCs w:val="22"/>
        </w:rPr>
        <w:t xml:space="preserve">The most-requested feature and the one with the clearest ROI narrative. A Croatian SME with €5m revenue can claim up to €100k in deductible donations under the current 2% ceiling — the SME tier at €199/month (€2,388/year) pays for itself at the first €13k of incremental deducted giving, and the full ceiling is rarely used today precisely because the admin overhead is prohibitive. Ship the fiscal-year statement as a first-class product.</w:t>
      </w:r>
    </w:p>
    <w:p>
      <w:pPr>
        <w:pStyle w:val="Heading2"/>
        <w:spacing w:after="120" w:before="240"/>
      </w:pPr>
      <w:r>
        <w:rPr>
          <w:rFonts w:ascii="Arial" w:cs="Arial" w:eastAsia="Arial" w:hAnsi="Arial"/>
          <w:b/>
          <w:bCs/>
          <w:color w:val="1F3864"/>
          <w:sz w:val="26"/>
          <w:szCs w:val="26"/>
        </w:rPr>
        <w:t xml:space="preserve">Phase 2 — ESG export (10 weeks)</w:t>
      </w:r>
    </w:p>
    <w:p>
      <w:pPr>
        <w:spacing w:after="120" w:line="300"/>
        <w:jc w:val="left"/>
      </w:pPr>
      <w:r>
        <w:rPr>
          <w:rFonts w:ascii="Arial" w:cs="Arial" w:eastAsia="Arial" w:hAnsi="Arial"/>
          <w:b w:val="false"/>
          <w:bCs w:val="false"/>
          <w:i w:val="false"/>
          <w:iCs w:val="false"/>
          <w:sz w:val="22"/>
          <w:szCs w:val="22"/>
        </w:rPr>
        <w:t xml:space="preserve">The moat. Once DajSrce emits VSME- and ESRS-aligned output with auditor-grade evidence, switching away becomes expensive. The framework-manifest architecture means new frameworks (GRI 413, B4SI, a bank-specific template) are data, not code — adding a new framework is a matter of writing a JSON manifest and shipping it.</w:t>
      </w:r>
    </w:p>
    <w:p>
      <w:pPr>
        <w:pStyle w:val="Heading2"/>
        <w:spacing w:after="120" w:before="240"/>
      </w:pPr>
      <w:r>
        <w:rPr>
          <w:rFonts w:ascii="Arial" w:cs="Arial" w:eastAsia="Arial" w:hAnsi="Arial"/>
          <w:b/>
          <w:bCs/>
          <w:color w:val="1F3864"/>
          <w:sz w:val="26"/>
          <w:szCs w:val="26"/>
        </w:rPr>
        <w:t xml:space="preserve">Phase 3 — CSR report and public profile (6 weeks)</w:t>
      </w:r>
    </w:p>
    <w:p>
      <w:pPr>
        <w:spacing w:after="120" w:line="300"/>
        <w:jc w:val="left"/>
      </w:pPr>
      <w:r>
        <w:rPr>
          <w:rFonts w:ascii="Arial" w:cs="Arial" w:eastAsia="Arial" w:hAnsi="Arial"/>
          <w:b w:val="false"/>
          <w:bCs w:val="false"/>
          <w:i w:val="false"/>
          <w:iCs w:val="false"/>
          <w:sz w:val="22"/>
          <w:szCs w:val="22"/>
        </w:rPr>
        <w:t xml:space="preserve">The viral loop. Every CSR report and public profile is a shareable artefact that carries the DajSrce mark and a link to an institution. Expect inbound institution sign-ups triggered by company reports. Build the branded PDF first (that is what companies put in board packs), the public profile second, and the open-graph embed last.</w:t>
      </w:r>
    </w:p>
    <w:p>
      <w:pPr>
        <w:pStyle w:val="Heading2"/>
        <w:spacing w:after="120" w:before="240"/>
      </w:pPr>
      <w:r>
        <w:rPr>
          <w:rFonts w:ascii="Arial" w:cs="Arial" w:eastAsia="Arial" w:hAnsi="Arial"/>
          <w:b/>
          <w:bCs/>
          <w:color w:val="1F3864"/>
          <w:sz w:val="26"/>
          <w:szCs w:val="26"/>
        </w:rPr>
        <w:t xml:space="preserve">Phase 4 — Integrations and EU expansion (ongoing)</w:t>
      </w:r>
    </w:p>
    <w:p>
      <w:pPr>
        <w:spacing w:after="120" w:line="300"/>
        <w:jc w:val="left"/>
      </w:pPr>
      <w:r>
        <w:rPr>
          <w:rFonts w:ascii="Arial" w:cs="Arial" w:eastAsia="Arial" w:hAnsi="Arial"/>
          <w:b w:val="false"/>
          <w:bCs w:val="false"/>
          <w:i w:val="false"/>
          <w:iCs w:val="false"/>
          <w:sz w:val="22"/>
          <w:szCs w:val="22"/>
        </w:rPr>
        <w:t xml:space="preserve">Unlock by unlock: a Pantheon or Minimax connector unlocks the mid-market Croatian finance function; SSO unlocks IT-gated enterprises; Transnational Giving Europe rails unlock EU-wide deductibility. None are blocking for Croatian MVP.</w:t>
      </w:r>
    </w:p>
    <w:p>
      <w:pPr>
        <w:pStyle w:val="Heading2"/>
        <w:spacing w:after="120" w:before="240"/>
      </w:pPr>
      <w:r>
        <w:rPr>
          <w:rFonts w:ascii="Arial" w:cs="Arial" w:eastAsia="Arial" w:hAnsi="Arial"/>
          <w:b/>
          <w:bCs/>
          <w:color w:val="1F3864"/>
          <w:sz w:val="26"/>
          <w:szCs w:val="26"/>
        </w:rPr>
        <w:t xml:space="preserve">Dependencies and critical path</w:t>
      </w:r>
    </w:p>
    <w:p>
      <w:pPr>
        <w:spacing w:after="120" w:line="300"/>
        <w:jc w:val="left"/>
      </w:pPr>
      <w:r>
        <w:rPr>
          <w:rFonts w:ascii="Arial" w:cs="Arial" w:eastAsia="Arial" w:hAnsi="Arial"/>
          <w:b w:val="false"/>
          <w:bCs w:val="false"/>
          <w:i w:val="false"/>
          <w:iCs w:val="false"/>
          <w:sz w:val="22"/>
          <w:szCs w:val="22"/>
        </w:rPr>
        <w:t xml:space="preserve">Phase 0 blocks everything. Phase 1 blocks Phase 2 only for the evidence-hash mechanism (which is easier to design once the receipt pipeline exists). Phase 3 technically only needs the company profile from Phase 0, but shipping it before Phase 1 gives companies a reason to onboard before they can pay — consider a Phase 0.5 "public profile alpha" sprint if sales momentum needs a kick.</w:t>
      </w:r>
    </w:p>
    <w:p>
      <w:r>
        <w:br w:type="page"/>
      </w:r>
    </w:p>
    <w:p>
      <w:pPr>
        <w:pStyle w:val="Heading1"/>
        <w:spacing w:after="180" w:before="300"/>
      </w:pPr>
      <w:r>
        <w:rPr>
          <w:rFonts w:ascii="Arial" w:cs="Arial" w:eastAsia="Arial" w:hAnsi="Arial"/>
          <w:b/>
          <w:bCs/>
          <w:color w:val="1F3864"/>
          <w:sz w:val="32"/>
          <w:szCs w:val="32"/>
        </w:rPr>
        <w:t xml:space="preserve">Part VII — Pricing and go-to-market</w:t>
      </w:r>
    </w:p>
    <w:p>
      <w:pPr>
        <w:pStyle w:val="Heading2"/>
        <w:spacing w:after="120" w:before="240"/>
      </w:pPr>
      <w:r>
        <w:rPr>
          <w:rFonts w:ascii="Arial" w:cs="Arial" w:eastAsia="Arial" w:hAnsi="Arial"/>
          <w:b/>
          <w:bCs/>
          <w:color w:val="1F3864"/>
          <w:sz w:val="26"/>
          <w:szCs w:val="26"/>
        </w:rPr>
        <w:t xml:space="preserve">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Plan</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Price (EUR)</w:t>
            </w:r>
          </w:p>
        </w:tc>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Limits</w:t>
            </w:r>
          </w:p>
        </w:tc>
        <w:tc>
          <w:tcPr>
            <w:tcW w:type="dxa" w:w="3226"/>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Anchor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Free (Starter)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10 employees, public profile only</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Lead magnet. "Try before tax season"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SME — Tax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€49/mo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50 employees, one campaign, fiscal statement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Payback at ~€3.3k of tax saved per year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SME — Plus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€199/mo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500 employees, unlimited campaigns, VSME Basic, branded CSR report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Payback at ~€13k of tax saved or one avoided ESG questionnaire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Enterprise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from €999/mo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Unlimited, VSME + ESRS + GRI + B4SI, SSO, custom branding</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Replaces €30–80k/yr point tools for CSRD data collection</w:t>
            </w:r>
          </w:p>
        </w:tc>
      </w:tr>
    </w:tbl>
    <w:p>
      <w:pPr>
        <w:spacing w:after="120"/>
      </w:pPr>
      <w:r>
        <w:t xml:space="preserve"/>
      </w:r>
    </w:p>
    <w:p>
      <w:pPr>
        <w:spacing w:after="120" w:line="300"/>
        <w:jc w:val="left"/>
      </w:pPr>
      <w:r>
        <w:rPr>
          <w:rFonts w:ascii="Arial" w:cs="Arial" w:eastAsia="Arial" w:hAnsi="Arial"/>
          <w:b w:val="false"/>
          <w:bCs w:val="false"/>
          <w:i w:val="false"/>
          <w:iCs w:val="false"/>
          <w:sz w:val="22"/>
          <w:szCs w:val="22"/>
        </w:rPr>
        <w:t xml:space="preserve">Anchoring is deliberate. SME pricing is framed against the tax saving ("you already donate €5k, this pays for itself before April"), not against competitor platforms. Enterprise pricing is framed against replacement cost of the CSRD data-collection tools large firms are currently procuring from vendors such as Workiva, Position Green, or Coolset.</w:t>
      </w:r>
    </w:p>
    <w:p>
      <w:pPr>
        <w:pStyle w:val="Heading2"/>
        <w:spacing w:after="120" w:before="240"/>
      </w:pPr>
      <w:r>
        <w:rPr>
          <w:rFonts w:ascii="Arial" w:cs="Arial" w:eastAsia="Arial" w:hAnsi="Arial"/>
          <w:b/>
          <w:bCs/>
          <w:color w:val="1F3864"/>
          <w:sz w:val="26"/>
          <w:szCs w:val="26"/>
        </w:rPr>
        <w:t xml:space="preserve">Go-to-market motions</w:t>
      </w:r>
    </w:p>
    <w:p>
      <w:pPr>
        <w:pStyle w:val="ListParagraph"/>
        <w:numPr>
          <w:ilvl w:val="0"/>
          <w:numId w:val="2"/>
        </w:numPr>
        <w:spacing w:after="60" w:line="280"/>
      </w:pPr>
      <w:r>
        <w:rPr>
          <w:rFonts w:ascii="Arial" w:cs="Arial" w:eastAsia="Arial" w:hAnsi="Arial"/>
          <w:b/>
          <w:bCs/>
          <w:sz w:val="22"/>
          <w:szCs w:val="22"/>
        </w:rPr>
        <w:t xml:space="preserve">Bottom-up from institutions. </w:t>
      </w:r>
      <w:r>
        <w:rPr>
          <w:rFonts w:ascii="Arial" w:cs="Arial" w:eastAsia="Arial" w:hAnsi="Arial"/>
          <w:sz w:val="22"/>
          <w:szCs w:val="22"/>
        </w:rPr>
        <w:t xml:space="preserve">Institutions already on DajSrce are the most credible channel into their corporate donors. Arm each institution with a "We accept corporate donations — get your tax receipt" one-pager.</w:t>
      </w:r>
    </w:p>
    <w:p>
      <w:pPr>
        <w:pStyle w:val="ListParagraph"/>
        <w:numPr>
          <w:ilvl w:val="0"/>
          <w:numId w:val="2"/>
        </w:numPr>
        <w:spacing w:after="60" w:line="280"/>
      </w:pPr>
      <w:r>
        <w:rPr>
          <w:rFonts w:ascii="Arial" w:cs="Arial" w:eastAsia="Arial" w:hAnsi="Arial"/>
          <w:b/>
          <w:bCs/>
          <w:sz w:val="22"/>
          <w:szCs w:val="22"/>
        </w:rPr>
        <w:t xml:space="preserve">Accountant referral programme. </w:t>
      </w:r>
      <w:r>
        <w:rPr>
          <w:rFonts w:ascii="Arial" w:cs="Arial" w:eastAsia="Arial" w:hAnsi="Arial"/>
          <w:sz w:val="22"/>
          <w:szCs w:val="22"/>
        </w:rPr>
        <w:t xml:space="preserve">Croatian accountants (knjigovođe) have a tight grip on SME finance. A 20% lifetime revenue share for referred SMEs can turn them into a distributed salesforce.</w:t>
      </w:r>
    </w:p>
    <w:p>
      <w:pPr>
        <w:pStyle w:val="ListParagraph"/>
        <w:numPr>
          <w:ilvl w:val="0"/>
          <w:numId w:val="2"/>
        </w:numPr>
        <w:spacing w:after="60" w:line="280"/>
      </w:pPr>
      <w:r>
        <w:rPr>
          <w:rFonts w:ascii="Arial" w:cs="Arial" w:eastAsia="Arial" w:hAnsi="Arial"/>
          <w:b/>
          <w:bCs/>
          <w:sz w:val="22"/>
          <w:szCs w:val="22"/>
        </w:rPr>
        <w:t xml:space="preserve">Chamber and employer-association partnerships. </w:t>
      </w:r>
      <w:r>
        <w:rPr>
          <w:rFonts w:ascii="Arial" w:cs="Arial" w:eastAsia="Arial" w:hAnsi="Arial"/>
          <w:sz w:val="22"/>
          <w:szCs w:val="22"/>
        </w:rPr>
        <w:t xml:space="preserve">HGK and HUP are both actively helping members prepare for CSRD cascades. Co-branded webinars and a preferred-vendor status close the top-down motion.</w:t>
      </w:r>
    </w:p>
    <w:p>
      <w:pPr>
        <w:pStyle w:val="ListParagraph"/>
        <w:numPr>
          <w:ilvl w:val="0"/>
          <w:numId w:val="2"/>
        </w:numPr>
        <w:spacing w:after="60" w:line="280"/>
      </w:pPr>
      <w:r>
        <w:rPr>
          <w:rFonts w:ascii="Arial" w:cs="Arial" w:eastAsia="Arial" w:hAnsi="Arial"/>
          <w:b/>
          <w:bCs/>
          <w:sz w:val="22"/>
          <w:szCs w:val="22"/>
        </w:rPr>
        <w:t xml:space="preserve">Bank co-marketing. </w:t>
      </w:r>
      <w:r>
        <w:rPr>
          <w:rFonts w:ascii="Arial" w:cs="Arial" w:eastAsia="Arial" w:hAnsi="Arial"/>
          <w:sz w:val="22"/>
          <w:szCs w:val="22"/>
        </w:rPr>
        <w:t xml:space="preserve">Croatian banks (Zaba, PBZ, Erste, OTP) each run seven-figure CSR budgets. Offer a "donate through your bank" co-branded campaign and capture the deal flow plus the bank's own CSR data.</w:t>
      </w:r>
    </w:p>
    <w:p>
      <w:pPr>
        <w:pStyle w:val="ListParagraph"/>
        <w:numPr>
          <w:ilvl w:val="0"/>
          <w:numId w:val="2"/>
        </w:numPr>
        <w:spacing w:after="60" w:line="280"/>
      </w:pPr>
      <w:r>
        <w:rPr>
          <w:rFonts w:ascii="Arial" w:cs="Arial" w:eastAsia="Arial" w:hAnsi="Arial"/>
          <w:b/>
          <w:bCs/>
          <w:sz w:val="22"/>
          <w:szCs w:val="22"/>
        </w:rPr>
        <w:t xml:space="preserve">Content engine. </w:t>
      </w:r>
      <w:r>
        <w:rPr>
          <w:rFonts w:ascii="Arial" w:cs="Arial" w:eastAsia="Arial" w:hAnsi="Arial"/>
          <w:sz w:val="22"/>
          <w:szCs w:val="22"/>
        </w:rPr>
        <w:t xml:space="preserve">Monthly Croatian-language explainer on a single ESRS/VSME datapoint, anchored on a real beneficiary story. Classic SEO + LinkedIn combo.</w:t>
      </w:r>
    </w:p>
    <w:p>
      <w:pPr>
        <w:pStyle w:val="Heading2"/>
        <w:spacing w:after="120" w:before="240"/>
      </w:pPr>
      <w:r>
        <w:rPr>
          <w:rFonts w:ascii="Arial" w:cs="Arial" w:eastAsia="Arial" w:hAnsi="Arial"/>
          <w:b/>
          <w:bCs/>
          <w:color w:val="1F3864"/>
          <w:sz w:val="26"/>
          <w:szCs w:val="26"/>
        </w:rPr>
        <w:t xml:space="preserve">Metrics to watch</w:t>
      </w:r>
    </w:p>
    <w:p>
      <w:pPr>
        <w:pStyle w:val="ListParagraph"/>
        <w:numPr>
          <w:ilvl w:val="0"/>
          <w:numId w:val="2"/>
        </w:numPr>
        <w:spacing w:after="60" w:line="280"/>
      </w:pPr>
      <w:r>
        <w:rPr>
          <w:rFonts w:ascii="Arial" w:cs="Arial" w:eastAsia="Arial" w:hAnsi="Arial"/>
          <w:b/>
          <w:bCs/>
          <w:sz w:val="22"/>
          <w:szCs w:val="22"/>
        </w:rPr>
        <w:t xml:space="preserve">Acknowledgement rate </w:t>
      </w:r>
      <w:r>
        <w:rPr>
          <w:rFonts w:ascii="Arial" w:cs="Arial" w:eastAsia="Arial" w:hAnsi="Arial"/>
          <w:sz w:val="22"/>
          <w:szCs w:val="22"/>
        </w:rPr>
        <w:t xml:space="preserve">(acknowledged pledges / delivered pledges). Below 80% and the tax-receipt product degrades.</w:t>
      </w:r>
    </w:p>
    <w:p>
      <w:pPr>
        <w:pStyle w:val="ListParagraph"/>
        <w:numPr>
          <w:ilvl w:val="0"/>
          <w:numId w:val="2"/>
        </w:numPr>
        <w:spacing w:after="60" w:line="280"/>
      </w:pPr>
      <w:r>
        <w:rPr>
          <w:rFonts w:ascii="Arial" w:cs="Arial" w:eastAsia="Arial" w:hAnsi="Arial"/>
          <w:b/>
          <w:bCs/>
          <w:sz w:val="22"/>
          <w:szCs w:val="22"/>
        </w:rPr>
        <w:t xml:space="preserve">Deduction-ceiling consumption </w:t>
      </w:r>
      <w:r>
        <w:rPr>
          <w:rFonts w:ascii="Arial" w:cs="Arial" w:eastAsia="Arial" w:hAnsi="Arial"/>
          <w:sz w:val="22"/>
          <w:szCs w:val="22"/>
        </w:rPr>
        <w:t xml:space="preserve">per paying company. Proxy for the value delivered and the prompt to upsell to Plus.</w:t>
      </w:r>
    </w:p>
    <w:p>
      <w:pPr>
        <w:pStyle w:val="ListParagraph"/>
        <w:numPr>
          <w:ilvl w:val="0"/>
          <w:numId w:val="2"/>
        </w:numPr>
        <w:spacing w:after="60" w:line="280"/>
      </w:pPr>
      <w:r>
        <w:rPr>
          <w:rFonts w:ascii="Arial" w:cs="Arial" w:eastAsia="Arial" w:hAnsi="Arial"/>
          <w:b/>
          <w:bCs/>
          <w:sz w:val="22"/>
          <w:szCs w:val="22"/>
        </w:rPr>
        <w:t xml:space="preserve">Export downloads per company </w:t>
      </w:r>
      <w:r>
        <w:rPr>
          <w:rFonts w:ascii="Arial" w:cs="Arial" w:eastAsia="Arial" w:hAnsi="Arial"/>
          <w:sz w:val="22"/>
          <w:szCs w:val="22"/>
        </w:rPr>
        <w:t xml:space="preserve">per year. If zero, the Enterprise tier is not being used and is at churn risk.</w:t>
      </w:r>
    </w:p>
    <w:p>
      <w:pPr>
        <w:pStyle w:val="ListParagraph"/>
        <w:numPr>
          <w:ilvl w:val="0"/>
          <w:numId w:val="2"/>
        </w:numPr>
        <w:spacing w:after="60" w:line="280"/>
      </w:pPr>
      <w:r>
        <w:rPr>
          <w:rFonts w:ascii="Arial" w:cs="Arial" w:eastAsia="Arial" w:hAnsi="Arial"/>
          <w:b/>
          <w:bCs/>
          <w:sz w:val="22"/>
          <w:szCs w:val="22"/>
        </w:rPr>
        <w:t xml:space="preserve">Institution onboarding via company share-back. </w:t>
      </w:r>
      <w:r>
        <w:rPr>
          <w:rFonts w:ascii="Arial" w:cs="Arial" w:eastAsia="Arial" w:hAnsi="Arial"/>
          <w:sz w:val="22"/>
          <w:szCs w:val="22"/>
        </w:rPr>
        <w:t xml:space="preserve">Measures the viral loop from Phase 3.</w:t>
      </w:r>
    </w:p>
    <w:p>
      <w:r>
        <w:br w:type="page"/>
      </w:r>
    </w:p>
    <w:p>
      <w:pPr>
        <w:pStyle w:val="Heading1"/>
        <w:spacing w:after="180" w:before="300"/>
      </w:pPr>
      <w:r>
        <w:rPr>
          <w:rFonts w:ascii="Arial" w:cs="Arial" w:eastAsia="Arial" w:hAnsi="Arial"/>
          <w:b/>
          <w:bCs/>
          <w:color w:val="1F3864"/>
          <w:sz w:val="32"/>
          <w:szCs w:val="32"/>
        </w:rPr>
        <w:t xml:space="preserve">Part VIII — Risks, compliance and open questions</w:t>
      </w:r>
    </w:p>
    <w:p>
      <w:pPr>
        <w:pStyle w:val="Heading2"/>
        <w:spacing w:after="120" w:before="240"/>
      </w:pPr>
      <w:r>
        <w:rPr>
          <w:rFonts w:ascii="Arial" w:cs="Arial" w:eastAsia="Arial" w:hAnsi="Arial"/>
          <w:b/>
          <w:bCs/>
          <w:color w:val="1F3864"/>
          <w:sz w:val="26"/>
          <w:szCs w:val="26"/>
        </w:rPr>
        <w:t xml:space="preserve">Risks</w:t>
      </w:r>
    </w:p>
    <w:p>
      <w:pPr>
        <w:pStyle w:val="ListParagraph"/>
        <w:numPr>
          <w:ilvl w:val="0"/>
          <w:numId w:val="2"/>
        </w:numPr>
        <w:spacing w:after="60" w:line="280"/>
      </w:pPr>
      <w:r>
        <w:rPr>
          <w:rFonts w:ascii="Arial" w:cs="Arial" w:eastAsia="Arial" w:hAnsi="Arial"/>
          <w:b/>
          <w:bCs/>
          <w:sz w:val="22"/>
          <w:szCs w:val="22"/>
        </w:rPr>
        <w:t xml:space="preserve">Regulatory drift. </w:t>
      </w:r>
      <w:r>
        <w:rPr>
          <w:rFonts w:ascii="Arial" w:cs="Arial" w:eastAsia="Arial" w:hAnsi="Arial"/>
          <w:sz w:val="22"/>
          <w:szCs w:val="22"/>
        </w:rPr>
        <w:t xml:space="preserve">Omnibus II is already being drafted; further simplifications or re-tightening could change datapoint scope. Mitigation: framework-manifest architecture isolates regulatory change to data, not code.</w:t>
      </w:r>
    </w:p>
    <w:p>
      <w:pPr>
        <w:pStyle w:val="ListParagraph"/>
        <w:numPr>
          <w:ilvl w:val="0"/>
          <w:numId w:val="2"/>
        </w:numPr>
        <w:spacing w:after="60" w:line="280"/>
      </w:pPr>
      <w:r>
        <w:rPr>
          <w:rFonts w:ascii="Arial" w:cs="Arial" w:eastAsia="Arial" w:hAnsi="Arial"/>
          <w:b/>
          <w:bCs/>
          <w:sz w:val="22"/>
          <w:szCs w:val="22"/>
        </w:rPr>
        <w:t xml:space="preserve">Audit of tax deduction. </w:t>
      </w:r>
      <w:r>
        <w:rPr>
          <w:rFonts w:ascii="Arial" w:cs="Arial" w:eastAsia="Arial" w:hAnsi="Arial"/>
          <w:sz w:val="22"/>
          <w:szCs w:val="22"/>
        </w:rPr>
        <w:t xml:space="preserve">A failed Porezna uprava audit on a platform-issued receipt would be reputationally fatal. Mitigation: obtain a formal opinion from a Croatian tax advisor (Deloitte / PwC / KPMG / Leitner) on the receipt format before Phase 1 launch; mirror the exact wording of existing potvrde where possible.</w:t>
      </w:r>
    </w:p>
    <w:p>
      <w:pPr>
        <w:pStyle w:val="ListParagraph"/>
        <w:numPr>
          <w:ilvl w:val="0"/>
          <w:numId w:val="2"/>
        </w:numPr>
        <w:spacing w:after="60" w:line="280"/>
      </w:pPr>
      <w:r>
        <w:rPr>
          <w:rFonts w:ascii="Arial" w:cs="Arial" w:eastAsia="Arial" w:hAnsi="Arial"/>
          <w:b/>
          <w:bCs/>
          <w:sz w:val="22"/>
          <w:szCs w:val="22"/>
        </w:rPr>
        <w:t xml:space="preserve">GDPR liability. </w:t>
      </w:r>
      <w:r>
        <w:rPr>
          <w:rFonts w:ascii="Arial" w:cs="Arial" w:eastAsia="Arial" w:hAnsi="Arial"/>
          <w:sz w:val="22"/>
          <w:szCs w:val="22"/>
        </w:rPr>
        <w:t xml:space="preserve">Handling employee-level volunteering data for multiple employer tenants requires an explicit DPA per company and employee consent where required. Mitigation: standard DPA and privacy notice reviewed by counsel; opt-in flow on first employee-company linkage; company-level aggregates by default, personal dashboards gated behind express consent.</w:t>
      </w:r>
    </w:p>
    <w:p>
      <w:pPr>
        <w:pStyle w:val="ListParagraph"/>
        <w:numPr>
          <w:ilvl w:val="0"/>
          <w:numId w:val="2"/>
        </w:numPr>
        <w:spacing w:after="60" w:line="280"/>
      </w:pPr>
      <w:r>
        <w:rPr>
          <w:rFonts w:ascii="Arial" w:cs="Arial" w:eastAsia="Arial" w:hAnsi="Arial"/>
          <w:b/>
          <w:bCs/>
          <w:sz w:val="22"/>
          <w:szCs w:val="22"/>
        </w:rPr>
        <w:t xml:space="preserve">Institution capacity. </w:t>
      </w:r>
      <w:r>
        <w:rPr>
          <w:rFonts w:ascii="Arial" w:cs="Arial" w:eastAsia="Arial" w:hAnsi="Arial"/>
          <w:sz w:val="22"/>
          <w:szCs w:val="22"/>
        </w:rPr>
        <w:t xml:space="preserve">If institutions do not acknowledge pledges promptly, the whole tax-receipt pipeline stalls. Mitigation: email + push reminders, auto-acknowledge after 14 days with a "assumed delivered" badge clearly flagged on the receipt.</w:t>
      </w:r>
    </w:p>
    <w:p>
      <w:pPr>
        <w:pStyle w:val="ListParagraph"/>
        <w:numPr>
          <w:ilvl w:val="0"/>
          <w:numId w:val="2"/>
        </w:numPr>
        <w:spacing w:after="60" w:line="280"/>
      </w:pPr>
      <w:r>
        <w:rPr>
          <w:rFonts w:ascii="Arial" w:cs="Arial" w:eastAsia="Arial" w:hAnsi="Arial"/>
          <w:b/>
          <w:bCs/>
          <w:sz w:val="22"/>
          <w:szCs w:val="22"/>
        </w:rPr>
        <w:t xml:space="preserve">Platform perception. </w:t>
      </w:r>
      <w:r>
        <w:rPr>
          <w:rFonts w:ascii="Arial" w:cs="Arial" w:eastAsia="Arial" w:hAnsi="Arial"/>
          <w:sz w:val="22"/>
          <w:szCs w:val="22"/>
        </w:rPr>
        <w:t xml:space="preserve">Citizens must not feel that the charitable platform has been captured by corporate PR. Mitigation: keep the citizen product ad-free, keep the public map neutral (no corporate logos), confine company branding to /company/[slug] and /dashboard.</w:t>
      </w:r>
    </w:p>
    <w:p>
      <w:pPr>
        <w:pStyle w:val="Heading2"/>
        <w:spacing w:after="120" w:before="240"/>
      </w:pPr>
      <w:r>
        <w:rPr>
          <w:rFonts w:ascii="Arial" w:cs="Arial" w:eastAsia="Arial" w:hAnsi="Arial"/>
          <w:b/>
          <w:bCs/>
          <w:color w:val="1F3864"/>
          <w:sz w:val="26"/>
          <w:szCs w:val="26"/>
        </w:rPr>
        <w:t xml:space="preserve">Compliance checklist before Phase 1 launch</w:t>
      </w:r>
    </w:p>
    <w:p>
      <w:pPr>
        <w:pStyle w:val="ListParagraph"/>
        <w:numPr>
          <w:ilvl w:val="0"/>
          <w:numId w:val="2"/>
        </w:numPr>
        <w:spacing w:after="60" w:line="280"/>
      </w:pPr>
      <w:r>
        <w:rPr>
          <w:rFonts w:ascii="Arial" w:cs="Arial" w:eastAsia="Arial" w:hAnsi="Arial"/>
          <w:sz w:val="22"/>
          <w:szCs w:val="22"/>
        </w:rPr>
        <w:t xml:space="preserve">Obtain tax-advisor opinion on the receipt PDF + OIB-of-donor and OIB-of-institution fields.</w:t>
      </w:r>
    </w:p>
    <w:p>
      <w:pPr>
        <w:pStyle w:val="ListParagraph"/>
        <w:numPr>
          <w:ilvl w:val="0"/>
          <w:numId w:val="2"/>
        </w:numPr>
        <w:spacing w:after="60" w:line="280"/>
      </w:pPr>
      <w:r>
        <w:rPr>
          <w:rFonts w:ascii="Arial" w:cs="Arial" w:eastAsia="Arial" w:hAnsi="Arial"/>
          <w:sz w:val="22"/>
          <w:szCs w:val="22"/>
        </w:rPr>
        <w:t xml:space="preserve">Publish Terms of Service and Privacy Policy covering corporate tenants and employee data.</w:t>
      </w:r>
    </w:p>
    <w:p>
      <w:pPr>
        <w:pStyle w:val="ListParagraph"/>
        <w:numPr>
          <w:ilvl w:val="0"/>
          <w:numId w:val="2"/>
        </w:numPr>
        <w:spacing w:after="60" w:line="280"/>
      </w:pPr>
      <w:r>
        <w:rPr>
          <w:rFonts w:ascii="Arial" w:cs="Arial" w:eastAsia="Arial" w:hAnsi="Arial"/>
          <w:sz w:val="22"/>
          <w:szCs w:val="22"/>
        </w:rPr>
        <w:t xml:space="preserve">Sign Data Processing Agreement template with legal counsel.</w:t>
      </w:r>
    </w:p>
    <w:p>
      <w:pPr>
        <w:pStyle w:val="ListParagraph"/>
        <w:numPr>
          <w:ilvl w:val="0"/>
          <w:numId w:val="2"/>
        </w:numPr>
        <w:spacing w:after="60" w:line="280"/>
      </w:pPr>
      <w:r>
        <w:rPr>
          <w:rFonts w:ascii="Arial" w:cs="Arial" w:eastAsia="Arial" w:hAnsi="Arial"/>
          <w:sz w:val="22"/>
          <w:szCs w:val="22"/>
        </w:rPr>
        <w:t xml:space="preserve">Register any processing of biometric / sensitive data with AZOP (not expected to apply, but verify before launch).</w:t>
      </w:r>
    </w:p>
    <w:p>
      <w:pPr>
        <w:pStyle w:val="ListParagraph"/>
        <w:numPr>
          <w:ilvl w:val="0"/>
          <w:numId w:val="2"/>
        </w:numPr>
        <w:spacing w:after="60" w:line="280"/>
      </w:pPr>
      <w:r>
        <w:rPr>
          <w:rFonts w:ascii="Arial" w:cs="Arial" w:eastAsia="Arial" w:hAnsi="Arial"/>
          <w:sz w:val="22"/>
          <w:szCs w:val="22"/>
        </w:rPr>
        <w:t xml:space="preserve">Implement hash-chained audit_log and document retention policy.</w:t>
      </w:r>
    </w:p>
    <w:p>
      <w:pPr>
        <w:pStyle w:val="Heading2"/>
        <w:spacing w:after="120" w:before="240"/>
      </w:pPr>
      <w:r>
        <w:rPr>
          <w:rFonts w:ascii="Arial" w:cs="Arial" w:eastAsia="Arial" w:hAnsi="Arial"/>
          <w:b/>
          <w:bCs/>
          <w:color w:val="1F3864"/>
          <w:sz w:val="26"/>
          <w:szCs w:val="26"/>
        </w:rPr>
        <w:t xml:space="preserve">Open questions for the founder</w:t>
      </w:r>
    </w:p>
    <w:p>
      <w:pPr>
        <w:pStyle w:val="ListParagraph"/>
        <w:numPr>
          <w:ilvl w:val="0"/>
          <w:numId w:val="2"/>
        </w:numPr>
        <w:spacing w:after="60" w:line="280"/>
      </w:pPr>
      <w:r>
        <w:rPr>
          <w:rFonts w:ascii="Arial" w:cs="Arial" w:eastAsia="Arial" w:hAnsi="Arial"/>
          <w:sz w:val="22"/>
          <w:szCs w:val="22"/>
        </w:rPr>
        <w:t xml:space="preserve">Expected effective date of the 2% → 4% deduction change? The product should launch with 2% and toggle to 4% by config on the effective date; no code change needed.</w:t>
      </w:r>
    </w:p>
    <w:p>
      <w:pPr>
        <w:pStyle w:val="ListParagraph"/>
        <w:numPr>
          <w:ilvl w:val="0"/>
          <w:numId w:val="2"/>
        </w:numPr>
        <w:spacing w:after="60" w:line="280"/>
      </w:pPr>
      <w:r>
        <w:rPr>
          <w:rFonts w:ascii="Arial" w:cs="Arial" w:eastAsia="Arial" w:hAnsi="Arial"/>
          <w:sz w:val="22"/>
          <w:szCs w:val="22"/>
        </w:rPr>
        <w:t xml:space="preserve">Do we pursue a B-Corp certification ourselves? Signals alignment and opens a marketing channel but imposes governance overhead.</w:t>
      </w:r>
    </w:p>
    <w:p>
      <w:pPr>
        <w:pStyle w:val="ListParagraph"/>
        <w:numPr>
          <w:ilvl w:val="0"/>
          <w:numId w:val="2"/>
        </w:numPr>
        <w:spacing w:after="60" w:line="280"/>
      </w:pPr>
      <w:r>
        <w:rPr>
          <w:rFonts w:ascii="Arial" w:cs="Arial" w:eastAsia="Arial" w:hAnsi="Arial"/>
          <w:sz w:val="22"/>
          <w:szCs w:val="22"/>
        </w:rPr>
        <w:t xml:space="preserve">Do we offer a hosted VSME questionnaire for banks to push to their SME loan book? This could be the wedge into the banking sector and 10x the SME acquisition funnel.</w:t>
      </w:r>
    </w:p>
    <w:p>
      <w:pPr>
        <w:pStyle w:val="ListParagraph"/>
        <w:numPr>
          <w:ilvl w:val="0"/>
          <w:numId w:val="2"/>
        </w:numPr>
        <w:spacing w:after="60" w:line="280"/>
      </w:pPr>
      <w:r>
        <w:rPr>
          <w:rFonts w:ascii="Arial" w:cs="Arial" w:eastAsia="Arial" w:hAnsi="Arial"/>
          <w:sz w:val="22"/>
          <w:szCs w:val="22"/>
        </w:rPr>
        <w:t xml:space="preserve">What is the posture toward political and religious donations in the Croatian context? Needs a clear policy written before the tax-receipt pipeline goes live.</w:t>
      </w:r>
    </w:p>
    <w:p>
      <w:r>
        <w:br w:type="page"/>
      </w:r>
    </w:p>
    <w:p>
      <w:pPr>
        <w:pStyle w:val="Heading1"/>
        <w:spacing w:after="180" w:before="300"/>
      </w:pPr>
      <w:r>
        <w:rPr>
          <w:rFonts w:ascii="Arial" w:cs="Arial" w:eastAsia="Arial" w:hAnsi="Arial"/>
          <w:b/>
          <w:bCs/>
          <w:color w:val="1F3864"/>
          <w:sz w:val="32"/>
          <w:szCs w:val="32"/>
        </w:rPr>
        <w:t xml:space="preserve">Appendix A — Sources and references</w:t>
      </w:r>
    </w:p>
    <w:p>
      <w:pPr>
        <w:spacing w:after="120" w:line="300"/>
        <w:jc w:val="left"/>
      </w:pPr>
      <w:r>
        <w:rPr>
          <w:rFonts w:ascii="Arial" w:cs="Arial" w:eastAsia="Arial" w:hAnsi="Arial"/>
          <w:b w:val="false"/>
          <w:bCs w:val="false"/>
          <w:i w:val="false"/>
          <w:iCs w:val="false"/>
          <w:sz w:val="22"/>
          <w:szCs w:val="22"/>
        </w:rPr>
        <w:t xml:space="preserve">Regulatory texts and primary materials:</w:t>
      </w:r>
    </w:p>
    <w:p>
      <w:pPr>
        <w:pStyle w:val="ListParagraph"/>
        <w:numPr>
          <w:ilvl w:val="0"/>
          <w:numId w:val="2"/>
        </w:numPr>
        <w:spacing w:after="80"/>
      </w:pPr>
      <w:hyperlink w:history="1" r:id="rIdjzzqxfnuniefepr9jpucv">
        <w:r>
          <w:rPr>
            <w:rFonts w:ascii="Arial" w:cs="Arial" w:eastAsia="Arial" w:hAnsi="Arial"/>
            <w:color w:val="2F5496"/>
            <w:sz w:val="20"/>
            <w:szCs w:val="20"/>
            <w:u w:val="single" w:color="2F5496"/>
          </w:rPr>
          <w:t xml:space="preserve">European Commission — Corporate sustainability reporting (central page)</w:t>
        </w:r>
      </w:hyperlink>
    </w:p>
    <w:p>
      <w:pPr>
        <w:pStyle w:val="ListParagraph"/>
        <w:numPr>
          <w:ilvl w:val="0"/>
          <w:numId w:val="2"/>
        </w:numPr>
        <w:spacing w:after="80"/>
      </w:pPr>
      <w:hyperlink w:history="1" r:id="rIdusryam5nx3vvckvrrf9ba">
        <w:r>
          <w:rPr>
            <w:rFonts w:ascii="Arial" w:cs="Arial" w:eastAsia="Arial" w:hAnsi="Arial"/>
            <w:color w:val="2F5496"/>
            <w:sz w:val="20"/>
            <w:szCs w:val="20"/>
            <w:u w:val="single" w:color="2F5496"/>
          </w:rPr>
          <w:t xml:space="preserve">European Commission — Q&amp;A on the VSME Recommendation (30 July 2025)</w:t>
        </w:r>
      </w:hyperlink>
    </w:p>
    <w:p>
      <w:pPr>
        <w:pStyle w:val="ListParagraph"/>
        <w:numPr>
          <w:ilvl w:val="0"/>
          <w:numId w:val="2"/>
        </w:numPr>
        <w:spacing w:after="80"/>
      </w:pPr>
      <w:hyperlink w:history="1" r:id="rIdufadlctr6pdab0wqtph6x">
        <w:r>
          <w:rPr>
            <w:rFonts w:ascii="Arial" w:cs="Arial" w:eastAsia="Arial" w:hAnsi="Arial"/>
            <w:color w:val="2F5496"/>
            <w:sz w:val="20"/>
            <w:szCs w:val="20"/>
            <w:u w:val="single" w:color="2F5496"/>
          </w:rPr>
          <w:t xml:space="preserve">EFRAG — ESRS S1 Own Workforce (Delegated Act Annex)</w:t>
        </w:r>
      </w:hyperlink>
    </w:p>
    <w:p>
      <w:pPr>
        <w:pStyle w:val="ListParagraph"/>
        <w:numPr>
          <w:ilvl w:val="0"/>
          <w:numId w:val="2"/>
        </w:numPr>
        <w:spacing w:after="80"/>
      </w:pPr>
      <w:hyperlink w:history="1" r:id="rIdm6zmzb8vu0vg-fte5t3vk">
        <w:r>
          <w:rPr>
            <w:rFonts w:ascii="Arial" w:cs="Arial" w:eastAsia="Arial" w:hAnsi="Arial"/>
            <w:color w:val="2F5496"/>
            <w:sz w:val="20"/>
            <w:szCs w:val="20"/>
            <w:u w:val="single" w:color="2F5496"/>
          </w:rPr>
          <w:t xml:space="preserve">EFRAG — ESRS S3 Affected Communities (Exposure Draft)</w:t>
        </w:r>
      </w:hyperlink>
    </w:p>
    <w:p>
      <w:pPr>
        <w:pStyle w:val="ListParagraph"/>
        <w:numPr>
          <w:ilvl w:val="0"/>
          <w:numId w:val="2"/>
        </w:numPr>
        <w:spacing w:after="80"/>
      </w:pPr>
      <w:hyperlink w:history="1" r:id="rId2co_3_h3a-7m_nzgdgjhu">
        <w:r>
          <w:rPr>
            <w:rFonts w:ascii="Arial" w:cs="Arial" w:eastAsia="Arial" w:hAnsi="Arial"/>
            <w:color w:val="2F5496"/>
            <w:sz w:val="20"/>
            <w:szCs w:val="20"/>
            <w:u w:val="single" w:color="2F5496"/>
          </w:rPr>
          <w:t xml:space="preserve">EFRAG — ESRS S3 Comparative Table of Texts (December 2025)</w:t>
        </w:r>
      </w:hyperlink>
    </w:p>
    <w:p>
      <w:pPr>
        <w:pStyle w:val="ListParagraph"/>
        <w:numPr>
          <w:ilvl w:val="0"/>
          <w:numId w:val="2"/>
        </w:numPr>
        <w:spacing w:after="80"/>
      </w:pPr>
      <w:hyperlink w:history="1" r:id="rIdovvmfhfced5g-_fmit3gz">
        <w:r>
          <w:rPr>
            <w:rFonts w:ascii="Arial" w:cs="Arial" w:eastAsia="Arial" w:hAnsi="Arial"/>
            <w:color w:val="2F5496"/>
            <w:sz w:val="20"/>
            <w:szCs w:val="20"/>
            <w:u w:val="single" w:color="2F5496"/>
          </w:rPr>
          <w:t xml:space="preserve">EFRAG — VSME Voluntary Standard project page</w:t>
        </w:r>
      </w:hyperlink>
    </w:p>
    <w:p>
      <w:pPr>
        <w:pStyle w:val="ListParagraph"/>
        <w:numPr>
          <w:ilvl w:val="0"/>
          <w:numId w:val="2"/>
        </w:numPr>
        <w:spacing w:after="80"/>
      </w:pPr>
      <w:hyperlink w:history="1" r:id="rIdo09bp4hkokkur2d_fh06l">
        <w:r>
          <w:rPr>
            <w:rFonts w:ascii="Arial" w:cs="Arial" w:eastAsia="Arial" w:hAnsi="Arial"/>
            <w:color w:val="2F5496"/>
            <w:sz w:val="20"/>
            <w:szCs w:val="20"/>
            <w:u w:val="single" w:color="2F5496"/>
          </w:rPr>
          <w:t xml:space="preserve">Deloitte Heads Up — Omnibus Legislative Developments and Revised ESRS (Jan 2026)</w:t>
        </w:r>
      </w:hyperlink>
    </w:p>
    <w:p>
      <w:pPr>
        <w:pStyle w:val="ListParagraph"/>
        <w:numPr>
          <w:ilvl w:val="0"/>
          <w:numId w:val="2"/>
        </w:numPr>
        <w:spacing w:after="80"/>
      </w:pPr>
      <w:hyperlink w:history="1" r:id="rIdt-4lmllwshtjgkxmvqlt8">
        <w:r>
          <w:rPr>
            <w:rFonts w:ascii="Arial" w:cs="Arial" w:eastAsia="Arial" w:hAnsi="Arial"/>
            <w:color w:val="2F5496"/>
            <w:sz w:val="20"/>
            <w:szCs w:val="20"/>
            <w:u w:val="single" w:color="2F5496"/>
          </w:rPr>
          <w:t xml:space="preserve">PwC Viewpoint — Omnibus Directive finalised</w:t>
        </w:r>
      </w:hyperlink>
    </w:p>
    <w:p>
      <w:pPr>
        <w:pStyle w:val="ListParagraph"/>
        <w:numPr>
          <w:ilvl w:val="0"/>
          <w:numId w:val="2"/>
        </w:numPr>
        <w:spacing w:after="80"/>
      </w:pPr>
      <w:hyperlink w:history="1" r:id="rId0vhu-fhprtwjlfk4ncxk5">
        <w:r>
          <w:rPr>
            <w:rFonts w:ascii="Arial" w:cs="Arial" w:eastAsia="Arial" w:hAnsi="Arial"/>
            <w:color w:val="2F5496"/>
            <w:sz w:val="20"/>
            <w:szCs w:val="20"/>
            <w:u w:val="single" w:color="2F5496"/>
          </w:rPr>
          <w:t xml:space="preserve">Gibson Dunn — Omnibus Simplification Enacted</w:t>
        </w:r>
      </w:hyperlink>
    </w:p>
    <w:p>
      <w:pPr>
        <w:pStyle w:val="ListParagraph"/>
        <w:numPr>
          <w:ilvl w:val="0"/>
          <w:numId w:val="2"/>
        </w:numPr>
        <w:spacing w:after="80"/>
      </w:pPr>
      <w:hyperlink w:history="1" r:id="rId3fm7cmr9tetanwldp9iti">
        <w:r>
          <w:rPr>
            <w:rFonts w:ascii="Arial" w:cs="Arial" w:eastAsia="Arial" w:hAnsi="Arial"/>
            <w:color w:val="2F5496"/>
            <w:sz w:val="20"/>
            <w:szCs w:val="20"/>
            <w:u w:val="single" w:color="2F5496"/>
          </w:rPr>
          <w:t xml:space="preserve">Coolset Academy — ESRS S1 after Omnibus (2026)</w:t>
        </w:r>
      </w:hyperlink>
    </w:p>
    <w:p>
      <w:pPr>
        <w:pStyle w:val="ListParagraph"/>
        <w:numPr>
          <w:ilvl w:val="0"/>
          <w:numId w:val="2"/>
        </w:numPr>
        <w:spacing w:after="80"/>
      </w:pPr>
      <w:hyperlink w:history="1" r:id="rIdqhkurqtm2fpvuav9majct">
        <w:r>
          <w:rPr>
            <w:rFonts w:ascii="Arial" w:cs="Arial" w:eastAsia="Arial" w:hAnsi="Arial"/>
            <w:color w:val="2F5496"/>
            <w:sz w:val="20"/>
            <w:szCs w:val="20"/>
            <w:u w:val="single" w:color="2F5496"/>
          </w:rPr>
          <w:t xml:space="preserve">Coolset Academy — How to interpret ESRS S3 (Mar 2026)</w:t>
        </w:r>
      </w:hyperlink>
    </w:p>
    <w:p>
      <w:pPr>
        <w:pStyle w:val="ListParagraph"/>
        <w:numPr>
          <w:ilvl w:val="0"/>
          <w:numId w:val="2"/>
        </w:numPr>
        <w:spacing w:after="80"/>
      </w:pPr>
      <w:hyperlink w:history="1" r:id="rIdwpvkdnhvla2ffpmpzbf7u">
        <w:r>
          <w:rPr>
            <w:rFonts w:ascii="Arial" w:cs="Arial" w:eastAsia="Arial" w:hAnsi="Arial"/>
            <w:color w:val="2F5496"/>
            <w:sz w:val="20"/>
            <w:szCs w:val="20"/>
            <w:u w:val="single" w:color="2F5496"/>
          </w:rPr>
          <w:t xml:space="preserve">Global Reporting Initiative — GRI 413 Local Communities 2016</w:t>
        </w:r>
      </w:hyperlink>
    </w:p>
    <w:p>
      <w:pPr>
        <w:pStyle w:val="ListParagraph"/>
        <w:numPr>
          <w:ilvl w:val="0"/>
          <w:numId w:val="2"/>
        </w:numPr>
        <w:spacing w:after="80"/>
      </w:pPr>
      <w:hyperlink w:history="1" r:id="rIdpkdoadidf-xlttibgyk9t">
        <w:r>
          <w:rPr>
            <w:rFonts w:ascii="Arial" w:cs="Arial" w:eastAsia="Arial" w:hAnsi="Arial"/>
            <w:color w:val="2F5496"/>
            <w:sz w:val="20"/>
            <w:szCs w:val="20"/>
            <w:u w:val="single" w:color="2F5496"/>
          </w:rPr>
          <w:t xml:space="preserve">B4SI — Public Community Investment Guidance Manual (2025)</w:t>
        </w:r>
      </w:hyperlink>
    </w:p>
    <w:p>
      <w:pPr>
        <w:pStyle w:val="ListParagraph"/>
        <w:numPr>
          <w:ilvl w:val="0"/>
          <w:numId w:val="2"/>
        </w:numPr>
        <w:spacing w:after="80"/>
      </w:pPr>
      <w:hyperlink w:history="1" r:id="rIdssgtmno7sepikdw44cwf5">
        <w:r>
          <w:rPr>
            <w:rFonts w:ascii="Arial" w:cs="Arial" w:eastAsia="Arial" w:hAnsi="Arial"/>
            <w:color w:val="2F5496"/>
            <w:sz w:val="20"/>
            <w:szCs w:val="20"/>
            <w:u w:val="single" w:color="2F5496"/>
          </w:rPr>
          <w:t xml:space="preserve">B Lab — Impact Areas (Community)</w:t>
        </w:r>
      </w:hyperlink>
    </w:p>
    <w:p>
      <w:pPr>
        <w:spacing w:after="120" w:line="300"/>
        <w:jc w:val="left"/>
      </w:pPr>
      <w:r>
        <w:rPr>
          <w:rFonts w:ascii="Arial" w:cs="Arial" w:eastAsia="Arial" w:hAnsi="Arial"/>
          <w:b w:val="false"/>
          <w:bCs w:val="false"/>
          <w:i w:val="false"/>
          <w:iCs w:val="false"/>
          <w:sz w:val="22"/>
          <w:szCs w:val="22"/>
        </w:rPr>
        <w:t xml:space="preserve">Croatian primary materials:</w:t>
      </w:r>
    </w:p>
    <w:p>
      <w:pPr>
        <w:pStyle w:val="ListParagraph"/>
        <w:numPr>
          <w:ilvl w:val="0"/>
          <w:numId w:val="2"/>
        </w:numPr>
        <w:spacing w:after="80"/>
      </w:pPr>
      <w:hyperlink w:history="1" r:id="rId5bgs5h31f0ueru2f8btdg">
        <w:r>
          <w:rPr>
            <w:rFonts w:ascii="Arial" w:cs="Arial" w:eastAsia="Arial" w:hAnsi="Arial"/>
            <w:color w:val="2F5496"/>
            <w:sz w:val="20"/>
            <w:szCs w:val="20"/>
            <w:u w:val="single" w:color="2F5496"/>
          </w:rPr>
          <w:t xml:space="preserve">Zakon.hr — Zakon o porezu na dobit (Corporate Profit Tax Act)</w:t>
        </w:r>
      </w:hyperlink>
    </w:p>
    <w:p>
      <w:pPr>
        <w:pStyle w:val="ListParagraph"/>
        <w:numPr>
          <w:ilvl w:val="0"/>
          <w:numId w:val="2"/>
        </w:numPr>
        <w:spacing w:after="80"/>
      </w:pPr>
      <w:hyperlink w:history="1" r:id="rIdz_xjkgvcfharnhvujcr9p">
        <w:r>
          <w:rPr>
            <w:rFonts w:ascii="Arial" w:cs="Arial" w:eastAsia="Arial" w:hAnsi="Arial"/>
            <w:color w:val="2F5496"/>
            <w:sz w:val="20"/>
            <w:szCs w:val="20"/>
            <w:u w:val="single" w:color="2F5496"/>
          </w:rPr>
          <w:t xml:space="preserve">Porezna uprava — Profit tax</w:t>
        </w:r>
      </w:hyperlink>
    </w:p>
    <w:p>
      <w:pPr>
        <w:pStyle w:val="ListParagraph"/>
        <w:numPr>
          <w:ilvl w:val="0"/>
          <w:numId w:val="2"/>
        </w:numPr>
        <w:spacing w:after="80"/>
      </w:pPr>
      <w:hyperlink w:history="1" r:id="rIdlgmenwdaji476fos-d54u">
        <w:r>
          <w:rPr>
            <w:rFonts w:ascii="Arial" w:cs="Arial" w:eastAsia="Arial" w:hAnsi="Arial"/>
            <w:color w:val="2F5496"/>
            <w:sz w:val="20"/>
            <w:szCs w:val="20"/>
            <w:u w:val="single" w:color="2F5496"/>
          </w:rPr>
          <w:t xml:space="preserve">Porezna uprava — Porez na dobit (HR)</w:t>
        </w:r>
      </w:hyperlink>
    </w:p>
    <w:p>
      <w:pPr>
        <w:pStyle w:val="ListParagraph"/>
        <w:numPr>
          <w:ilvl w:val="0"/>
          <w:numId w:val="2"/>
        </w:numPr>
        <w:spacing w:after="80"/>
      </w:pPr>
      <w:hyperlink w:history="1" r:id="rId5yvbn_nqwxlyoqkcqsb_r">
        <w:r>
          <w:rPr>
            <w:rFonts w:ascii="Arial" w:cs="Arial" w:eastAsia="Arial" w:hAnsi="Arial"/>
            <w:color w:val="2F5496"/>
            <w:sz w:val="20"/>
            <w:szCs w:val="20"/>
            <w:u w:val="single" w:color="2F5496"/>
          </w:rPr>
          <w:t xml:space="preserve">HANFA — CSRD transposed into Croatian legislation</w:t>
        </w:r>
      </w:hyperlink>
    </w:p>
    <w:p>
      <w:pPr>
        <w:pStyle w:val="ListParagraph"/>
        <w:numPr>
          <w:ilvl w:val="0"/>
          <w:numId w:val="2"/>
        </w:numPr>
        <w:spacing w:after="80"/>
      </w:pPr>
      <w:hyperlink w:history="1" r:id="rIdwe60f420lrgnggec34g9g">
        <w:r>
          <w:rPr>
            <w:rFonts w:ascii="Arial" w:cs="Arial" w:eastAsia="Arial" w:hAnsi="Arial"/>
            <w:color w:val="2F5496"/>
            <w:sz w:val="20"/>
            <w:szCs w:val="20"/>
            <w:u w:val="single" w:color="2F5496"/>
          </w:rPr>
          <w:t xml:space="preserve">Mercator — ESG Reporting in Croatia</w:t>
        </w:r>
      </w:hyperlink>
    </w:p>
    <w:p>
      <w:pPr>
        <w:pStyle w:val="ListParagraph"/>
        <w:numPr>
          <w:ilvl w:val="0"/>
          <w:numId w:val="2"/>
        </w:numPr>
        <w:spacing w:after="80"/>
      </w:pPr>
      <w:hyperlink w:history="1" r:id="rIdlhaalnfbmm0b_cxtkormk">
        <w:r>
          <w:rPr>
            <w:rFonts w:ascii="Arial" w:cs="Arial" w:eastAsia="Arial" w:hAnsi="Arial"/>
            <w:color w:val="2F5496"/>
            <w:sz w:val="20"/>
            <w:szCs w:val="20"/>
            <w:u w:val="single" w:color="2F5496"/>
          </w:rPr>
          <w:t xml:space="preserve">Kinstellar — ESG Reporting Obligations in CEE (incl. Croatia)</w:t>
        </w:r>
      </w:hyperlink>
    </w:p>
    <w:p>
      <w:pPr>
        <w:pStyle w:val="ListParagraph"/>
        <w:numPr>
          <w:ilvl w:val="0"/>
          <w:numId w:val="2"/>
        </w:numPr>
        <w:spacing w:after="80"/>
      </w:pPr>
      <w:hyperlink w:history="1" r:id="rIdrbexmja3vvedpc_rlhsku">
        <w:r>
          <w:rPr>
            <w:rFonts w:ascii="Arial" w:cs="Arial" w:eastAsia="Arial" w:hAnsi="Arial"/>
            <w:color w:val="2F5496"/>
            <w:sz w:val="20"/>
            <w:szCs w:val="20"/>
            <w:u w:val="single" w:color="2F5496"/>
          </w:rPr>
          <w:t xml:space="preserve">Wolf Theiss — CSRD Reporting for Croatian Market</w:t>
        </w:r>
      </w:hyperlink>
    </w:p>
    <w:p>
      <w:pPr>
        <w:pStyle w:val="ListParagraph"/>
        <w:numPr>
          <w:ilvl w:val="0"/>
          <w:numId w:val="2"/>
        </w:numPr>
        <w:spacing w:after="80"/>
      </w:pPr>
      <w:hyperlink w:history="1" r:id="rIdsmaabb-020s359w5qqn2g">
        <w:r>
          <w:rPr>
            <w:rFonts w:ascii="Arial" w:cs="Arial" w:eastAsia="Arial" w:hAnsi="Arial"/>
            <w:color w:val="2F5496"/>
            <w:sz w:val="20"/>
            <w:szCs w:val="20"/>
            <w:u w:val="single" w:color="2F5496"/>
          </w:rPr>
          <w:t xml:space="preserve">Taxand — Croatia: Key Tax Regulation Changes 2026</w:t>
        </w:r>
      </w:hyperlink>
    </w:p>
    <w:p>
      <w:pPr>
        <w:pStyle w:val="ListParagraph"/>
        <w:numPr>
          <w:ilvl w:val="0"/>
          <w:numId w:val="2"/>
        </w:numPr>
        <w:spacing w:after="80"/>
      </w:pPr>
      <w:hyperlink w:history="1" r:id="rIdby6nb_r0nwduirlxjbpox">
        <w:r>
          <w:rPr>
            <w:rFonts w:ascii="Arial" w:cs="Arial" w:eastAsia="Arial" w:hAnsi="Arial"/>
            <w:color w:val="2F5496"/>
            <w:sz w:val="20"/>
            <w:szCs w:val="20"/>
            <w:u w:val="single" w:color="2F5496"/>
          </w:rPr>
          <w:t xml:space="preserve">PwC — Croatia Corporate: Taxes on corporate income</w:t>
        </w:r>
      </w:hyperlink>
    </w:p>
    <w:p>
      <w:pPr>
        <w:pStyle w:val="ListParagraph"/>
        <w:numPr>
          <w:ilvl w:val="0"/>
          <w:numId w:val="2"/>
        </w:numPr>
        <w:spacing w:after="80"/>
      </w:pPr>
      <w:hyperlink w:history="1" r:id="rIdl8r7vrvfnc3wggbnx_jlb">
        <w:r>
          <w:rPr>
            <w:rFonts w:ascii="Arial" w:cs="Arial" w:eastAsia="Arial" w:hAnsi="Arial"/>
            <w:color w:val="2F5496"/>
            <w:sz w:val="20"/>
            <w:szCs w:val="20"/>
            <w:u w:val="single" w:color="2F5496"/>
          </w:rPr>
          <w:t xml:space="preserve">PwC — Croatia Individual: Deductions (donation treatment)</w:t>
        </w:r>
      </w:hyperlink>
    </w:p>
    <w:p>
      <w:pPr>
        <w:pStyle w:val="ListParagraph"/>
        <w:numPr>
          <w:ilvl w:val="0"/>
          <w:numId w:val="2"/>
        </w:numPr>
        <w:spacing w:after="80"/>
      </w:pPr>
      <w:hyperlink w:history="1" r:id="rId5cihyppngnv4zayjavij5">
        <w:r>
          <w:rPr>
            <w:rFonts w:ascii="Arial" w:cs="Arial" w:eastAsia="Arial" w:hAnsi="Arial"/>
            <w:color w:val="2F5496"/>
            <w:sz w:val="20"/>
            <w:szCs w:val="20"/>
            <w:u w:val="single" w:color="2F5496"/>
          </w:rPr>
          <w:t xml:space="preserve">FinaCro — Tax aspect of gift giving in 2024 in Croatia</w:t>
        </w:r>
      </w:hyperlink>
    </w:p>
    <w:p>
      <w:pPr>
        <w:pStyle w:val="ListParagraph"/>
        <w:numPr>
          <w:ilvl w:val="0"/>
          <w:numId w:val="2"/>
        </w:numPr>
        <w:spacing w:after="80"/>
      </w:pPr>
      <w:hyperlink w:history="1" r:id="rIdxjjj6pnjwzuhsbtp6swow">
        <w:r>
          <w:rPr>
            <w:rFonts w:ascii="Arial" w:cs="Arial" w:eastAsia="Arial" w:hAnsi="Arial"/>
            <w:color w:val="2F5496"/>
            <w:sz w:val="20"/>
            <w:szCs w:val="20"/>
            <w:u w:val="single" w:color="2F5496"/>
          </w:rPr>
          <w:t xml:space="preserve">Council on Foundations — Nonprofit Law in Croatia</w:t>
        </w:r>
      </w:hyperlink>
    </w:p>
    <w:p>
      <w:pPr>
        <w:pStyle w:val="ListParagraph"/>
        <w:numPr>
          <w:ilvl w:val="0"/>
          <w:numId w:val="2"/>
        </w:numPr>
        <w:spacing w:after="80"/>
      </w:pPr>
      <w:hyperlink w:history="1" r:id="rId2nh_kjphsoxwvcqm8cr-g">
        <w:r>
          <w:rPr>
            <w:rFonts w:ascii="Arial" w:cs="Arial" w:eastAsia="Arial" w:hAnsi="Arial"/>
            <w:color w:val="2F5496"/>
            <w:sz w:val="20"/>
            <w:szCs w:val="20"/>
            <w:u w:val="single" w:color="2F5496"/>
          </w:rPr>
          <w:t xml:space="preserve">RIT Croatia — Tax implications for donations (company vs individual)</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Prepared 17 Apr 2026 · Confidential</w:t>
    </w:r>
    <w:r>
      <w:rPr>
        <w:rFonts w:ascii="Arial" w:cs="Arial" w:eastAsia="Arial" w:hAnsi="Arial"/>
        <w:sz w:val="18"/>
        <w:szCs w:val="18"/>
      </w:rPr>
      <w:t xml:space="preserve">	</w:t>
    </w: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DajSrce — ESG &amp; CSR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zzqxfnuniefepr9jpucv" Type="http://schemas.openxmlformats.org/officeDocument/2006/relationships/hyperlink" Target="https://finance.ec.europa.eu/capital-markets-union-and-financial-markets/company-reporting-and-auditing/company-reporting/corporate-sustainability-reporting_en" TargetMode="External"/><Relationship Id="rIdusryam5nx3vvckvrrf9ba" Type="http://schemas.openxmlformats.org/officeDocument/2006/relationships/hyperlink" Target="https://finance.ec.europa.eu/publications/questions-and-answers-recommendation-voluntary-sustainability-reporting-standard-small-and-medium_en" TargetMode="External"/><Relationship Id="rIdufadlctr6pdab0wqtph6x" Type="http://schemas.openxmlformats.org/officeDocument/2006/relationships/hyperlink" Target="https://www.efrag.org/sites/default/files/sites/webpublishing/SiteAssets/ESRS%20S1%20Delegated-act-2023-5303-annex-1_en.pdf" TargetMode="External"/><Relationship Id="rIdm6zmzb8vu0vg-fte5t3vk" Type="http://schemas.openxmlformats.org/officeDocument/2006/relationships/hyperlink" Target="https://www.efrag.org/sites/default/files/sites/webpublishing/SiteAssets/ED_ESRS_S3.pdf" TargetMode="External"/><Relationship Id="rId2co_3_h3a-7m_nzgdgjhu" Type="http://schemas.openxmlformats.org/officeDocument/2006/relationships/hyperlink" Target="https://www.efrag.org/sites/default/files/media/document/2025-12/Comparative_Table_2025_December_S3.pdf" TargetMode="External"/><Relationship Id="rIdovvmfhfced5g-_fmit3gz" Type="http://schemas.openxmlformats.org/officeDocument/2006/relationships/hyperlink" Target="https://www.efrag.org/en/projects/voluntary-reporting-standard-for-smes-vsme/concluded" TargetMode="External"/><Relationship Id="rIdo09bp4hkokkur2d_fh06l" Type="http://schemas.openxmlformats.org/officeDocument/2006/relationships/hyperlink" Target="https://dart.deloitte.com/USDART/home/publications/deloitte/heads-up/2026/eu-sustainability-reporting-omnibus-esrs-updates" TargetMode="External"/><Relationship Id="rIdt-4lmllwshtjgkxmvqlt8" Type="http://schemas.openxmlformats.org/officeDocument/2006/relationships/hyperlink" Target="https://viewpoint.pwc.com/gx/en/pwc/in-briefs/ib_int202527.html" TargetMode="External"/><Relationship Id="rId0vhu-fhprtwjlfk4ncxk5" Type="http://schemas.openxmlformats.org/officeDocument/2006/relationships/hyperlink" Target="https://www.gibsondunn.com/omnibus-simplification-of-eu-sustainability-rules-csrd-and-csddd-enacted/" TargetMode="External"/><Relationship Id="rId3fm7cmr9tetanwldp9iti" Type="http://schemas.openxmlformats.org/officeDocument/2006/relationships/hyperlink" Target="https://www.coolset.com/academy/esrs-s1-requirements-own-workforce" TargetMode="External"/><Relationship Id="rIdqhkurqtm2fpvuav9majct" Type="http://schemas.openxmlformats.org/officeDocument/2006/relationships/hyperlink" Target="https://www.coolset.com/academy/esrs-s3-affected-communities" TargetMode="External"/><Relationship Id="rIdwpvkdnhvla2ffpmpzbf7u" Type="http://schemas.openxmlformats.org/officeDocument/2006/relationships/hyperlink" Target="https://www.globalreporting.org/pdf.ashx?id=12666" TargetMode="External"/><Relationship Id="rIdpkdoadidf-xlttibgyk9t" Type="http://schemas.openxmlformats.org/officeDocument/2006/relationships/hyperlink" Target="https://b4si.net/wp-content/uploads/2025/09/B4SI-Public-CI-Guidance-Manual-2025.pdf" TargetMode="External"/><Relationship Id="rIdssgtmno7sepikdw44cwf5" Type="http://schemas.openxmlformats.org/officeDocument/2006/relationships/hyperlink" Target="https://kb.bimpactassessment.net/en/support/solutions/articles/43000574683-impact-areas-governance-workers-community-environment-and-customers" TargetMode="External"/><Relationship Id="rId5bgs5h31f0ueru2f8btdg" Type="http://schemas.openxmlformats.org/officeDocument/2006/relationships/hyperlink" Target="https://www.zakon.hr/z/99/zakon-o-porezu-na-dobit" TargetMode="External"/><Relationship Id="rIdz_xjkgvcfharnhvujcr9p" Type="http://schemas.openxmlformats.org/officeDocument/2006/relationships/hyperlink" Target="https://porezna-uprava.gov.hr/en/profit-tax/7365" TargetMode="External"/><Relationship Id="rIdlgmenwdaji476fos-d54u" Type="http://schemas.openxmlformats.org/officeDocument/2006/relationships/hyperlink" Target="https://porezna-uprava.gov.hr/hr/porez-na-dobit-3940/3940" TargetMode="External"/><Relationship Id="rId5yvbn_nqwxlyoqkcqsb_r" Type="http://schemas.openxmlformats.org/officeDocument/2006/relationships/hyperlink" Target="https://hanfa.hr/news/hanfa-council-csrd-transposed-into-croatian-legislation/" TargetMode="External"/><Relationship Id="rIdwe60f420lrgnggec34g9g" Type="http://schemas.openxmlformats.org/officeDocument/2006/relationships/hyperlink" Target="https://mercator.net/our-thinking/thought-leadership/esg-reporting-in-croatia-adapting-to-new-corporate-sustainability-rules/" TargetMode="External"/><Relationship Id="rIdlhaalnfbmm0b_cxtkormk" Type="http://schemas.openxmlformats.org/officeDocument/2006/relationships/hyperlink" Target="https://www.kinstellar.com/news-and-insights/detail/3056/update-on-the-esg-reporting-obligations-in-bulgaria-croatia-the-czech-republic-hungary-romania-and-slovakia" TargetMode="External"/><Relationship Id="rIdrbexmja3vvedpc_rlhsku" Type="http://schemas.openxmlformats.org/officeDocument/2006/relationships/hyperlink" Target="https://www.wolftheiss.com/insights/key-insights-on-csrd-reporting-requirements-for-companies-operating-in-the-croatian-market/" TargetMode="External"/><Relationship Id="rIdsmaabb-020s359w5qqn2g" Type="http://schemas.openxmlformats.org/officeDocument/2006/relationships/hyperlink" Target="https://www.taxand.com/our-thinking/insights/croatia-key-tax-regulation-changes-coming-into-effect-in-2026/" TargetMode="External"/><Relationship Id="rIdby6nb_r0nwduirlxjbpox" Type="http://schemas.openxmlformats.org/officeDocument/2006/relationships/hyperlink" Target="https://taxsummaries.pwc.com/croatia/corporate/taxes-on-corporate-income" TargetMode="External"/><Relationship Id="rIdl8r7vrvfnc3wggbnx_jlb" Type="http://schemas.openxmlformats.org/officeDocument/2006/relationships/hyperlink" Target="https://taxsummaries.pwc.com/croatia/individual/deductions" TargetMode="External"/><Relationship Id="rId5cihyppngnv4zayjavij5" Type="http://schemas.openxmlformats.org/officeDocument/2006/relationships/hyperlink" Target="https://finacro.hr/en/dobro-je-znati/the-tax-aspect-of-gift-giving-in-2024-in-croatia/" TargetMode="External"/><Relationship Id="rIdxjjj6pnjwzuhsbtp6swow" Type="http://schemas.openxmlformats.org/officeDocument/2006/relationships/hyperlink" Target="https://cof.org/country-notes/nonprofit-law-croatia" TargetMode="External"/><Relationship Id="rId2nh_kjphsoxwvcqm8cr-g" Type="http://schemas.openxmlformats.org/officeDocument/2006/relationships/hyperlink" Target="https://www.rit.edu/croatia/sites/rit.edu.croatia/files/documents/alumni/Tax%20implications%20for%20donations_%20trade%20company%20or%20individual_.pdf"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DajSrce — ESG &amp; CSR Reporting Implementation Plan</dc:title>
  <dc:creator>DajSrce</dc:creator>
  <cp:lastModifiedBy>Un-named</cp:lastModifiedBy>
  <cp:revision>1</cp:revision>
  <dcterms:created xsi:type="dcterms:W3CDTF">2026-04-17T07:59:41.367Z</dcterms:created>
  <dcterms:modified xsi:type="dcterms:W3CDTF">2026-04-17T07:59:41.367Z</dcterms:modified>
</cp:coreProperties>
</file>

<file path=docProps/custom.xml><?xml version="1.0" encoding="utf-8"?>
<Properties xmlns="http://schemas.openxmlformats.org/officeDocument/2006/custom-properties" xmlns:vt="http://schemas.openxmlformats.org/officeDocument/2006/docPropsVTypes"/>
</file>