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rFonts w:ascii="Arial" w:cs="Arial" w:eastAsia="Arial" w:hAnsi="Arial"/>
          <w:b/>
          <w:bCs/>
          <w:color w:val="1F3864"/>
          <w:sz w:val="72"/>
          <w:szCs w:val="72"/>
        </w:rPr>
        <w:t xml:space="preserve">DajSrce</w:t>
      </w:r>
    </w:p>
    <w:p>
      <w:pPr>
        <w:spacing w:after="600"/>
        <w:jc w:val="center"/>
      </w:pPr>
      <w:r>
        <w:rPr>
          <w:rFonts w:ascii="Arial" w:cs="Arial" w:eastAsia="Arial" w:hAnsi="Arial"/>
          <w:b/>
          <w:bCs/>
          <w:color w:val="2F5496"/>
          <w:sz w:val="36"/>
          <w:szCs w:val="36"/>
        </w:rPr>
        <w:t xml:space="preserve">Monetisation Scenarios — TAM · SAM · SOM</w:t>
      </w:r>
    </w:p>
    <w:p>
      <w:pPr>
        <w:spacing w:after="200"/>
        <w:jc w:val="center"/>
      </w:pPr>
      <w:r>
        <w:rPr>
          <w:rFonts w:ascii="Arial" w:cs="Arial" w:eastAsia="Arial" w:hAnsi="Arial"/>
          <w:i/>
          <w:iCs/>
          <w:color w:val="555555"/>
          <w:sz w:val="22"/>
          <w:szCs w:val="22"/>
        </w:rPr>
        <w:t xml:space="preserve">Four revenue lines · Croatia Y1–3 · CEE-6 Y3–5 · EU27 Y5+</w:t>
      </w:r>
    </w:p>
    <w:p>
      <w:pPr>
        <w:spacing w:after="60" w:before="2400"/>
        <w:jc w:val="center"/>
      </w:pPr>
      <w:r>
        <w:rPr>
          <w:rFonts w:ascii="Arial" w:cs="Arial" w:eastAsia="Arial" w:hAnsi="Arial"/>
          <w:sz w:val="22"/>
          <w:szCs w:val="22"/>
        </w:rPr>
        <w:t xml:space="preserve">Prepared for: Ivan Dražetić</w:t>
      </w:r>
    </w:p>
    <w:p>
      <w:pPr>
        <w:spacing w:after="60"/>
        <w:jc w:val="center"/>
      </w:pPr>
      <w:r>
        <w:rPr>
          <w:rFonts w:ascii="Arial" w:cs="Arial" w:eastAsia="Arial" w:hAnsi="Arial"/>
          <w:sz w:val="22"/>
          <w:szCs w:val="22"/>
        </w:rPr>
        <w:t xml:space="preserve">Date: 17 April 2026</w:t>
      </w:r>
    </w:p>
    <w:p>
      <w:pPr>
        <w:jc w:val="center"/>
      </w:pPr>
      <w:r>
        <w:rPr>
          <w:rFonts w:ascii="Arial" w:cs="Arial" w:eastAsia="Arial" w:hAnsi="Arial"/>
          <w:color w:val="2F5496"/>
          <w:sz w:val="22"/>
          <w:szCs w:val="22"/>
        </w:rPr>
        <w:t xml:space="preserve">Project: dajsrce.vercel.app</w:t>
      </w:r>
    </w:p>
    <w:p>
      <w:r>
        <w:br w:type="page"/>
      </w:r>
    </w:p>
    <w:p>
      <w:pPr>
        <w:pStyle w:val="Heading1"/>
        <w:spacing w:after="180" w:before="300"/>
      </w:pPr>
      <w:r>
        <w:rPr>
          <w:rFonts w:ascii="Arial" w:cs="Arial" w:eastAsia="Arial" w:hAnsi="Arial"/>
          <w:b/>
          <w:bCs/>
          <w:color w:val="1F3864"/>
          <w:sz w:val="32"/>
          <w:szCs w:val="32"/>
        </w:rPr>
        <w:t xml:space="preserve">Table of contents</w:t>
      </w:r>
    </w:p>
    <w:sdt>
      <w:sdtPr>
        <w:alias w:val="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80" w:before="300"/>
      </w:pPr>
      <w:r>
        <w:rPr>
          <w:rFonts w:ascii="Arial" w:cs="Arial" w:eastAsia="Arial" w:hAnsi="Arial"/>
          <w:b/>
          <w:bCs/>
          <w:color w:val="1F3864"/>
          <w:sz w:val="32"/>
          <w:szCs w:val="32"/>
        </w:rPr>
        <w:t xml:space="preserve">Executive summary</w:t>
      </w:r>
    </w:p>
    <w:p>
      <w:pPr>
        <w:spacing w:after="120" w:line="300"/>
        <w:jc w:val="left"/>
      </w:pPr>
      <w:r>
        <w:rPr>
          <w:rFonts w:ascii="Arial" w:cs="Arial" w:eastAsia="Arial" w:hAnsi="Arial"/>
          <w:b w:val="false"/>
          <w:bCs w:val="false"/>
          <w:i w:val="false"/>
          <w:iCs w:val="false"/>
          <w:sz w:val="22"/>
          <w:szCs w:val="22"/>
        </w:rPr>
        <w:t xml:space="preserve">This document extends the DajSrce ESG &amp; CSR Implementation Plan with two additional paid revenue lines and consolidates all four into a single monetisation model sized against the Croatian home market (years 1–3), the CEE-6 expansion footprint (years 3–5) and the EU27 long-horizon opportunity (years 5+).</w:t>
      </w:r>
    </w:p>
    <w:p>
      <w:pPr>
        <w:spacing w:after="120" w:line="300"/>
        <w:jc w:val="left"/>
      </w:pPr>
      <w:r>
        <w:rPr>
          <w:rFonts w:ascii="Arial" w:cs="Arial" w:eastAsia="Arial" w:hAnsi="Arial"/>
          <w:b w:val="false"/>
          <w:bCs w:val="false"/>
          <w:i w:val="false"/>
          <w:iCs w:val="false"/>
          <w:sz w:val="22"/>
          <w:szCs w:val="22"/>
        </w:rPr>
        <w:t xml:space="preserve">The four revenue lines are complementary and reinforce each other rather than cannibalise. The corporate ESG/CSR SaaS product monetises the output side of giving. The tax-receipt service, bundled into the SaaS tier, is the primary acquisition hook for Croatian companies under the 2% (moving to 4%) profit-tax deduction. A paid charity verification seal monetises the supply side — the institutions — and resolves the single biggest trust gap in Croatian philanthropy: a donor today has no objective way to distinguish a well-run association from a shell. An Employer Branding certification monetises the recognition side — HR and marketing budgets — and gives DajSrce a second entry point into the same enterprise buyer who will also be considering the ESG SaaS tier.</w:t>
      </w:r>
    </w:p>
    <w:p>
      <w:pPr>
        <w:spacing w:after="120" w:line="300"/>
        <w:jc w:val="left"/>
      </w:pPr>
      <w:r>
        <w:rPr>
          <w:rFonts w:ascii="Arial" w:cs="Arial" w:eastAsia="Arial" w:hAnsi="Arial"/>
          <w:b w:val="false"/>
          <w:bCs w:val="false"/>
          <w:i w:val="false"/>
          <w:iCs w:val="false"/>
          <w:sz w:val="22"/>
          <w:szCs w:val="22"/>
        </w:rPr>
        <w:t xml:space="preserve">Croatia has roughly 54,000 active associations and foundations registered in the state non-profit registers (Registar udruga and Registar neprofitnih organizacija, operated by the Ministry of Finance and the Ministry of Justice). Only a fraction of those are serious operating charities with material donation flows — realistically 8,000–12,000 — which defines the addressable universe for the paid verification seal.</w:t>
      </w:r>
    </w:p>
    <w:p>
      <w:pPr>
        <w:spacing w:after="120" w:line="300"/>
        <w:jc w:val="left"/>
      </w:pPr>
      <w:r>
        <w:rPr>
          <w:rFonts w:ascii="Arial" w:cs="Arial" w:eastAsia="Arial" w:hAnsi="Arial"/>
          <w:b w:val="false"/>
          <w:bCs w:val="false"/>
          <w:i w:val="false"/>
          <w:iCs w:val="false"/>
          <w:sz w:val="22"/>
          <w:szCs w:val="22"/>
        </w:rPr>
        <w:t xml:space="preserve">Consolidated modelling points to a Croatia-only run-rate of approximately EUR 1.9m ARR at end of Year 5 under the base case, EUR 3.3m under the bull case and EUR 0.9m under the bear case. Expanding into the CEE-6 footprint (Slovenia, Romania, Hungary, Czechia, Slovakia, Poland) from Year 3 onward adds approximately EUR 9–14m ARR by Year 5 in the base case. The EU27 opportunity, contemplated from Year 5 onward, is large but requires partner distribution to realise; modelled steady-state at EUR 45–80m ARR in years 7–10, with the risk that a vertical incumbent (EcoVadis, Top Employer Institute, Candid/GuideStar) responds defensively.</w:t>
      </w:r>
    </w:p>
    <w:p>
      <w:pPr>
        <w:spacing w:after="120" w:line="300"/>
        <w:jc w:val="left"/>
      </w:pPr>
      <w:r>
        <w:rPr>
          <w:rFonts w:ascii="Arial" w:cs="Arial" w:eastAsia="Arial" w:hAnsi="Arial"/>
          <w:b w:val="false"/>
          <w:bCs w:val="false"/>
          <w:i w:val="false"/>
          <w:iCs w:val="false"/>
          <w:sz w:val="22"/>
          <w:szCs w:val="22"/>
        </w:rPr>
        <w:t xml:space="preserve">Unit economics are attractive because three of the four revenue lines are SaaS-like — annual renewal, low marginal cost, high gross margin — and the fourth (verification) is an annual recurring fee indexed to charity income, which mimics the ZEWO and DZI models that have sustained themselves in Switzerland and Germany for decades. The critical constraint is distribution: in Croatia, organic and HANFA-adjacent channels suffice; in CEE and EU, the cheapest route is white-label partnerships with tax advisors, industry associations, and banks that already embed ESG questionnaires in their corporate onboarding.</w:t>
      </w:r>
    </w:p>
    <w:p>
      <w:r>
        <w:br w:type="page"/>
      </w:r>
    </w:p>
    <w:p>
      <w:pPr>
        <w:pStyle w:val="Heading1"/>
        <w:spacing w:after="180" w:before="300"/>
      </w:pPr>
      <w:r>
        <w:rPr>
          <w:rFonts w:ascii="Arial" w:cs="Arial" w:eastAsia="Arial" w:hAnsi="Arial"/>
          <w:b/>
          <w:bCs/>
          <w:color w:val="1F3864"/>
          <w:sz w:val="32"/>
          <w:szCs w:val="32"/>
        </w:rPr>
        <w:t xml:space="preserve">Part I — Market context</w:t>
      </w:r>
    </w:p>
    <w:p>
      <w:pPr>
        <w:pStyle w:val="Heading2"/>
        <w:spacing w:after="120" w:before="240"/>
      </w:pPr>
      <w:r>
        <w:rPr>
          <w:rFonts w:ascii="Arial" w:cs="Arial" w:eastAsia="Arial" w:hAnsi="Arial"/>
          <w:b/>
          <w:bCs/>
          <w:color w:val="1F3864"/>
          <w:sz w:val="26"/>
          <w:szCs w:val="26"/>
        </w:rPr>
        <w:t xml:space="preserve">1. Croatian non-profit sector: how big is the market for a paid verification seal</w:t>
      </w:r>
    </w:p>
    <w:p>
      <w:pPr>
        <w:spacing w:after="120" w:line="300"/>
        <w:jc w:val="left"/>
      </w:pPr>
      <w:r>
        <w:rPr>
          <w:rFonts w:ascii="Arial" w:cs="Arial" w:eastAsia="Arial" w:hAnsi="Arial"/>
          <w:b w:val="false"/>
          <w:bCs w:val="false"/>
          <w:i w:val="false"/>
          <w:iCs w:val="false"/>
          <w:sz w:val="22"/>
          <w:szCs w:val="22"/>
        </w:rPr>
        <w:t xml:space="preserve">The user estimated "around 50,000" Croatian charities. The closest audited figure is compiled from the two state registers and the Financial Agency (FINA) non-profit statistics:</w:t>
      </w:r>
    </w:p>
    <w:p>
      <w:pPr>
        <w:pStyle w:val="ListParagraph"/>
        <w:numPr>
          <w:ilvl w:val="0"/>
          <w:numId w:val="2"/>
        </w:numPr>
        <w:spacing w:after="60" w:line="280"/>
      </w:pPr>
      <w:r>
        <w:rPr>
          <w:rFonts w:ascii="Arial" w:cs="Arial" w:eastAsia="Arial" w:hAnsi="Arial"/>
          <w:b/>
          <w:bCs/>
          <w:sz w:val="22"/>
          <w:szCs w:val="22"/>
        </w:rPr>
        <w:t xml:space="preserve">Registar udruga </w:t>
      </w:r>
      <w:r>
        <w:rPr>
          <w:rFonts w:ascii="Arial" w:cs="Arial" w:eastAsia="Arial" w:hAnsi="Arial"/>
          <w:sz w:val="22"/>
          <w:szCs w:val="22"/>
        </w:rPr>
        <w:t xml:space="preserve">(associations register, Ministry of Justice) — approximately 52,000–55,000 registered entities, of which roughly 50,000 are active (have not been dissolved or dormant-flagged). This is the main pool.</w:t>
      </w:r>
    </w:p>
    <w:p>
      <w:pPr>
        <w:pStyle w:val="ListParagraph"/>
        <w:numPr>
          <w:ilvl w:val="0"/>
          <w:numId w:val="2"/>
        </w:numPr>
        <w:spacing w:after="60" w:line="280"/>
      </w:pPr>
      <w:r>
        <w:rPr>
          <w:rFonts w:ascii="Arial" w:cs="Arial" w:eastAsia="Arial" w:hAnsi="Arial"/>
          <w:b/>
          <w:bCs/>
          <w:sz w:val="22"/>
          <w:szCs w:val="22"/>
        </w:rPr>
        <w:t xml:space="preserve">Registar neprofitnih organizacija </w:t>
      </w:r>
      <w:r>
        <w:rPr>
          <w:rFonts w:ascii="Arial" w:cs="Arial" w:eastAsia="Arial" w:hAnsi="Arial"/>
          <w:sz w:val="22"/>
          <w:szCs w:val="22"/>
        </w:rPr>
        <w:t xml:space="preserve">(non-profit register, Ministry of Finance / FINA) — approximately 35,000–38,000 entities with a current reporting obligation, which is the narrower "financially active" subset.</w:t>
      </w:r>
    </w:p>
    <w:p>
      <w:pPr>
        <w:pStyle w:val="ListParagraph"/>
        <w:numPr>
          <w:ilvl w:val="0"/>
          <w:numId w:val="2"/>
        </w:numPr>
        <w:spacing w:after="60" w:line="280"/>
      </w:pPr>
      <w:r>
        <w:rPr>
          <w:rFonts w:ascii="Arial" w:cs="Arial" w:eastAsia="Arial" w:hAnsi="Arial"/>
          <w:b/>
          <w:bCs/>
          <w:sz w:val="22"/>
          <w:szCs w:val="22"/>
        </w:rPr>
        <w:t xml:space="preserve">Zaklade i fundacije </w:t>
      </w:r>
      <w:r>
        <w:rPr>
          <w:rFonts w:ascii="Arial" w:cs="Arial" w:eastAsia="Arial" w:hAnsi="Arial"/>
          <w:sz w:val="22"/>
          <w:szCs w:val="22"/>
        </w:rPr>
        <w:t xml:space="preserve">(foundations register, Ministry of Justice) — approximately 220–250 registered foundations.</w:t>
      </w:r>
    </w:p>
    <w:p>
      <w:pPr>
        <w:pStyle w:val="ListParagraph"/>
        <w:numPr>
          <w:ilvl w:val="0"/>
          <w:numId w:val="2"/>
        </w:numPr>
        <w:spacing w:after="60" w:line="280"/>
      </w:pPr>
      <w:r>
        <w:rPr>
          <w:rFonts w:ascii="Arial" w:cs="Arial" w:eastAsia="Arial" w:hAnsi="Arial"/>
          <w:b/>
          <w:bCs/>
          <w:sz w:val="22"/>
          <w:szCs w:val="22"/>
        </w:rPr>
        <w:t xml:space="preserve">Other non-profit legal forms </w:t>
      </w:r>
      <w:r>
        <w:rPr>
          <w:rFonts w:ascii="Arial" w:cs="Arial" w:eastAsia="Arial" w:hAnsi="Arial"/>
          <w:sz w:val="22"/>
          <w:szCs w:val="22"/>
        </w:rPr>
        <w:t xml:space="preserve">(religious communities, trade unions, chambers, institutes registered as public benefit entities) — a long tail of ~4,000.</w:t>
      </w:r>
    </w:p>
    <w:p>
      <w:pPr>
        <w:spacing w:after="120" w:line="300"/>
        <w:jc w:val="left"/>
      </w:pPr>
      <w:r>
        <w:rPr>
          <w:rFonts w:ascii="Arial" w:cs="Arial" w:eastAsia="Arial" w:hAnsi="Arial"/>
          <w:b w:val="false"/>
          <w:bCs w:val="false"/>
          <w:i w:val="false"/>
          <w:iCs w:val="false"/>
          <w:sz w:val="22"/>
          <w:szCs w:val="22"/>
        </w:rPr>
        <w:t xml:space="preserve">The user estimate of 50k is correct at the association-register level; the more conservative "financially active" figure is ~38k. Of these, sector analysts (Nacionalna zaklada za razvoj civilnoga društva, GONG, and the 2023 FINA non-profit sector report) consistently find that only 10–25% of associations have meaningful donation income or employ staff. The realistic addressable universe for a paid verification seal is therefore on the order of 8,000–12,000 entities.</w:t>
      </w:r>
    </w:p>
    <w:p>
      <w:pPr>
        <w:pStyle w:val="Heading2"/>
        <w:spacing w:after="120" w:before="240"/>
      </w:pPr>
      <w:r>
        <w:rPr>
          <w:rFonts w:ascii="Arial" w:cs="Arial" w:eastAsia="Arial" w:hAnsi="Arial"/>
          <w:b/>
          <w:bCs/>
          <w:color w:val="1F3864"/>
          <w:sz w:val="26"/>
          <w:szCs w:val="26"/>
        </w:rPr>
        <w:t xml:space="preserve">2. EU non-profit sector: long-horizon scale</w:t>
      </w:r>
    </w:p>
    <w:p>
      <w:pPr>
        <w:spacing w:after="120" w:line="300"/>
        <w:jc w:val="left"/>
      </w:pPr>
      <w:r>
        <w:rPr>
          <w:rFonts w:ascii="Arial" w:cs="Arial" w:eastAsia="Arial" w:hAnsi="Arial"/>
          <w:b w:val="false"/>
          <w:bCs w:val="false"/>
          <w:i w:val="false"/>
          <w:iCs w:val="false"/>
          <w:sz w:val="22"/>
          <w:szCs w:val="22"/>
        </w:rPr>
        <w:t xml:space="preserve">EU-level statistics from the CIVICUS State of Civil Society Report, the European Foundation Centre (EFC / Philea), and Eurostat non-profit-institution satellite accounts converge on the following ranges:</w:t>
      </w:r>
    </w:p>
    <w:p>
      <w:pPr>
        <w:pStyle w:val="ListParagraph"/>
        <w:numPr>
          <w:ilvl w:val="0"/>
          <w:numId w:val="2"/>
        </w:numPr>
        <w:spacing w:after="60" w:line="280"/>
      </w:pPr>
      <w:r>
        <w:rPr>
          <w:rFonts w:ascii="Arial" w:cs="Arial" w:eastAsia="Arial" w:hAnsi="Arial"/>
          <w:b/>
          <w:bCs/>
          <w:sz w:val="22"/>
          <w:szCs w:val="22"/>
        </w:rPr>
        <w:t xml:space="preserve">Registered non-profit entities: </w:t>
      </w:r>
      <w:r>
        <w:rPr>
          <w:rFonts w:ascii="Arial" w:cs="Arial" w:eastAsia="Arial" w:hAnsi="Arial"/>
          <w:sz w:val="22"/>
          <w:szCs w:val="22"/>
        </w:rPr>
        <w:t xml:space="preserve">approximately 2.8–3.0 million across EU27. Largest populations: France (~1.5m associations), Germany (~620k Vereine), Italy (~360k), Poland (~140k), Spain (~55k active foundations).</w:t>
      </w:r>
    </w:p>
    <w:p>
      <w:pPr>
        <w:pStyle w:val="ListParagraph"/>
        <w:numPr>
          <w:ilvl w:val="0"/>
          <w:numId w:val="2"/>
        </w:numPr>
        <w:spacing w:after="60" w:line="280"/>
      </w:pPr>
      <w:r>
        <w:rPr>
          <w:rFonts w:ascii="Arial" w:cs="Arial" w:eastAsia="Arial" w:hAnsi="Arial"/>
          <w:b/>
          <w:bCs/>
          <w:sz w:val="22"/>
          <w:szCs w:val="22"/>
        </w:rPr>
        <w:t xml:space="preserve">Foundations: </w:t>
      </w:r>
      <w:r>
        <w:rPr>
          <w:rFonts w:ascii="Arial" w:cs="Arial" w:eastAsia="Arial" w:hAnsi="Arial"/>
          <w:sz w:val="22"/>
          <w:szCs w:val="22"/>
        </w:rPr>
        <w:t xml:space="preserve">approximately 180,000 (Philea Foundation Sector Report 2024), of which ~110,000 are grant-making.</w:t>
      </w:r>
    </w:p>
    <w:p>
      <w:pPr>
        <w:pStyle w:val="ListParagraph"/>
        <w:numPr>
          <w:ilvl w:val="0"/>
          <w:numId w:val="2"/>
        </w:numPr>
        <w:spacing w:after="60" w:line="280"/>
      </w:pPr>
      <w:r>
        <w:rPr>
          <w:rFonts w:ascii="Arial" w:cs="Arial" w:eastAsia="Arial" w:hAnsi="Arial"/>
          <w:b/>
          <w:bCs/>
          <w:sz w:val="22"/>
          <w:szCs w:val="22"/>
        </w:rPr>
        <w:t xml:space="preserve">Annual private giving: </w:t>
      </w:r>
      <w:r>
        <w:rPr>
          <w:rFonts w:ascii="Arial" w:cs="Arial" w:eastAsia="Arial" w:hAnsi="Arial"/>
          <w:sz w:val="22"/>
          <w:szCs w:val="22"/>
        </w:rPr>
        <w:t xml:space="preserve">approximately EUR 60–90 billion household giving + EUR 25 billion corporate giving (CAF World Giving Index; ERNOP country chapters).</w:t>
      </w:r>
    </w:p>
    <w:p>
      <w:pPr>
        <w:pStyle w:val="ListParagraph"/>
        <w:numPr>
          <w:ilvl w:val="0"/>
          <w:numId w:val="2"/>
        </w:numPr>
        <w:spacing w:after="60" w:line="280"/>
      </w:pPr>
      <w:r>
        <w:rPr>
          <w:rFonts w:ascii="Arial" w:cs="Arial" w:eastAsia="Arial" w:hAnsi="Arial"/>
          <w:b/>
          <w:bCs/>
          <w:sz w:val="22"/>
          <w:szCs w:val="22"/>
        </w:rPr>
        <w:t xml:space="preserve">Sector GDP contribution: </w:t>
      </w:r>
      <w:r>
        <w:rPr>
          <w:rFonts w:ascii="Arial" w:cs="Arial" w:eastAsia="Arial" w:hAnsi="Arial"/>
          <w:sz w:val="22"/>
          <w:szCs w:val="22"/>
        </w:rPr>
        <w:t xml:space="preserve">the non-profit sector accounts for 4–7% of GDP in most EU member states (Eurostat satellite accounts), employs approximately 12 million people, and engages an estimated 90 million volunteers.</w:t>
      </w:r>
    </w:p>
    <w:p>
      <w:pPr>
        <w:spacing w:after="120" w:line="300"/>
        <w:jc w:val="left"/>
      </w:pPr>
      <w:r>
        <w:rPr>
          <w:rFonts w:ascii="Arial" w:cs="Arial" w:eastAsia="Arial" w:hAnsi="Arial"/>
          <w:b w:val="false"/>
          <w:bCs w:val="false"/>
          <w:i w:val="false"/>
          <w:iCs w:val="false"/>
          <w:sz w:val="22"/>
          <w:szCs w:val="22"/>
        </w:rPr>
        <w:t xml:space="preserve">The paid-verification addressable universe scales proportionally: conservatively 200,000–400,000 financially active charities across EU27 that receive enough donations to care about a trust mark, and several million SMEs that would benefit from a VSME-aligned ESG export at a price point below EUR 500/year.</w:t>
      </w:r>
    </w:p>
    <w:p>
      <w:pPr>
        <w:pStyle w:val="Heading2"/>
        <w:spacing w:after="120" w:before="240"/>
      </w:pPr>
      <w:r>
        <w:rPr>
          <w:rFonts w:ascii="Arial" w:cs="Arial" w:eastAsia="Arial" w:hAnsi="Arial"/>
          <w:b/>
          <w:bCs/>
          <w:color w:val="1F3864"/>
          <w:sz w:val="26"/>
          <w:szCs w:val="26"/>
        </w:rPr>
        <w:t xml:space="preserve">3. Corporate context: who pays for what</w:t>
      </w:r>
    </w:p>
    <w:p>
      <w:pPr>
        <w:spacing w:after="120" w:line="300"/>
        <w:jc w:val="left"/>
      </w:pPr>
      <w:r>
        <w:rPr>
          <w:rFonts w:ascii="Arial" w:cs="Arial" w:eastAsia="Arial" w:hAnsi="Arial"/>
          <w:b w:val="false"/>
          <w:bCs w:val="false"/>
          <w:i w:val="false"/>
          <w:iCs w:val="false"/>
          <w:sz w:val="22"/>
          <w:szCs w:val="22"/>
        </w:rPr>
        <w:t xml:space="preserve">The corporate buyers for DajSrce split cleanly into three layers. First, large filers in-scope under the CSRD after the 26 February 2026 Omnibus — ~80 in Croatia, ~5,000–7,000 in the EU27, all with existing sustainability-software budgets of EUR 50–250k/year. Second, the mid-market layer (50–999 employees, or EUR 10–450m turnover) — the target audience of the VSME standard and the population that receives bank and insurer ESG questionnaires. Third, SMEs (5–49 employees), where the profit-tax donation deduction is the primary on-ramp. The critical insight is that all three layers employ people, make donations, and care about employer brand — which is why we can sell them two or three DajSrce SKUs rather than one.</w:t>
      </w:r>
    </w:p>
    <w:p>
      <w:r>
        <w:br w:type="page"/>
      </w:r>
    </w:p>
    <w:p>
      <w:pPr>
        <w:pStyle w:val="Heading1"/>
        <w:spacing w:after="180" w:before="300"/>
      </w:pPr>
      <w:r>
        <w:rPr>
          <w:rFonts w:ascii="Arial" w:cs="Arial" w:eastAsia="Arial" w:hAnsi="Arial"/>
          <w:b/>
          <w:bCs/>
          <w:color w:val="1F3864"/>
          <w:sz w:val="32"/>
          <w:szCs w:val="32"/>
        </w:rPr>
        <w:t xml:space="preserve">Part II — The four revenue lines</w:t>
      </w:r>
    </w:p>
    <w:p>
      <w:pPr>
        <w:pStyle w:val="Heading2"/>
        <w:spacing w:after="120" w:before="240"/>
      </w:pPr>
      <w:r>
        <w:rPr>
          <w:rFonts w:ascii="Arial" w:cs="Arial" w:eastAsia="Arial" w:hAnsi="Arial"/>
          <w:b/>
          <w:bCs/>
          <w:color w:val="1F3864"/>
          <w:sz w:val="26"/>
          <w:szCs w:val="26"/>
        </w:rPr>
        <w:t xml:space="preserve">A. Company ESG/CSR SaaS (already specified)</w:t>
      </w:r>
    </w:p>
    <w:p>
      <w:pPr>
        <w:spacing w:after="120" w:line="300"/>
        <w:jc w:val="left"/>
      </w:pPr>
      <w:r>
        <w:rPr>
          <w:rFonts w:ascii="Arial" w:cs="Arial" w:eastAsia="Arial" w:hAnsi="Arial"/>
          <w:b w:val="false"/>
          <w:bCs w:val="false"/>
          <w:i w:val="false"/>
          <w:iCs w:val="false"/>
          <w:sz w:val="22"/>
          <w:szCs w:val="22"/>
        </w:rPr>
        <w:t xml:space="preserve">This is the anchor product and is fully scoped in the DajSrce ESG &amp; CSR Implementation Plan. In this document it is represented as a single SaaS line with three tiers (Free / SME at EUR 800/year / Enterprise at EUR 12k/year) and an assumed tax-receipt auto-renewal attach. The numbers used in the TAM/SAM/SOM below are consistent with that plan.</w:t>
      </w:r>
    </w:p>
    <w:p>
      <w:pPr>
        <w:pStyle w:val="Heading2"/>
        <w:spacing w:after="120" w:before="240"/>
      </w:pPr>
      <w:r>
        <w:rPr>
          <w:rFonts w:ascii="Arial" w:cs="Arial" w:eastAsia="Arial" w:hAnsi="Arial"/>
          <w:b/>
          <w:bCs/>
          <w:color w:val="1F3864"/>
          <w:sz w:val="26"/>
          <w:szCs w:val="26"/>
        </w:rPr>
        <w:t xml:space="preserve">B. Tax-receipt service</w:t>
      </w:r>
    </w:p>
    <w:p>
      <w:pPr>
        <w:spacing w:after="120" w:line="300"/>
        <w:jc w:val="left"/>
      </w:pPr>
      <w:r>
        <w:rPr>
          <w:rFonts w:ascii="Arial" w:cs="Arial" w:eastAsia="Arial" w:hAnsi="Arial"/>
          <w:b w:val="false"/>
          <w:bCs w:val="false"/>
          <w:i w:val="false"/>
          <w:iCs w:val="false"/>
          <w:sz w:val="22"/>
          <w:szCs w:val="22"/>
        </w:rPr>
        <w:t xml:space="preserve">Bundled into the SaaS tiers rather than priced separately. It is the lowest-friction hook for Croatian SMEs: the saving from the 2% (moving to 4%) profit-tax donation deduction at a typical SME (EUR 5m revenue × 4% × 18% tax) is EUR 36,000 per year. Relative to an EUR 800 annual subscription the ROI is 45x — which means the SME tier essentially sells itself once a company has a Croatian accountant in the loop. The line is therefore not modelled as a separate revenue stream, but it is the single biggest reason the SME tier attach rate lands at 2%+ rather than the sub-1% typical of horizontal SaaS.</w:t>
      </w:r>
    </w:p>
    <w:p>
      <w:pPr>
        <w:pStyle w:val="Heading2"/>
        <w:spacing w:after="120" w:before="240"/>
      </w:pPr>
      <w:r>
        <w:rPr>
          <w:rFonts w:ascii="Arial" w:cs="Arial" w:eastAsia="Arial" w:hAnsi="Arial"/>
          <w:b/>
          <w:bCs/>
          <w:color w:val="1F3864"/>
          <w:sz w:val="26"/>
          <w:szCs w:val="26"/>
        </w:rPr>
        <w:t xml:space="preserve">C. Paid charity verification seal</w:t>
      </w:r>
    </w:p>
    <w:p>
      <w:pPr>
        <w:spacing w:after="120" w:line="300"/>
        <w:jc w:val="left"/>
      </w:pPr>
      <w:r>
        <w:rPr>
          <w:rFonts w:ascii="Arial" w:cs="Arial" w:eastAsia="Arial" w:hAnsi="Arial"/>
          <w:b w:val="false"/>
          <w:bCs w:val="false"/>
          <w:i w:val="false"/>
          <w:iCs w:val="false"/>
          <w:sz w:val="22"/>
          <w:szCs w:val="22"/>
        </w:rPr>
        <w:t xml:space="preserve">The idea: DajSrce issues an annual, auditable trust mark to charities that meet published criteria. End users see a green "Verified by DajSrce" badge in the map and on institution profiles; charities get a standard evidence pack they can embed in their website, funding applications, and grant reports.</w:t>
      </w:r>
    </w:p>
    <w:p>
      <w:pPr>
        <w:pStyle w:val="Heading3"/>
        <w:spacing w:after="80" w:before="180"/>
      </w:pPr>
      <w:r>
        <w:rPr>
          <w:rFonts w:ascii="Arial" w:cs="Arial" w:eastAsia="Arial" w:hAnsi="Arial"/>
          <w:b/>
          <w:bCs/>
          <w:color w:val="2F5496"/>
          <w:sz w:val="23"/>
          <w:szCs w:val="23"/>
        </w:rPr>
        <w:t xml:space="preserve">Benchmark models</w:t>
      </w:r>
    </w:p>
    <w:p>
      <w:pPr>
        <w:pStyle w:val="ListParagraph"/>
        <w:numPr>
          <w:ilvl w:val="0"/>
          <w:numId w:val="2"/>
        </w:numPr>
        <w:spacing w:after="60" w:line="280"/>
      </w:pPr>
      <w:r>
        <w:rPr>
          <w:rFonts w:ascii="Arial" w:cs="Arial" w:eastAsia="Arial" w:hAnsi="Arial"/>
          <w:b/>
          <w:bCs/>
          <w:sz w:val="22"/>
          <w:szCs w:val="22"/>
        </w:rPr>
        <w:t xml:space="preserve">ZEWO (Switzerland): </w:t>
      </w:r>
      <w:r>
        <w:rPr>
          <w:rFonts w:ascii="Arial" w:cs="Arial" w:eastAsia="Arial" w:hAnsi="Arial"/>
          <w:sz w:val="22"/>
          <w:szCs w:val="22"/>
        </w:rPr>
        <w:t xml:space="preserve">the dominant model. ZEWO-certified charities pay an annual fee of 0.333% of income (minimum CHF 500, maximum CHF 13,000). Re-certification every 5 years. Approximately 500 certified charities, representing the majority of Swiss donation flows. Net donor trust is very high (&gt;80% recognition of the seal among Swiss donors).</w:t>
      </w:r>
    </w:p>
    <w:p>
      <w:pPr>
        <w:pStyle w:val="ListParagraph"/>
        <w:numPr>
          <w:ilvl w:val="0"/>
          <w:numId w:val="2"/>
        </w:numPr>
        <w:spacing w:after="60" w:line="280"/>
      </w:pPr>
      <w:r>
        <w:rPr>
          <w:rFonts w:ascii="Arial" w:cs="Arial" w:eastAsia="Arial" w:hAnsi="Arial"/>
          <w:b/>
          <w:bCs/>
          <w:sz w:val="22"/>
          <w:szCs w:val="22"/>
        </w:rPr>
        <w:t xml:space="preserve">DZI (Germany): </w:t>
      </w:r>
      <w:r>
        <w:rPr>
          <w:rFonts w:ascii="Arial" w:cs="Arial" w:eastAsia="Arial" w:hAnsi="Arial"/>
          <w:sz w:val="22"/>
          <w:szCs w:val="22"/>
        </w:rPr>
        <w:t xml:space="preserve">Deutsches Zentralinstitut für soziale Fragen. Spenden-Siegel issued to ~230 large German charities. Annual fee indexed to expenses, ranging from EUR 500 to EUR 15,000. Strong brand despite small number — used as a default short-list by German corporate and foundation donors.</w:t>
      </w:r>
    </w:p>
    <w:p>
      <w:pPr>
        <w:pStyle w:val="ListParagraph"/>
        <w:numPr>
          <w:ilvl w:val="0"/>
          <w:numId w:val="2"/>
        </w:numPr>
        <w:spacing w:after="60" w:line="280"/>
      </w:pPr>
      <w:r>
        <w:rPr>
          <w:rFonts w:ascii="Arial" w:cs="Arial" w:eastAsia="Arial" w:hAnsi="Arial"/>
          <w:b/>
          <w:bCs/>
          <w:sz w:val="22"/>
          <w:szCs w:val="22"/>
        </w:rPr>
        <w:t xml:space="preserve">Candid / GuideStar (USA): </w:t>
      </w:r>
      <w:r>
        <w:rPr>
          <w:rFonts w:ascii="Arial" w:cs="Arial" w:eastAsia="Arial" w:hAnsi="Arial"/>
          <w:sz w:val="22"/>
          <w:szCs w:val="22"/>
        </w:rPr>
        <w:t xml:space="preserve">free baseline Platinum/Gold/Silver transparency seal, monetised via API subscriptions to grantmakers and consultants. ~1.8 million US charities covered.</w:t>
      </w:r>
    </w:p>
    <w:p>
      <w:pPr>
        <w:pStyle w:val="ListParagraph"/>
        <w:numPr>
          <w:ilvl w:val="0"/>
          <w:numId w:val="2"/>
        </w:numPr>
        <w:spacing w:after="60" w:line="280"/>
      </w:pPr>
      <w:r>
        <w:rPr>
          <w:rFonts w:ascii="Arial" w:cs="Arial" w:eastAsia="Arial" w:hAnsi="Arial"/>
          <w:b/>
          <w:bCs/>
          <w:sz w:val="22"/>
          <w:szCs w:val="22"/>
        </w:rPr>
        <w:t xml:space="preserve">Charity Navigator (USA): </w:t>
      </w:r>
      <w:r>
        <w:rPr>
          <w:rFonts w:ascii="Arial" w:cs="Arial" w:eastAsia="Arial" w:hAnsi="Arial"/>
          <w:sz w:val="22"/>
          <w:szCs w:val="22"/>
        </w:rPr>
        <w:t xml:space="preserve">4-star ratings based on financials + accountability + leadership. Free to donors; revenue from corporate data licensing and enterprise services.</w:t>
      </w:r>
    </w:p>
    <w:p>
      <w:pPr>
        <w:pStyle w:val="ListParagraph"/>
        <w:numPr>
          <w:ilvl w:val="0"/>
          <w:numId w:val="2"/>
        </w:numPr>
        <w:spacing w:after="60" w:line="280"/>
      </w:pPr>
      <w:r>
        <w:rPr>
          <w:rFonts w:ascii="Arial" w:cs="Arial" w:eastAsia="Arial" w:hAnsi="Arial"/>
          <w:b/>
          <w:bCs/>
          <w:sz w:val="22"/>
          <w:szCs w:val="22"/>
        </w:rPr>
        <w:t xml:space="preserve">BBB Wise Giving Alliance (USA): </w:t>
      </w:r>
      <w:r>
        <w:rPr>
          <w:rFonts w:ascii="Arial" w:cs="Arial" w:eastAsia="Arial" w:hAnsi="Arial"/>
          <w:sz w:val="22"/>
          <w:szCs w:val="22"/>
        </w:rPr>
        <w:t xml:space="preserve">20 standards, ~1,300 nationally recognised charities, paid seal programme with fees indexed to revenue.</w:t>
      </w:r>
    </w:p>
    <w:p>
      <w:pPr>
        <w:pStyle w:val="Heading3"/>
        <w:spacing w:after="80" w:before="180"/>
      </w:pPr>
      <w:r>
        <w:rPr>
          <w:rFonts w:ascii="Arial" w:cs="Arial" w:eastAsia="Arial" w:hAnsi="Arial"/>
          <w:b/>
          <w:bCs/>
          <w:color w:val="2F5496"/>
          <w:sz w:val="23"/>
          <w:szCs w:val="23"/>
        </w:rPr>
        <w:t xml:space="preserve">Recommended DajSrce design</w:t>
      </w:r>
    </w:p>
    <w:p>
      <w:pPr>
        <w:spacing w:after="120" w:line="300"/>
        <w:jc w:val="left"/>
      </w:pPr>
      <w:r>
        <w:rPr>
          <w:rFonts w:ascii="Arial" w:cs="Arial" w:eastAsia="Arial" w:hAnsi="Arial"/>
          <w:b w:val="false"/>
          <w:bCs w:val="false"/>
          <w:i w:val="false"/>
          <w:iCs w:val="false"/>
          <w:sz w:val="22"/>
          <w:szCs w:val="22"/>
        </w:rPr>
        <w:t xml:space="preserve">A three-tier seal, priced to stay below the psychological ceiling at which a small Croatian association would walk away, and scaled smoothly into larger operators via an income-indexed Pro tier.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2000"/>
        <w:gridCol w:w="1900"/>
        <w:gridCol w:w="2100"/>
      </w:tblGrid>
      <w:tr>
        <w:trPr>
          <w:tblHeader/>
        </w:trPr>
        <w:tc>
          <w:tcPr>
            <w:tcW w:type="dxa" w:w="1400"/>
            <w:tcBorders>
              <w:top w:val="single" w:color="BFBFBF" w:sz="4"/>
              <w:left w:val="single" w:color="BFBFBF" w:sz="4"/>
              <w:bottom w:val="single" w:color="BFBFBF" w:sz="4"/>
              <w:right w:val="single" w:color="BFBFBF" w:sz="4"/>
            </w:tcBorders>
            <w:shd w:fill="D9E2F3" w:color="auto" w:val="clear"/>
            <w:tcMar>
              <w:top w:type="dxa" w:w="70"/>
              <w:left w:type="dxa" w:w="110"/>
              <w:bottom w:type="dxa" w:w="70"/>
              <w:right w:type="dxa" w:w="110"/>
            </w:tcMar>
            <w:vAlign w:val="center"/>
          </w:tcPr>
          <w:p>
            <w:pPr>
              <w:spacing w:after="0"/>
              <w:jc w:val="left"/>
            </w:pPr>
            <w:r>
              <w:rPr>
                <w:rFonts w:ascii="Arial" w:cs="Arial" w:eastAsia="Arial" w:hAnsi="Arial"/>
                <w:b/>
                <w:bCs/>
                <w:sz w:val="18"/>
                <w:szCs w:val="18"/>
              </w:rPr>
              <w:t xml:space="preserve">Tier</w:t>
            </w:r>
          </w:p>
        </w:tc>
        <w:tc>
          <w:tcPr>
            <w:tcW w:type="dxa" w:w="1600"/>
            <w:tcBorders>
              <w:top w:val="single" w:color="BFBFBF" w:sz="4"/>
              <w:left w:val="single" w:color="BFBFBF" w:sz="4"/>
              <w:bottom w:val="single" w:color="BFBFBF" w:sz="4"/>
              <w:right w:val="single" w:color="BFBFBF" w:sz="4"/>
            </w:tcBorders>
            <w:shd w:fill="D9E2F3" w:color="auto" w:val="clear"/>
            <w:tcMar>
              <w:top w:type="dxa" w:w="70"/>
              <w:left w:type="dxa" w:w="110"/>
              <w:bottom w:type="dxa" w:w="70"/>
              <w:right w:type="dxa" w:w="110"/>
            </w:tcMar>
            <w:vAlign w:val="center"/>
          </w:tcPr>
          <w:p>
            <w:pPr>
              <w:spacing w:after="0"/>
              <w:jc w:val="left"/>
            </w:pPr>
            <w:r>
              <w:rPr>
                <w:rFonts w:ascii="Arial" w:cs="Arial" w:eastAsia="Arial" w:hAnsi="Arial"/>
                <w:b/>
                <w:bCs/>
                <w:sz w:val="18"/>
                <w:szCs w:val="18"/>
              </w:rPr>
              <w:t xml:space="preserve">Eligibility</w:t>
            </w:r>
          </w:p>
        </w:tc>
        <w:tc>
          <w:tcPr>
            <w:tcW w:type="dxa" w:w="2000"/>
            <w:tcBorders>
              <w:top w:val="single" w:color="BFBFBF" w:sz="4"/>
              <w:left w:val="single" w:color="BFBFBF" w:sz="4"/>
              <w:bottom w:val="single" w:color="BFBFBF" w:sz="4"/>
              <w:right w:val="single" w:color="BFBFBF" w:sz="4"/>
            </w:tcBorders>
            <w:shd w:fill="D9E2F3" w:color="auto" w:val="clear"/>
            <w:tcMar>
              <w:top w:type="dxa" w:w="70"/>
              <w:left w:type="dxa" w:w="110"/>
              <w:bottom w:type="dxa" w:w="70"/>
              <w:right w:type="dxa" w:w="110"/>
            </w:tcMar>
            <w:vAlign w:val="center"/>
          </w:tcPr>
          <w:p>
            <w:pPr>
              <w:spacing w:after="0"/>
              <w:jc w:val="left"/>
            </w:pPr>
            <w:r>
              <w:rPr>
                <w:rFonts w:ascii="Arial" w:cs="Arial" w:eastAsia="Arial" w:hAnsi="Arial"/>
                <w:b/>
                <w:bCs/>
                <w:sz w:val="18"/>
                <w:szCs w:val="18"/>
              </w:rPr>
              <w:t xml:space="preserve">Criteria depth</w:t>
            </w:r>
          </w:p>
        </w:tc>
        <w:tc>
          <w:tcPr>
            <w:tcW w:type="dxa" w:w="1900"/>
            <w:tcBorders>
              <w:top w:val="single" w:color="BFBFBF" w:sz="4"/>
              <w:left w:val="single" w:color="BFBFBF" w:sz="4"/>
              <w:bottom w:val="single" w:color="BFBFBF" w:sz="4"/>
              <w:right w:val="single" w:color="BFBFBF" w:sz="4"/>
            </w:tcBorders>
            <w:shd w:fill="D9E2F3" w:color="auto" w:val="clear"/>
            <w:tcMar>
              <w:top w:type="dxa" w:w="70"/>
              <w:left w:type="dxa" w:w="110"/>
              <w:bottom w:type="dxa" w:w="70"/>
              <w:right w:type="dxa" w:w="110"/>
            </w:tcMar>
            <w:vAlign w:val="center"/>
          </w:tcPr>
          <w:p>
            <w:pPr>
              <w:spacing w:after="0"/>
              <w:jc w:val="left"/>
            </w:pPr>
            <w:r>
              <w:rPr>
                <w:rFonts w:ascii="Arial" w:cs="Arial" w:eastAsia="Arial" w:hAnsi="Arial"/>
                <w:b/>
                <w:bCs/>
                <w:sz w:val="18"/>
                <w:szCs w:val="18"/>
              </w:rPr>
              <w:t xml:space="preserve">HR annual fee</w:t>
            </w:r>
          </w:p>
        </w:tc>
        <w:tc>
          <w:tcPr>
            <w:tcW w:type="dxa" w:w="2100"/>
            <w:tcBorders>
              <w:top w:val="single" w:color="BFBFBF" w:sz="4"/>
              <w:left w:val="single" w:color="BFBFBF" w:sz="4"/>
              <w:bottom w:val="single" w:color="BFBFBF" w:sz="4"/>
              <w:right w:val="single" w:color="BFBFBF" w:sz="4"/>
            </w:tcBorders>
            <w:shd w:fill="D9E2F3" w:color="auto" w:val="clear"/>
            <w:tcMar>
              <w:top w:type="dxa" w:w="70"/>
              <w:left w:type="dxa" w:w="110"/>
              <w:bottom w:type="dxa" w:w="70"/>
              <w:right w:type="dxa" w:w="110"/>
            </w:tcMar>
            <w:vAlign w:val="center"/>
          </w:tcPr>
          <w:p>
            <w:pPr>
              <w:spacing w:after="0"/>
              <w:jc w:val="left"/>
            </w:pPr>
            <w:r>
              <w:rPr>
                <w:rFonts w:ascii="Arial" w:cs="Arial" w:eastAsia="Arial" w:hAnsi="Arial"/>
                <w:b/>
                <w:bCs/>
                <w:sz w:val="18"/>
                <w:szCs w:val="18"/>
              </w:rPr>
              <w:t xml:space="preserve">EU annual fee</w:t>
            </w:r>
          </w:p>
        </w:tc>
      </w:tr>
      <w:tr>
        <w:tc>
          <w:tcPr>
            <w:tcW w:type="dxa" w:w="14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jc w:val="left"/>
            </w:pPr>
            <w:r>
              <w:rPr>
                <w:rFonts w:ascii="Arial" w:cs="Arial" w:eastAsia="Arial" w:hAnsi="Arial"/>
                <w:b w:val="false"/>
                <w:bCs w:val="false"/>
                <w:sz w:val="18"/>
                <w:szCs w:val="18"/>
              </w:rPr>
              <w:t xml:space="preserve">Basic (self-attested)</w:t>
            </w:r>
          </w:p>
        </w:tc>
        <w:tc>
          <w:tcPr>
            <w:tcW w:type="dxa" w:w="16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jc w:val="left"/>
            </w:pPr>
            <w:r>
              <w:rPr>
                <w:rFonts w:ascii="Arial" w:cs="Arial" w:eastAsia="Arial" w:hAnsi="Arial"/>
                <w:b w:val="false"/>
                <w:bCs w:val="false"/>
                <w:sz w:val="18"/>
                <w:szCs w:val="18"/>
              </w:rPr>
              <w:t xml:space="preserve">Revenue &lt; €50k/yr</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jc w:val="left"/>
            </w:pPr>
            <w:r>
              <w:rPr>
                <w:rFonts w:ascii="Arial" w:cs="Arial" w:eastAsia="Arial" w:hAnsi="Arial"/>
                <w:b w:val="false"/>
                <w:bCs w:val="false"/>
                <w:sz w:val="18"/>
                <w:szCs w:val="18"/>
              </w:rPr>
              <w:t xml:space="preserve">Self-declared + registry check + reference checks</w:t>
            </w:r>
          </w:p>
        </w:tc>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jc w:val="left"/>
            </w:pPr>
            <w:r>
              <w:rPr>
                <w:rFonts w:ascii="Arial" w:cs="Arial" w:eastAsia="Arial" w:hAnsi="Arial"/>
                <w:b w:val="false"/>
                <w:bCs w:val="false"/>
                <w:sz w:val="18"/>
                <w:szCs w:val="18"/>
              </w:rPr>
              <w:t xml:space="preserve">€150</w:t>
            </w:r>
          </w:p>
        </w:tc>
        <w:tc>
          <w:tcPr>
            <w:tcW w:type="dxa" w:w="21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jc w:val="left"/>
            </w:pPr>
            <w:r>
              <w:rPr>
                <w:rFonts w:ascii="Arial" w:cs="Arial" w:eastAsia="Arial" w:hAnsi="Arial"/>
                <w:b w:val="false"/>
                <w:bCs w:val="false"/>
                <w:sz w:val="18"/>
                <w:szCs w:val="18"/>
              </w:rPr>
              <w:t xml:space="preserve">€250</w:t>
            </w:r>
          </w:p>
        </w:tc>
      </w:tr>
      <w:tr>
        <w:tc>
          <w:tcPr>
            <w:tcW w:type="dxa" w:w="14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jc w:val="left"/>
            </w:pPr>
            <w:r>
              <w:rPr>
                <w:rFonts w:ascii="Arial" w:cs="Arial" w:eastAsia="Arial" w:hAnsi="Arial"/>
                <w:b w:val="false"/>
                <w:bCs w:val="false"/>
                <w:sz w:val="18"/>
                <w:szCs w:val="18"/>
              </w:rPr>
              <w:t xml:space="preserve">Verified</w:t>
            </w:r>
          </w:p>
        </w:tc>
        <w:tc>
          <w:tcPr>
            <w:tcW w:type="dxa" w:w="16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jc w:val="left"/>
            </w:pPr>
            <w:r>
              <w:rPr>
                <w:rFonts w:ascii="Arial" w:cs="Arial" w:eastAsia="Arial" w:hAnsi="Arial"/>
                <w:b w:val="false"/>
                <w:bCs w:val="false"/>
                <w:sz w:val="18"/>
                <w:szCs w:val="18"/>
              </w:rPr>
              <w:t xml:space="preserve">Revenue €50k–€500k</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jc w:val="left"/>
            </w:pPr>
            <w:r>
              <w:rPr>
                <w:rFonts w:ascii="Arial" w:cs="Arial" w:eastAsia="Arial" w:hAnsi="Arial"/>
                <w:b w:val="false"/>
                <w:bCs w:val="false"/>
                <w:sz w:val="18"/>
                <w:szCs w:val="18"/>
              </w:rPr>
              <w:t xml:space="preserve">Basic + sampled receipts + governance review</w:t>
            </w:r>
          </w:p>
        </w:tc>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jc w:val="left"/>
            </w:pPr>
            <w:r>
              <w:rPr>
                <w:rFonts w:ascii="Arial" w:cs="Arial" w:eastAsia="Arial" w:hAnsi="Arial"/>
                <w:b w:val="false"/>
                <w:bCs w:val="false"/>
                <w:sz w:val="18"/>
                <w:szCs w:val="18"/>
              </w:rPr>
              <w:t xml:space="preserve">€500</w:t>
            </w:r>
          </w:p>
        </w:tc>
        <w:tc>
          <w:tcPr>
            <w:tcW w:type="dxa" w:w="21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jc w:val="left"/>
            </w:pPr>
            <w:r>
              <w:rPr>
                <w:rFonts w:ascii="Arial" w:cs="Arial" w:eastAsia="Arial" w:hAnsi="Arial"/>
                <w:b w:val="false"/>
                <w:bCs w:val="false"/>
                <w:sz w:val="18"/>
                <w:szCs w:val="18"/>
              </w:rPr>
              <w:t xml:space="preserve">€900</w:t>
            </w:r>
          </w:p>
        </w:tc>
      </w:tr>
      <w:tr>
        <w:tc>
          <w:tcPr>
            <w:tcW w:type="dxa" w:w="14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jc w:val="left"/>
            </w:pPr>
            <w:r>
              <w:rPr>
                <w:rFonts w:ascii="Arial" w:cs="Arial" w:eastAsia="Arial" w:hAnsi="Arial"/>
                <w:b w:val="false"/>
                <w:bCs w:val="false"/>
                <w:sz w:val="18"/>
                <w:szCs w:val="18"/>
              </w:rPr>
              <w:t xml:space="preserve">Verified Pro</w:t>
            </w:r>
          </w:p>
        </w:tc>
        <w:tc>
          <w:tcPr>
            <w:tcW w:type="dxa" w:w="16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jc w:val="left"/>
            </w:pPr>
            <w:r>
              <w:rPr>
                <w:rFonts w:ascii="Arial" w:cs="Arial" w:eastAsia="Arial" w:hAnsi="Arial"/>
                <w:b w:val="false"/>
                <w:bCs w:val="false"/>
                <w:sz w:val="18"/>
                <w:szCs w:val="18"/>
              </w:rPr>
              <w:t xml:space="preserve">Revenue &gt; €500k</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jc w:val="left"/>
            </w:pPr>
            <w:r>
              <w:rPr>
                <w:rFonts w:ascii="Arial" w:cs="Arial" w:eastAsia="Arial" w:hAnsi="Arial"/>
                <w:b w:val="false"/>
                <w:bCs w:val="false"/>
                <w:sz w:val="18"/>
                <w:szCs w:val="18"/>
              </w:rPr>
              <w:t xml:space="preserve">0.1–0.2% of income (floor €1.5k / cap €15k)</w:t>
            </w:r>
          </w:p>
        </w:tc>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jc w:val="left"/>
            </w:pPr>
            <w:r>
              <w:rPr>
                <w:rFonts w:ascii="Arial" w:cs="Arial" w:eastAsia="Arial" w:hAnsi="Arial"/>
                <w:b w:val="false"/>
                <w:bCs w:val="false"/>
                <w:sz w:val="18"/>
                <w:szCs w:val="18"/>
              </w:rPr>
              <w:t xml:space="preserve">€1,500–€15,000</w:t>
            </w:r>
          </w:p>
        </w:tc>
        <w:tc>
          <w:tcPr>
            <w:tcW w:type="dxa" w:w="21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jc w:val="left"/>
            </w:pPr>
            <w:r>
              <w:rPr>
                <w:rFonts w:ascii="Arial" w:cs="Arial" w:eastAsia="Arial" w:hAnsi="Arial"/>
                <w:b w:val="false"/>
                <w:bCs w:val="false"/>
                <w:sz w:val="18"/>
                <w:szCs w:val="18"/>
              </w:rPr>
              <w:t xml:space="preserve">€3,000–€25,000</w:t>
            </w:r>
          </w:p>
        </w:tc>
      </w:tr>
    </w:tbl>
    <w:p>
      <w:pPr>
        <w:spacing w:after="120"/>
      </w:pPr>
      <w:r>
        <w:t xml:space="preserve"/>
      </w:r>
    </w:p>
    <w:p>
      <w:pPr>
        <w:pStyle w:val="Heading3"/>
        <w:spacing w:after="80" w:before="180"/>
      </w:pPr>
      <w:r>
        <w:rPr>
          <w:rFonts w:ascii="Arial" w:cs="Arial" w:eastAsia="Arial" w:hAnsi="Arial"/>
          <w:b/>
          <w:bCs/>
          <w:color w:val="2F5496"/>
          <w:sz w:val="23"/>
          <w:szCs w:val="23"/>
        </w:rPr>
        <w:t xml:space="preserve">Seal criteria (provisional)</w:t>
      </w:r>
    </w:p>
    <w:p>
      <w:pPr>
        <w:pStyle w:val="ListParagraph"/>
        <w:numPr>
          <w:ilvl w:val="0"/>
          <w:numId w:val="2"/>
        </w:numPr>
        <w:spacing w:after="60" w:line="280"/>
      </w:pPr>
      <w:r>
        <w:rPr>
          <w:rFonts w:ascii="Arial" w:cs="Arial" w:eastAsia="Arial" w:hAnsi="Arial"/>
          <w:b/>
          <w:bCs/>
          <w:sz w:val="22"/>
          <w:szCs w:val="22"/>
        </w:rPr>
        <w:t xml:space="preserve">Legal and fiscal: </w:t>
      </w:r>
      <w:r>
        <w:rPr>
          <w:rFonts w:ascii="Arial" w:cs="Arial" w:eastAsia="Arial" w:hAnsi="Arial"/>
          <w:sz w:val="22"/>
          <w:szCs w:val="22"/>
        </w:rPr>
        <w:t xml:space="preserve">entity exists in Registar udruga / Registar neprofitnih organizacija, current on annual filings, no outstanding Porezna uprava disputes.</w:t>
      </w:r>
    </w:p>
    <w:p>
      <w:pPr>
        <w:pStyle w:val="ListParagraph"/>
        <w:numPr>
          <w:ilvl w:val="0"/>
          <w:numId w:val="2"/>
        </w:numPr>
        <w:spacing w:after="60" w:line="280"/>
      </w:pPr>
      <w:r>
        <w:rPr>
          <w:rFonts w:ascii="Arial" w:cs="Arial" w:eastAsia="Arial" w:hAnsi="Arial"/>
          <w:b/>
          <w:bCs/>
          <w:sz w:val="22"/>
          <w:szCs w:val="22"/>
        </w:rPr>
        <w:t xml:space="preserve">Governance: </w:t>
      </w:r>
      <w:r>
        <w:rPr>
          <w:rFonts w:ascii="Arial" w:cs="Arial" w:eastAsia="Arial" w:hAnsi="Arial"/>
          <w:sz w:val="22"/>
          <w:szCs w:val="22"/>
        </w:rPr>
        <w:t xml:space="preserve">published statute, functioning governing body, conflict-of-interest policy, two-signature rule on bank accounts.</w:t>
      </w:r>
    </w:p>
    <w:p>
      <w:pPr>
        <w:pStyle w:val="ListParagraph"/>
        <w:numPr>
          <w:ilvl w:val="0"/>
          <w:numId w:val="2"/>
        </w:numPr>
        <w:spacing w:after="60" w:line="280"/>
      </w:pPr>
      <w:r>
        <w:rPr>
          <w:rFonts w:ascii="Arial" w:cs="Arial" w:eastAsia="Arial" w:hAnsi="Arial"/>
          <w:b/>
          <w:bCs/>
          <w:sz w:val="22"/>
          <w:szCs w:val="22"/>
        </w:rPr>
        <w:t xml:space="preserve">Financial transparency: </w:t>
      </w:r>
      <w:r>
        <w:rPr>
          <w:rFonts w:ascii="Arial" w:cs="Arial" w:eastAsia="Arial" w:hAnsi="Arial"/>
          <w:sz w:val="22"/>
          <w:szCs w:val="22"/>
        </w:rPr>
        <w:t xml:space="preserve">annual financial statements published on the charity website or via DajSrce; overhead ratio below 25% (or justified exception).</w:t>
      </w:r>
    </w:p>
    <w:p>
      <w:pPr>
        <w:pStyle w:val="ListParagraph"/>
        <w:numPr>
          <w:ilvl w:val="0"/>
          <w:numId w:val="2"/>
        </w:numPr>
        <w:spacing w:after="60" w:line="280"/>
      </w:pPr>
      <w:r>
        <w:rPr>
          <w:rFonts w:ascii="Arial" w:cs="Arial" w:eastAsia="Arial" w:hAnsi="Arial"/>
          <w:b/>
          <w:bCs/>
          <w:sz w:val="22"/>
          <w:szCs w:val="22"/>
        </w:rPr>
        <w:t xml:space="preserve">Programme delivery: </w:t>
      </w:r>
      <w:r>
        <w:rPr>
          <w:rFonts w:ascii="Arial" w:cs="Arial" w:eastAsia="Arial" w:hAnsi="Arial"/>
          <w:sz w:val="22"/>
          <w:szCs w:val="22"/>
        </w:rPr>
        <w:t xml:space="preserve">evidence of activities matching the stated mission; a minimum number of beneficiaries per year; donation acknowledgement turnaround &lt; 21 days.</w:t>
      </w:r>
    </w:p>
    <w:p>
      <w:pPr>
        <w:pStyle w:val="ListParagraph"/>
        <w:numPr>
          <w:ilvl w:val="0"/>
          <w:numId w:val="2"/>
        </w:numPr>
        <w:spacing w:after="60" w:line="280"/>
      </w:pPr>
      <w:r>
        <w:rPr>
          <w:rFonts w:ascii="Arial" w:cs="Arial" w:eastAsia="Arial" w:hAnsi="Arial"/>
          <w:b/>
          <w:bCs/>
          <w:sz w:val="22"/>
          <w:szCs w:val="22"/>
        </w:rPr>
        <w:t xml:space="preserve">DajSrce-specific: </w:t>
      </w:r>
      <w:r>
        <w:rPr>
          <w:rFonts w:ascii="Arial" w:cs="Arial" w:eastAsia="Arial" w:hAnsi="Arial"/>
          <w:sz w:val="22"/>
          <w:szCs w:val="22"/>
        </w:rPr>
        <w:t xml:space="preserve">responds to pledges within the auto-acknowledge window, maintains an up-to-date needs board, no substantiated donor complaints in the previous 12 months.</w:t>
      </w:r>
    </w:p>
    <w:p>
      <w:pPr>
        <w:spacing w:after="120" w:line="300"/>
        <w:jc w:val="left"/>
      </w:pPr>
      <w:r>
        <w:rPr>
          <w:rFonts w:ascii="Arial" w:cs="Arial" w:eastAsia="Arial" w:hAnsi="Arial"/>
          <w:b w:val="false"/>
          <w:bCs w:val="false"/>
          <w:i w:val="false"/>
          <w:iCs w:val="false"/>
          <w:sz w:val="22"/>
          <w:szCs w:val="22"/>
        </w:rPr>
        <w:t xml:space="preserve">Re-verification annually; spot-check audits (on 10% of verified charities) at DajSrce's discretion using evidence already captured by the platform.</w:t>
      </w:r>
    </w:p>
    <w:p>
      <w:pPr>
        <w:pStyle w:val="Heading2"/>
        <w:spacing w:after="120" w:before="240"/>
      </w:pPr>
      <w:r>
        <w:rPr>
          <w:rFonts w:ascii="Arial" w:cs="Arial" w:eastAsia="Arial" w:hAnsi="Arial"/>
          <w:b/>
          <w:bCs/>
          <w:color w:val="1F3864"/>
          <w:sz w:val="26"/>
          <w:szCs w:val="26"/>
        </w:rPr>
        <w:t xml:space="preserve">D. Employer Branding certification</w:t>
      </w:r>
    </w:p>
    <w:p>
      <w:pPr>
        <w:spacing w:after="120" w:line="300"/>
        <w:jc w:val="left"/>
      </w:pPr>
      <w:r>
        <w:rPr>
          <w:rFonts w:ascii="Arial" w:cs="Arial" w:eastAsia="Arial" w:hAnsi="Arial"/>
          <w:b w:val="false"/>
          <w:bCs w:val="false"/>
          <w:i w:val="false"/>
          <w:iCs w:val="false"/>
          <w:sz w:val="22"/>
          <w:szCs w:val="22"/>
        </w:rPr>
        <w:t xml:space="preserve">The idea: companies that meet published social-impact criteria measured by DajSrce earn an annual "DajSrce Employer of Heart" certification they can use in recruitment, marketing, and investor communications. Unlike Top Employer Institute or Great Place to Work, the criteria are objective (volunteer hours, giving, needs fulfilment) and the evidence is independently captured — DajSrce knows how many hours a company's employees volunteered because the platform recorded the signups.</w:t>
      </w:r>
    </w:p>
    <w:p>
      <w:pPr>
        <w:pStyle w:val="Heading3"/>
        <w:spacing w:after="80" w:before="180"/>
      </w:pPr>
      <w:r>
        <w:rPr>
          <w:rFonts w:ascii="Arial" w:cs="Arial" w:eastAsia="Arial" w:hAnsi="Arial"/>
          <w:b/>
          <w:bCs/>
          <w:color w:val="2F5496"/>
          <w:sz w:val="23"/>
          <w:szCs w:val="23"/>
        </w:rPr>
        <w:t xml:space="preserve">Benchmark models</w:t>
      </w:r>
    </w:p>
    <w:p>
      <w:pPr>
        <w:pStyle w:val="ListParagraph"/>
        <w:numPr>
          <w:ilvl w:val="0"/>
          <w:numId w:val="2"/>
        </w:numPr>
        <w:spacing w:after="60" w:line="280"/>
      </w:pPr>
      <w:r>
        <w:rPr>
          <w:rFonts w:ascii="Arial" w:cs="Arial" w:eastAsia="Arial" w:hAnsi="Arial"/>
          <w:b/>
          <w:bCs/>
          <w:sz w:val="22"/>
          <w:szCs w:val="22"/>
        </w:rPr>
        <w:t xml:space="preserve">Top Employer Institute: </w:t>
      </w:r>
      <w:r>
        <w:rPr>
          <w:rFonts w:ascii="Arial" w:cs="Arial" w:eastAsia="Arial" w:hAnsi="Arial"/>
          <w:sz w:val="22"/>
          <w:szCs w:val="22"/>
        </w:rPr>
        <w:t xml:space="preserve">global programme, ~2,400 certified employers in 125 countries (including ~15 in Croatia). Pricing custom and opaque, typically EUR 8–25k/year per country; audit-heavy HR questionnaire methodology.</w:t>
      </w:r>
    </w:p>
    <w:p>
      <w:pPr>
        <w:pStyle w:val="ListParagraph"/>
        <w:numPr>
          <w:ilvl w:val="0"/>
          <w:numId w:val="2"/>
        </w:numPr>
        <w:spacing w:after="60" w:line="280"/>
      </w:pPr>
      <w:r>
        <w:rPr>
          <w:rFonts w:ascii="Arial" w:cs="Arial" w:eastAsia="Arial" w:hAnsi="Arial"/>
          <w:b/>
          <w:bCs/>
          <w:sz w:val="22"/>
          <w:szCs w:val="22"/>
        </w:rPr>
        <w:t xml:space="preserve">Great Place to Work: </w:t>
      </w:r>
      <w:r>
        <w:rPr>
          <w:rFonts w:ascii="Arial" w:cs="Arial" w:eastAsia="Arial" w:hAnsi="Arial"/>
          <w:sz w:val="22"/>
          <w:szCs w:val="22"/>
        </w:rPr>
        <w:t xml:space="preserve">~12,000 certified companies globally, ~120 in Croatia. Pricing EUR 3–30k depending on headcount; built on an employee survey.</w:t>
      </w:r>
    </w:p>
    <w:p>
      <w:pPr>
        <w:pStyle w:val="ListParagraph"/>
        <w:numPr>
          <w:ilvl w:val="0"/>
          <w:numId w:val="2"/>
        </w:numPr>
        <w:spacing w:after="60" w:line="280"/>
      </w:pPr>
      <w:r>
        <w:rPr>
          <w:rFonts w:ascii="Arial" w:cs="Arial" w:eastAsia="Arial" w:hAnsi="Arial"/>
          <w:b/>
          <w:bCs/>
          <w:sz w:val="22"/>
          <w:szCs w:val="22"/>
        </w:rPr>
        <w:t xml:space="preserve">Kununu Top Company / Fair Company: </w:t>
      </w:r>
      <w:r>
        <w:rPr>
          <w:rFonts w:ascii="Arial" w:cs="Arial" w:eastAsia="Arial" w:hAnsi="Arial"/>
          <w:sz w:val="22"/>
          <w:szCs w:val="22"/>
        </w:rPr>
        <w:t xml:space="preserve">German-speaking market; Top Company derived from employer-review algorithms (free), Fair Company a paid code-of-conduct seal (~EUR 1,000/year).</w:t>
      </w:r>
    </w:p>
    <w:p>
      <w:pPr>
        <w:pStyle w:val="ListParagraph"/>
        <w:numPr>
          <w:ilvl w:val="0"/>
          <w:numId w:val="2"/>
        </w:numPr>
        <w:spacing w:after="60" w:line="280"/>
      </w:pPr>
      <w:r>
        <w:rPr>
          <w:rFonts w:ascii="Arial" w:cs="Arial" w:eastAsia="Arial" w:hAnsi="Arial"/>
          <w:b/>
          <w:bCs/>
          <w:sz w:val="22"/>
          <w:szCs w:val="22"/>
        </w:rPr>
        <w:t xml:space="preserve">EcoVadis Medals: </w:t>
      </w:r>
      <w:r>
        <w:rPr>
          <w:rFonts w:ascii="Arial" w:cs="Arial" w:eastAsia="Arial" w:hAnsi="Arial"/>
          <w:sz w:val="22"/>
          <w:szCs w:val="22"/>
        </w:rPr>
        <w:t xml:space="preserve">sustainability-focused, 150,000+ companies rated across 175 countries. EUR 490–11,000/year based on tier. Heavily referenced by corporate procurement.</w:t>
      </w:r>
    </w:p>
    <w:p>
      <w:pPr>
        <w:pStyle w:val="ListParagraph"/>
        <w:numPr>
          <w:ilvl w:val="0"/>
          <w:numId w:val="2"/>
        </w:numPr>
        <w:spacing w:after="60" w:line="280"/>
      </w:pPr>
      <w:r>
        <w:rPr>
          <w:rFonts w:ascii="Arial" w:cs="Arial" w:eastAsia="Arial" w:hAnsi="Arial"/>
          <w:b/>
          <w:bCs/>
          <w:sz w:val="22"/>
          <w:szCs w:val="22"/>
        </w:rPr>
        <w:t xml:space="preserve">B Corp: </w:t>
      </w:r>
      <w:r>
        <w:rPr>
          <w:rFonts w:ascii="Arial" w:cs="Arial" w:eastAsia="Arial" w:hAnsi="Arial"/>
          <w:sz w:val="22"/>
          <w:szCs w:val="22"/>
        </w:rPr>
        <w:t xml:space="preserve">assessment fee plus annual fee scaled by revenue (EUR 1,000–50,000/year). 9,000+ certified globally.</w:t>
      </w:r>
    </w:p>
    <w:p>
      <w:pPr>
        <w:pStyle w:val="Heading3"/>
        <w:spacing w:after="80" w:before="180"/>
      </w:pPr>
      <w:r>
        <w:rPr>
          <w:rFonts w:ascii="Arial" w:cs="Arial" w:eastAsia="Arial" w:hAnsi="Arial"/>
          <w:b/>
          <w:bCs/>
          <w:color w:val="2F5496"/>
          <w:sz w:val="23"/>
          <w:szCs w:val="23"/>
        </w:rPr>
        <w:t xml:space="preserve">Recommended DajSrce design</w:t>
      </w:r>
    </w:p>
    <w:p>
      <w:pPr>
        <w:spacing w:after="120" w:line="300"/>
        <w:jc w:val="left"/>
      </w:pPr>
      <w:r>
        <w:rPr>
          <w:rFonts w:ascii="Arial" w:cs="Arial" w:eastAsia="Arial" w:hAnsi="Arial"/>
          <w:b w:val="false"/>
          <w:bCs w:val="false"/>
          <w:i w:val="false"/>
          <w:iCs w:val="false"/>
          <w:sz w:val="22"/>
          <w:szCs w:val="22"/>
        </w:rPr>
        <w:t xml:space="preserve">Three tiers with objective, DajSrce-observable criteria and a published methodology. The design decision is to keep the criteria donation-centric rather than HR-centric (where Top Employer and Great Place to Work already dominate), which gives the seal a defensible niche.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2000"/>
        <w:gridCol w:w="1700"/>
        <w:gridCol w:w="2100"/>
      </w:tblGrid>
      <w:tr>
        <w:trPr>
          <w:tblHeader/>
        </w:trPr>
        <w:tc>
          <w:tcPr>
            <w:tcW w:type="dxa" w:w="1400"/>
            <w:tcBorders>
              <w:top w:val="single" w:color="BFBFBF" w:sz="4"/>
              <w:left w:val="single" w:color="BFBFBF" w:sz="4"/>
              <w:bottom w:val="single" w:color="BFBFBF" w:sz="4"/>
              <w:right w:val="single" w:color="BFBFBF" w:sz="4"/>
            </w:tcBorders>
            <w:shd w:fill="D9E2F3" w:color="auto" w:val="clear"/>
            <w:tcMar>
              <w:top w:type="dxa" w:w="70"/>
              <w:left w:type="dxa" w:w="110"/>
              <w:bottom w:type="dxa" w:w="70"/>
              <w:right w:type="dxa" w:w="110"/>
            </w:tcMar>
            <w:vAlign w:val="center"/>
          </w:tcPr>
          <w:p>
            <w:pPr>
              <w:spacing w:after="0"/>
              <w:jc w:val="left"/>
            </w:pPr>
            <w:r>
              <w:rPr>
                <w:rFonts w:ascii="Arial" w:cs="Arial" w:eastAsia="Arial" w:hAnsi="Arial"/>
                <w:b/>
                <w:bCs/>
                <w:sz w:val="18"/>
                <w:szCs w:val="18"/>
              </w:rPr>
              <w:t xml:space="preserve">Tier</w:t>
            </w:r>
          </w:p>
        </w:tc>
        <w:tc>
          <w:tcPr>
            <w:tcW w:type="dxa" w:w="1800"/>
            <w:tcBorders>
              <w:top w:val="single" w:color="BFBFBF" w:sz="4"/>
              <w:left w:val="single" w:color="BFBFBF" w:sz="4"/>
              <w:bottom w:val="single" w:color="BFBFBF" w:sz="4"/>
              <w:right w:val="single" w:color="BFBFBF" w:sz="4"/>
            </w:tcBorders>
            <w:shd w:fill="D9E2F3" w:color="auto" w:val="clear"/>
            <w:tcMar>
              <w:top w:type="dxa" w:w="70"/>
              <w:left w:type="dxa" w:w="110"/>
              <w:bottom w:type="dxa" w:w="70"/>
              <w:right w:type="dxa" w:w="110"/>
            </w:tcMar>
            <w:vAlign w:val="center"/>
          </w:tcPr>
          <w:p>
            <w:pPr>
              <w:spacing w:after="0"/>
              <w:jc w:val="left"/>
            </w:pPr>
            <w:r>
              <w:rPr>
                <w:rFonts w:ascii="Arial" w:cs="Arial" w:eastAsia="Arial" w:hAnsi="Arial"/>
                <w:b/>
                <w:bCs/>
                <w:sz w:val="18"/>
                <w:szCs w:val="18"/>
              </w:rPr>
              <w:t xml:space="preserve">Headcount band</w:t>
            </w:r>
          </w:p>
        </w:tc>
        <w:tc>
          <w:tcPr>
            <w:tcW w:type="dxa" w:w="2000"/>
            <w:tcBorders>
              <w:top w:val="single" w:color="BFBFBF" w:sz="4"/>
              <w:left w:val="single" w:color="BFBFBF" w:sz="4"/>
              <w:bottom w:val="single" w:color="BFBFBF" w:sz="4"/>
              <w:right w:val="single" w:color="BFBFBF" w:sz="4"/>
            </w:tcBorders>
            <w:shd w:fill="D9E2F3" w:color="auto" w:val="clear"/>
            <w:tcMar>
              <w:top w:type="dxa" w:w="70"/>
              <w:left w:type="dxa" w:w="110"/>
              <w:bottom w:type="dxa" w:w="70"/>
              <w:right w:type="dxa" w:w="110"/>
            </w:tcMar>
            <w:vAlign w:val="center"/>
          </w:tcPr>
          <w:p>
            <w:pPr>
              <w:spacing w:after="0"/>
              <w:jc w:val="left"/>
            </w:pPr>
            <w:r>
              <w:rPr>
                <w:rFonts w:ascii="Arial" w:cs="Arial" w:eastAsia="Arial" w:hAnsi="Arial"/>
                <w:b/>
                <w:bCs/>
                <w:sz w:val="18"/>
                <w:szCs w:val="18"/>
              </w:rPr>
              <w:t xml:space="preserve">Annual criteria</w:t>
            </w:r>
          </w:p>
        </w:tc>
        <w:tc>
          <w:tcPr>
            <w:tcW w:type="dxa" w:w="1700"/>
            <w:tcBorders>
              <w:top w:val="single" w:color="BFBFBF" w:sz="4"/>
              <w:left w:val="single" w:color="BFBFBF" w:sz="4"/>
              <w:bottom w:val="single" w:color="BFBFBF" w:sz="4"/>
              <w:right w:val="single" w:color="BFBFBF" w:sz="4"/>
            </w:tcBorders>
            <w:shd w:fill="D9E2F3" w:color="auto" w:val="clear"/>
            <w:tcMar>
              <w:top w:type="dxa" w:w="70"/>
              <w:left w:type="dxa" w:w="110"/>
              <w:bottom w:type="dxa" w:w="70"/>
              <w:right w:type="dxa" w:w="110"/>
            </w:tcMar>
            <w:vAlign w:val="center"/>
          </w:tcPr>
          <w:p>
            <w:pPr>
              <w:spacing w:after="0"/>
              <w:jc w:val="left"/>
            </w:pPr>
            <w:r>
              <w:rPr>
                <w:rFonts w:ascii="Arial" w:cs="Arial" w:eastAsia="Arial" w:hAnsi="Arial"/>
                <w:b/>
                <w:bCs/>
                <w:sz w:val="18"/>
                <w:szCs w:val="18"/>
              </w:rPr>
              <w:t xml:space="preserve">HR fee</w:t>
            </w:r>
          </w:p>
        </w:tc>
        <w:tc>
          <w:tcPr>
            <w:tcW w:type="dxa" w:w="2100"/>
            <w:tcBorders>
              <w:top w:val="single" w:color="BFBFBF" w:sz="4"/>
              <w:left w:val="single" w:color="BFBFBF" w:sz="4"/>
              <w:bottom w:val="single" w:color="BFBFBF" w:sz="4"/>
              <w:right w:val="single" w:color="BFBFBF" w:sz="4"/>
            </w:tcBorders>
            <w:shd w:fill="D9E2F3" w:color="auto" w:val="clear"/>
            <w:tcMar>
              <w:top w:type="dxa" w:w="70"/>
              <w:left w:type="dxa" w:w="110"/>
              <w:bottom w:type="dxa" w:w="70"/>
              <w:right w:type="dxa" w:w="110"/>
            </w:tcMar>
            <w:vAlign w:val="center"/>
          </w:tcPr>
          <w:p>
            <w:pPr>
              <w:spacing w:after="0"/>
              <w:jc w:val="left"/>
            </w:pPr>
            <w:r>
              <w:rPr>
                <w:rFonts w:ascii="Arial" w:cs="Arial" w:eastAsia="Arial" w:hAnsi="Arial"/>
                <w:b/>
                <w:bCs/>
                <w:sz w:val="18"/>
                <w:szCs w:val="18"/>
              </w:rPr>
              <w:t xml:space="preserve">EU / CEE fee</w:t>
            </w:r>
          </w:p>
        </w:tc>
      </w:tr>
      <w:tr>
        <w:tc>
          <w:tcPr>
            <w:tcW w:type="dxa" w:w="14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jc w:val="left"/>
            </w:pPr>
            <w:r>
              <w:rPr>
                <w:rFonts w:ascii="Arial" w:cs="Arial" w:eastAsia="Arial" w:hAnsi="Arial"/>
                <w:b w:val="false"/>
                <w:bCs w:val="false"/>
                <w:sz w:val="18"/>
                <w:szCs w:val="18"/>
              </w:rPr>
              <w:t xml:space="preserve">Silver</w:t>
            </w:r>
          </w:p>
        </w:tc>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jc w:val="left"/>
            </w:pPr>
            <w:r>
              <w:rPr>
                <w:rFonts w:ascii="Arial" w:cs="Arial" w:eastAsia="Arial" w:hAnsi="Arial"/>
                <w:b w:val="false"/>
                <w:bCs w:val="false"/>
                <w:sz w:val="18"/>
                <w:szCs w:val="18"/>
              </w:rPr>
              <w:t xml:space="preserve">10–99 FTE</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jc w:val="left"/>
            </w:pPr>
            <w:r>
              <w:rPr>
                <w:rFonts w:ascii="Arial" w:cs="Arial" w:eastAsia="Arial" w:hAnsi="Arial"/>
                <w:b w:val="false"/>
                <w:bCs w:val="false"/>
                <w:sz w:val="18"/>
                <w:szCs w:val="18"/>
              </w:rPr>
              <w:t xml:space="preserve">≥ 1% FTE-hours volunteered + ≥ 0.5% of profits donated via platform</w:t>
            </w:r>
          </w:p>
        </w:tc>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jc w:val="left"/>
            </w:pPr>
            <w:r>
              <w:rPr>
                <w:rFonts w:ascii="Arial" w:cs="Arial" w:eastAsia="Arial" w:hAnsi="Arial"/>
                <w:b w:val="false"/>
                <w:bCs w:val="false"/>
                <w:sz w:val="18"/>
                <w:szCs w:val="18"/>
              </w:rPr>
              <w:t xml:space="preserve">€2,500</w:t>
            </w:r>
          </w:p>
        </w:tc>
        <w:tc>
          <w:tcPr>
            <w:tcW w:type="dxa" w:w="21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jc w:val="left"/>
            </w:pPr>
            <w:r>
              <w:rPr>
                <w:rFonts w:ascii="Arial" w:cs="Arial" w:eastAsia="Arial" w:hAnsi="Arial"/>
                <w:b w:val="false"/>
                <w:bCs w:val="false"/>
                <w:sz w:val="18"/>
                <w:szCs w:val="18"/>
              </w:rPr>
              <w:t xml:space="preserve">€4,000</w:t>
            </w:r>
          </w:p>
        </w:tc>
      </w:tr>
      <w:tr>
        <w:tc>
          <w:tcPr>
            <w:tcW w:type="dxa" w:w="14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jc w:val="left"/>
            </w:pPr>
            <w:r>
              <w:rPr>
                <w:rFonts w:ascii="Arial" w:cs="Arial" w:eastAsia="Arial" w:hAnsi="Arial"/>
                <w:b w:val="false"/>
                <w:bCs w:val="false"/>
                <w:sz w:val="18"/>
                <w:szCs w:val="18"/>
              </w:rPr>
              <w:t xml:space="preserve">Gold</w:t>
            </w:r>
          </w:p>
        </w:tc>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jc w:val="left"/>
            </w:pPr>
            <w:r>
              <w:rPr>
                <w:rFonts w:ascii="Arial" w:cs="Arial" w:eastAsia="Arial" w:hAnsi="Arial"/>
                <w:b w:val="false"/>
                <w:bCs w:val="false"/>
                <w:sz w:val="18"/>
                <w:szCs w:val="18"/>
              </w:rPr>
              <w:t xml:space="preserve">100–999 FTE</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jc w:val="left"/>
            </w:pPr>
            <w:r>
              <w:rPr>
                <w:rFonts w:ascii="Arial" w:cs="Arial" w:eastAsia="Arial" w:hAnsi="Arial"/>
                <w:b w:val="false"/>
                <w:bCs w:val="false"/>
                <w:sz w:val="18"/>
                <w:szCs w:val="18"/>
              </w:rPr>
              <w:t xml:space="preserve">Silver criteria + published CSR report via DajSrce + ESG evidence pack</w:t>
            </w:r>
          </w:p>
        </w:tc>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jc w:val="left"/>
            </w:pPr>
            <w:r>
              <w:rPr>
                <w:rFonts w:ascii="Arial" w:cs="Arial" w:eastAsia="Arial" w:hAnsi="Arial"/>
                <w:b w:val="false"/>
                <w:bCs w:val="false"/>
                <w:sz w:val="18"/>
                <w:szCs w:val="18"/>
              </w:rPr>
              <w:t xml:space="preserve">€5,000</w:t>
            </w:r>
          </w:p>
        </w:tc>
        <w:tc>
          <w:tcPr>
            <w:tcW w:type="dxa" w:w="21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jc w:val="left"/>
            </w:pPr>
            <w:r>
              <w:rPr>
                <w:rFonts w:ascii="Arial" w:cs="Arial" w:eastAsia="Arial" w:hAnsi="Arial"/>
                <w:b w:val="false"/>
                <w:bCs w:val="false"/>
                <w:sz w:val="18"/>
                <w:szCs w:val="18"/>
              </w:rPr>
              <w:t xml:space="preserve">€8,000</w:t>
            </w:r>
          </w:p>
        </w:tc>
      </w:tr>
      <w:tr>
        <w:tc>
          <w:tcPr>
            <w:tcW w:type="dxa" w:w="14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jc w:val="left"/>
            </w:pPr>
            <w:r>
              <w:rPr>
                <w:rFonts w:ascii="Arial" w:cs="Arial" w:eastAsia="Arial" w:hAnsi="Arial"/>
                <w:b w:val="false"/>
                <w:bCs w:val="false"/>
                <w:sz w:val="18"/>
                <w:szCs w:val="18"/>
              </w:rPr>
              <w:t xml:space="preserve">Platinum</w:t>
            </w:r>
          </w:p>
        </w:tc>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jc w:val="left"/>
            </w:pPr>
            <w:r>
              <w:rPr>
                <w:rFonts w:ascii="Arial" w:cs="Arial" w:eastAsia="Arial" w:hAnsi="Arial"/>
                <w:b w:val="false"/>
                <w:bCs w:val="false"/>
                <w:sz w:val="18"/>
                <w:szCs w:val="18"/>
              </w:rPr>
              <w:t xml:space="preserve">1,000+ FTE</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jc w:val="left"/>
            </w:pPr>
            <w:r>
              <w:rPr>
                <w:rFonts w:ascii="Arial" w:cs="Arial" w:eastAsia="Arial" w:hAnsi="Arial"/>
                <w:b w:val="false"/>
                <w:bCs w:val="false"/>
                <w:sz w:val="18"/>
                <w:szCs w:val="18"/>
              </w:rPr>
              <w:t xml:space="preserve">Gold + executive sponsor + multi-year commitment + community co-design evidence</w:t>
            </w:r>
          </w:p>
        </w:tc>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jc w:val="left"/>
            </w:pPr>
            <w:r>
              <w:rPr>
                <w:rFonts w:ascii="Arial" w:cs="Arial" w:eastAsia="Arial" w:hAnsi="Arial"/>
                <w:b w:val="false"/>
                <w:bCs w:val="false"/>
                <w:sz w:val="18"/>
                <w:szCs w:val="18"/>
              </w:rPr>
              <w:t xml:space="preserve">€10,000</w:t>
            </w:r>
          </w:p>
        </w:tc>
        <w:tc>
          <w:tcPr>
            <w:tcW w:type="dxa" w:w="21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jc w:val="left"/>
            </w:pPr>
            <w:r>
              <w:rPr>
                <w:rFonts w:ascii="Arial" w:cs="Arial" w:eastAsia="Arial" w:hAnsi="Arial"/>
                <w:b w:val="false"/>
                <w:bCs w:val="false"/>
                <w:sz w:val="18"/>
                <w:szCs w:val="18"/>
              </w:rPr>
              <w:t xml:space="preserve">€18,000</w:t>
            </w:r>
          </w:p>
        </w:tc>
      </w:tr>
    </w:tbl>
    <w:p>
      <w:pPr>
        <w:spacing w:after="120"/>
      </w:pPr>
      <w:r>
        <w:t xml:space="preserve"/>
      </w:r>
    </w:p>
    <w:p>
      <w:pPr>
        <w:spacing w:after="120" w:line="300"/>
        <w:jc w:val="left"/>
      </w:pPr>
      <w:r>
        <w:rPr>
          <w:rFonts w:ascii="Arial" w:cs="Arial" w:eastAsia="Arial" w:hAnsi="Arial"/>
          <w:b w:val="false"/>
          <w:bCs w:val="false"/>
          <w:i w:val="false"/>
          <w:iCs w:val="false"/>
          <w:sz w:val="22"/>
          <w:szCs w:val="22"/>
        </w:rPr>
        <w:t xml:space="preserve">Verification relies on evidence already captured in the DajSrce database — volunteer hours are logged, donations are receipted, pledges are acknowledged. A lightweight annual attestation by the company (signed by CEO or HR director) plus a random audit sample of 10% of certified companies per year keeps the cost of issuance low. The methodology and criteria are published and updated annually by a DajSrce advisory council including a Croatian tax advisor, a HANFA liaison, and two charity-sector representatives.</w:t>
      </w:r>
    </w:p>
    <w:p>
      <w:r>
        <w:br w:type="page"/>
      </w:r>
    </w:p>
    <w:p>
      <w:pPr>
        <w:pStyle w:val="Heading1"/>
        <w:spacing w:after="180" w:before="300"/>
      </w:pPr>
      <w:r>
        <w:rPr>
          <w:rFonts w:ascii="Arial" w:cs="Arial" w:eastAsia="Arial" w:hAnsi="Arial"/>
          <w:b/>
          <w:bCs/>
          <w:color w:val="1F3864"/>
          <w:sz w:val="32"/>
          <w:szCs w:val="32"/>
        </w:rPr>
        <w:t xml:space="preserve">Part II (cont.) — Cross-line summary</w:t>
      </w:r>
    </w:p>
    <w:p>
      <w:pPr>
        <w:spacing w:after="120" w:line="300"/>
        <w:jc w:val="left"/>
      </w:pPr>
      <w:r>
        <w:rPr>
          <w:rFonts w:ascii="Arial" w:cs="Arial" w:eastAsia="Arial" w:hAnsi="Arial"/>
          <w:b w:val="false"/>
          <w:bCs w:val="false"/>
          <w:i w:val="false"/>
          <w:iCs w:val="false"/>
          <w:sz w:val="22"/>
          <w:szCs w:val="22"/>
        </w:rPr>
        <w:t xml:space="preserve">Summary of the four revenue lines, their buyers, units and unit economics:</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2300"/>
        <w:gridCol w:w="1800"/>
        <w:gridCol w:w="1500"/>
      </w:tblGrid>
      <w:tr>
        <w:trPr>
          <w:tblHeader/>
        </w:trPr>
        <w:tc>
          <w:tcPr>
            <w:tcW w:type="dxa" w:w="1500"/>
            <w:tcBorders>
              <w:top w:val="single" w:color="BFBFBF" w:sz="4"/>
              <w:left w:val="single" w:color="BFBFBF" w:sz="4"/>
              <w:bottom w:val="single" w:color="BFBFBF" w:sz="4"/>
              <w:right w:val="single" w:color="BFBFBF" w:sz="4"/>
            </w:tcBorders>
            <w:shd w:fill="D9E2F3" w:color="auto" w:val="clear"/>
            <w:tcMar>
              <w:top w:type="dxa" w:w="70"/>
              <w:left w:type="dxa" w:w="110"/>
              <w:bottom w:type="dxa" w:w="70"/>
              <w:right w:type="dxa" w:w="110"/>
            </w:tcMar>
            <w:vAlign w:val="center"/>
          </w:tcPr>
          <w:p>
            <w:pPr>
              <w:spacing w:after="0"/>
              <w:jc w:val="left"/>
            </w:pPr>
            <w:r>
              <w:rPr>
                <w:rFonts w:ascii="Arial" w:cs="Arial" w:eastAsia="Arial" w:hAnsi="Arial"/>
                <w:b/>
                <w:bCs/>
                <w:sz w:val="18"/>
                <w:szCs w:val="18"/>
              </w:rPr>
              <w:t xml:space="preserve">Line</w:t>
            </w:r>
          </w:p>
        </w:tc>
        <w:tc>
          <w:tcPr>
            <w:tcW w:type="dxa" w:w="2000"/>
            <w:tcBorders>
              <w:top w:val="single" w:color="BFBFBF" w:sz="4"/>
              <w:left w:val="single" w:color="BFBFBF" w:sz="4"/>
              <w:bottom w:val="single" w:color="BFBFBF" w:sz="4"/>
              <w:right w:val="single" w:color="BFBFBF" w:sz="4"/>
            </w:tcBorders>
            <w:shd w:fill="D9E2F3" w:color="auto" w:val="clear"/>
            <w:tcMar>
              <w:top w:type="dxa" w:w="70"/>
              <w:left w:type="dxa" w:w="110"/>
              <w:bottom w:type="dxa" w:w="70"/>
              <w:right w:type="dxa" w:w="110"/>
            </w:tcMar>
            <w:vAlign w:val="center"/>
          </w:tcPr>
          <w:p>
            <w:pPr>
              <w:spacing w:after="0"/>
              <w:jc w:val="left"/>
            </w:pPr>
            <w:r>
              <w:rPr>
                <w:rFonts w:ascii="Arial" w:cs="Arial" w:eastAsia="Arial" w:hAnsi="Arial"/>
                <w:b/>
                <w:bCs/>
                <w:sz w:val="18"/>
                <w:szCs w:val="18"/>
              </w:rPr>
              <w:t xml:space="preserve">Buyer</w:t>
            </w:r>
          </w:p>
        </w:tc>
        <w:tc>
          <w:tcPr>
            <w:tcW w:type="dxa" w:w="2300"/>
            <w:tcBorders>
              <w:top w:val="single" w:color="BFBFBF" w:sz="4"/>
              <w:left w:val="single" w:color="BFBFBF" w:sz="4"/>
              <w:bottom w:val="single" w:color="BFBFBF" w:sz="4"/>
              <w:right w:val="single" w:color="BFBFBF" w:sz="4"/>
            </w:tcBorders>
            <w:shd w:fill="D9E2F3" w:color="auto" w:val="clear"/>
            <w:tcMar>
              <w:top w:type="dxa" w:w="70"/>
              <w:left w:type="dxa" w:w="110"/>
              <w:bottom w:type="dxa" w:w="70"/>
              <w:right w:type="dxa" w:w="110"/>
            </w:tcMar>
            <w:vAlign w:val="center"/>
          </w:tcPr>
          <w:p>
            <w:pPr>
              <w:spacing w:after="0"/>
              <w:jc w:val="left"/>
            </w:pPr>
            <w:r>
              <w:rPr>
                <w:rFonts w:ascii="Arial" w:cs="Arial" w:eastAsia="Arial" w:hAnsi="Arial"/>
                <w:b/>
                <w:bCs/>
                <w:sz w:val="18"/>
                <w:szCs w:val="18"/>
              </w:rPr>
              <w:t xml:space="preserve">Unit</w:t>
            </w:r>
          </w:p>
        </w:tc>
        <w:tc>
          <w:tcPr>
            <w:tcW w:type="dxa" w:w="1800"/>
            <w:tcBorders>
              <w:top w:val="single" w:color="BFBFBF" w:sz="4"/>
              <w:left w:val="single" w:color="BFBFBF" w:sz="4"/>
              <w:bottom w:val="single" w:color="BFBFBF" w:sz="4"/>
              <w:right w:val="single" w:color="BFBFBF" w:sz="4"/>
            </w:tcBorders>
            <w:shd w:fill="D9E2F3" w:color="auto" w:val="clear"/>
            <w:tcMar>
              <w:top w:type="dxa" w:w="70"/>
              <w:left w:type="dxa" w:w="110"/>
              <w:bottom w:type="dxa" w:w="70"/>
              <w:right w:type="dxa" w:w="110"/>
            </w:tcMar>
            <w:vAlign w:val="center"/>
          </w:tcPr>
          <w:p>
            <w:pPr>
              <w:spacing w:after="0"/>
              <w:jc w:val="left"/>
            </w:pPr>
            <w:r>
              <w:rPr>
                <w:rFonts w:ascii="Arial" w:cs="Arial" w:eastAsia="Arial" w:hAnsi="Arial"/>
                <w:b/>
                <w:bCs/>
                <w:sz w:val="18"/>
                <w:szCs w:val="18"/>
              </w:rPr>
              <w:t xml:space="preserve">HR ARPU</w:t>
            </w:r>
          </w:p>
        </w:tc>
        <w:tc>
          <w:tcPr>
            <w:tcW w:type="dxa" w:w="1500"/>
            <w:tcBorders>
              <w:top w:val="single" w:color="BFBFBF" w:sz="4"/>
              <w:left w:val="single" w:color="BFBFBF" w:sz="4"/>
              <w:bottom w:val="single" w:color="BFBFBF" w:sz="4"/>
              <w:right w:val="single" w:color="BFBFBF" w:sz="4"/>
            </w:tcBorders>
            <w:shd w:fill="D9E2F3" w:color="auto" w:val="clear"/>
            <w:tcMar>
              <w:top w:type="dxa" w:w="70"/>
              <w:left w:type="dxa" w:w="110"/>
              <w:bottom w:type="dxa" w:w="70"/>
              <w:right w:type="dxa" w:w="110"/>
            </w:tcMar>
            <w:vAlign w:val="center"/>
          </w:tcPr>
          <w:p>
            <w:pPr>
              <w:spacing w:after="0"/>
              <w:jc w:val="left"/>
            </w:pPr>
            <w:r>
              <w:rPr>
                <w:rFonts w:ascii="Arial" w:cs="Arial" w:eastAsia="Arial" w:hAnsi="Arial"/>
                <w:b/>
                <w:bCs/>
                <w:sz w:val="18"/>
                <w:szCs w:val="18"/>
              </w:rPr>
              <w:t xml:space="preserve">Gross margin</w:t>
            </w:r>
          </w:p>
        </w:tc>
      </w:tr>
      <w:tr>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jc w:val="left"/>
            </w:pPr>
            <w:r>
              <w:rPr>
                <w:rFonts w:ascii="Arial" w:cs="Arial" w:eastAsia="Arial" w:hAnsi="Arial"/>
                <w:b w:val="false"/>
                <w:bCs w:val="false"/>
                <w:sz w:val="18"/>
                <w:szCs w:val="18"/>
              </w:rPr>
              <w:t xml:space="preserve">A. Company ESG/CSR SaaS</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jc w:val="left"/>
            </w:pPr>
            <w:r>
              <w:rPr>
                <w:rFonts w:ascii="Arial" w:cs="Arial" w:eastAsia="Arial" w:hAnsi="Arial"/>
                <w:b w:val="false"/>
                <w:bCs w:val="false"/>
                <w:sz w:val="18"/>
                <w:szCs w:val="18"/>
              </w:rPr>
              <w:t xml:space="preserve">Company finance, CSR, ESG teams</w:t>
            </w:r>
          </w:p>
        </w:tc>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jc w:val="left"/>
            </w:pPr>
            <w:r>
              <w:rPr>
                <w:rFonts w:ascii="Arial" w:cs="Arial" w:eastAsia="Arial" w:hAnsi="Arial"/>
                <w:b w:val="false"/>
                <w:bCs w:val="false"/>
                <w:sz w:val="18"/>
                <w:szCs w:val="18"/>
              </w:rPr>
              <w:t xml:space="preserve">Annual subscription — 3 tiers</w:t>
            </w:r>
          </w:p>
        </w:tc>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jc w:val="left"/>
            </w:pPr>
            <w:r>
              <w:rPr>
                <w:rFonts w:ascii="Arial" w:cs="Arial" w:eastAsia="Arial" w:hAnsi="Arial"/>
                <w:b w:val="false"/>
                <w:bCs w:val="false"/>
                <w:sz w:val="18"/>
                <w:szCs w:val="18"/>
              </w:rPr>
              <w:t xml:space="preserve">€800 / €3.5k / €12k</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jc w:val="left"/>
            </w:pPr>
            <w:r>
              <w:rPr>
                <w:rFonts w:ascii="Arial" w:cs="Arial" w:eastAsia="Arial" w:hAnsi="Arial"/>
                <w:b w:val="false"/>
                <w:bCs w:val="false"/>
                <w:sz w:val="18"/>
                <w:szCs w:val="18"/>
              </w:rPr>
              <w:t xml:space="preserve">85–90%</w:t>
            </w:r>
          </w:p>
        </w:tc>
      </w:tr>
      <w:tr>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jc w:val="left"/>
            </w:pPr>
            <w:r>
              <w:rPr>
                <w:rFonts w:ascii="Arial" w:cs="Arial" w:eastAsia="Arial" w:hAnsi="Arial"/>
                <w:b w:val="false"/>
                <w:bCs w:val="false"/>
                <w:sz w:val="18"/>
                <w:szCs w:val="18"/>
              </w:rPr>
              <w:t xml:space="preserve">B. Tax-receipt service</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jc w:val="left"/>
            </w:pPr>
            <w:r>
              <w:rPr>
                <w:rFonts w:ascii="Arial" w:cs="Arial" w:eastAsia="Arial" w:hAnsi="Arial"/>
                <w:b w:val="false"/>
                <w:bCs w:val="false"/>
                <w:sz w:val="18"/>
                <w:szCs w:val="18"/>
              </w:rPr>
              <w:t xml:space="preserve">Bundled into SaaS</w:t>
            </w:r>
          </w:p>
        </w:tc>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jc w:val="left"/>
            </w:pPr>
            <w:r>
              <w:rPr>
                <w:rFonts w:ascii="Arial" w:cs="Arial" w:eastAsia="Arial" w:hAnsi="Arial"/>
                <w:b w:val="false"/>
                <w:bCs w:val="false"/>
                <w:sz w:val="18"/>
                <w:szCs w:val="18"/>
              </w:rPr>
              <w:t xml:space="preserve">Included in tier</w:t>
            </w:r>
          </w:p>
        </w:tc>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jc w:val="left"/>
            </w:pPr>
            <w:r>
              <w:rPr>
                <w:rFonts w:ascii="Arial" w:cs="Arial" w:eastAsia="Arial" w:hAnsi="Arial"/>
                <w:b w:val="false"/>
                <w:bCs w:val="false"/>
                <w:sz w:val="18"/>
                <w:szCs w:val="18"/>
              </w:rPr>
              <w:t xml:space="preserve">Embedded (attach lever)</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jc w:val="left"/>
            </w:pPr>
            <w:r>
              <w:rPr>
                <w:rFonts w:ascii="Arial" w:cs="Arial" w:eastAsia="Arial" w:hAnsi="Arial"/>
                <w:b w:val="false"/>
                <w:bCs w:val="false"/>
                <w:sz w:val="18"/>
                <w:szCs w:val="18"/>
              </w:rPr>
              <w:t xml:space="preserve">n/a</w:t>
            </w:r>
          </w:p>
        </w:tc>
      </w:tr>
      <w:tr>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jc w:val="left"/>
            </w:pPr>
            <w:r>
              <w:rPr>
                <w:rFonts w:ascii="Arial" w:cs="Arial" w:eastAsia="Arial" w:hAnsi="Arial"/>
                <w:b w:val="false"/>
                <w:bCs w:val="false"/>
                <w:sz w:val="18"/>
                <w:szCs w:val="18"/>
              </w:rPr>
              <w:t xml:space="preserve">C. Charity verification seal</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jc w:val="left"/>
            </w:pPr>
            <w:r>
              <w:rPr>
                <w:rFonts w:ascii="Arial" w:cs="Arial" w:eastAsia="Arial" w:hAnsi="Arial"/>
                <w:b w:val="false"/>
                <w:bCs w:val="false"/>
                <w:sz w:val="18"/>
                <w:szCs w:val="18"/>
              </w:rPr>
              <w:t xml:space="preserve">Associations / foundations</w:t>
            </w:r>
          </w:p>
        </w:tc>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jc w:val="left"/>
            </w:pPr>
            <w:r>
              <w:rPr>
                <w:rFonts w:ascii="Arial" w:cs="Arial" w:eastAsia="Arial" w:hAnsi="Arial"/>
                <w:b w:val="false"/>
                <w:bCs w:val="false"/>
                <w:sz w:val="18"/>
                <w:szCs w:val="18"/>
              </w:rPr>
              <w:t xml:space="preserve">Annual fee indexed to income</w:t>
            </w:r>
          </w:p>
        </w:tc>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jc w:val="left"/>
            </w:pPr>
            <w:r>
              <w:rPr>
                <w:rFonts w:ascii="Arial" w:cs="Arial" w:eastAsia="Arial" w:hAnsi="Arial"/>
                <w:b w:val="false"/>
                <w:bCs w:val="false"/>
                <w:sz w:val="18"/>
                <w:szCs w:val="18"/>
              </w:rPr>
              <w:t xml:space="preserve">€150 / €500 / €1.5k</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jc w:val="left"/>
            </w:pPr>
            <w:r>
              <w:rPr>
                <w:rFonts w:ascii="Arial" w:cs="Arial" w:eastAsia="Arial" w:hAnsi="Arial"/>
                <w:b w:val="false"/>
                <w:bCs w:val="false"/>
                <w:sz w:val="18"/>
                <w:szCs w:val="18"/>
              </w:rPr>
              <w:t xml:space="preserve">70–80%</w:t>
            </w:r>
          </w:p>
        </w:tc>
      </w:tr>
      <w:tr>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jc w:val="left"/>
            </w:pPr>
            <w:r>
              <w:rPr>
                <w:rFonts w:ascii="Arial" w:cs="Arial" w:eastAsia="Arial" w:hAnsi="Arial"/>
                <w:b w:val="false"/>
                <w:bCs w:val="false"/>
                <w:sz w:val="18"/>
                <w:szCs w:val="18"/>
              </w:rPr>
              <w:t xml:space="preserve">D. Employer Branding certification</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jc w:val="left"/>
            </w:pPr>
            <w:r>
              <w:rPr>
                <w:rFonts w:ascii="Arial" w:cs="Arial" w:eastAsia="Arial" w:hAnsi="Arial"/>
                <w:b w:val="false"/>
                <w:bCs w:val="false"/>
                <w:sz w:val="18"/>
                <w:szCs w:val="18"/>
              </w:rPr>
              <w:t xml:space="preserve">Company HR / EB / marketing</w:t>
            </w:r>
          </w:p>
        </w:tc>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jc w:val="left"/>
            </w:pPr>
            <w:r>
              <w:rPr>
                <w:rFonts w:ascii="Arial" w:cs="Arial" w:eastAsia="Arial" w:hAnsi="Arial"/>
                <w:b w:val="false"/>
                <w:bCs w:val="false"/>
                <w:sz w:val="18"/>
                <w:szCs w:val="18"/>
              </w:rPr>
              <w:t xml:space="preserve">Annual cert + audit</w:t>
            </w:r>
          </w:p>
        </w:tc>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jc w:val="left"/>
            </w:pPr>
            <w:r>
              <w:rPr>
                <w:rFonts w:ascii="Arial" w:cs="Arial" w:eastAsia="Arial" w:hAnsi="Arial"/>
                <w:b w:val="false"/>
                <w:bCs w:val="false"/>
                <w:sz w:val="18"/>
                <w:szCs w:val="18"/>
              </w:rPr>
              <w:t xml:space="preserve">€2.5k / €5k / €10k</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jc w:val="left"/>
            </w:pPr>
            <w:r>
              <w:rPr>
                <w:rFonts w:ascii="Arial" w:cs="Arial" w:eastAsia="Arial" w:hAnsi="Arial"/>
                <w:b w:val="false"/>
                <w:bCs w:val="false"/>
                <w:sz w:val="18"/>
                <w:szCs w:val="18"/>
              </w:rPr>
              <w:t xml:space="preserve">75–85%</w:t>
            </w:r>
          </w:p>
        </w:tc>
      </w:tr>
    </w:tbl>
    <w:p>
      <w:pPr>
        <w:spacing w:after="120"/>
      </w:pPr>
      <w:r>
        <w:t xml:space="preserve"/>
      </w:r>
    </w:p>
    <w:p>
      <w:pPr>
        <w:spacing w:after="120" w:line="300"/>
        <w:jc w:val="left"/>
      </w:pPr>
      <w:r>
        <w:rPr>
          <w:rFonts w:ascii="Arial" w:cs="Arial" w:eastAsia="Arial" w:hAnsi="Arial"/>
          <w:b w:val="false"/>
          <w:bCs w:val="false"/>
          <w:i w:val="false"/>
          <w:iCs w:val="false"/>
          <w:sz w:val="22"/>
          <w:szCs w:val="22"/>
        </w:rPr>
        <w:t xml:space="preserve">Three observations worth highlighting. First, the buyer for lines A, B and D is the same company — they can be cross-sold, typically in that order. Second, line C (verification) has a different buyer (the charity itself) and therefore requires a distinct go-to-market motion, but it feeds the funnel for A and D because DajSrce verified charities are the credibility layer the corporate buyers ask for. Third, the gross-margin profile makes the business ARR-dominant rather than services-dominant, even with a meaningful audit and verification component.</w:t>
      </w:r>
    </w:p>
    <w:p>
      <w:r>
        <w:br w:type="page"/>
      </w:r>
    </w:p>
    <w:p>
      <w:pPr>
        <w:pStyle w:val="Heading1"/>
        <w:spacing w:after="180" w:before="300"/>
      </w:pPr>
      <w:r>
        <w:rPr>
          <w:rFonts w:ascii="Arial" w:cs="Arial" w:eastAsia="Arial" w:hAnsi="Arial"/>
          <w:b/>
          <w:bCs/>
          <w:color w:val="1F3864"/>
          <w:sz w:val="32"/>
          <w:szCs w:val="32"/>
        </w:rPr>
        <w:t xml:space="preserve">Part III — TAM / SAM / SOM consolidated</w:t>
      </w:r>
    </w:p>
    <w:p>
      <w:pPr>
        <w:pStyle w:val="Heading2"/>
        <w:spacing w:after="120" w:before="240"/>
      </w:pPr>
      <w:r>
        <w:rPr>
          <w:rFonts w:ascii="Arial" w:cs="Arial" w:eastAsia="Arial" w:hAnsi="Arial"/>
          <w:b/>
          <w:bCs/>
          <w:color w:val="1F3864"/>
          <w:sz w:val="26"/>
          <w:szCs w:val="26"/>
        </w:rPr>
        <w:t xml:space="preserve">1. Definitions and method</w:t>
      </w:r>
    </w:p>
    <w:p>
      <w:pPr>
        <w:spacing w:after="120" w:line="300"/>
        <w:jc w:val="left"/>
      </w:pPr>
      <w:r>
        <w:rPr>
          <w:rFonts w:ascii="Arial" w:cs="Arial" w:eastAsia="Arial" w:hAnsi="Arial"/>
          <w:b w:val="false"/>
          <w:bCs w:val="false"/>
          <w:i w:val="false"/>
          <w:iCs w:val="false"/>
          <w:sz w:val="22"/>
          <w:szCs w:val="22"/>
        </w:rPr>
        <w:t xml:space="preserve">TAM (Total Addressable Market) is the unconstrained revenue that DajSrce would earn if every eligible buyer in a geography paid the reference price, irrespective of distribution reach or product maturity. SAM (Serviceable Addressable Market) is the subset of TAM that DajSrce can realistically reach through its planned go-to-market — i.e. buyers who speak a language we support, are reachable by direct digital marketing or partner channels, and have a demonstrated willingness to pay SaaS pricing. SOM (Serviceable Obtainable Market) is what we expect to close at the horizon year under a base-case attach rate.</w:t>
      </w:r>
    </w:p>
    <w:p>
      <w:pPr>
        <w:spacing w:after="120" w:line="300"/>
        <w:jc w:val="left"/>
      </w:pPr>
      <w:r>
        <w:rPr>
          <w:rFonts w:ascii="Arial" w:cs="Arial" w:eastAsia="Arial" w:hAnsi="Arial"/>
          <w:b w:val="false"/>
          <w:bCs w:val="false"/>
          <w:i w:val="false"/>
          <w:iCs w:val="false"/>
          <w:sz w:val="22"/>
          <w:szCs w:val="22"/>
        </w:rPr>
        <w:t xml:space="preserve">Attach-rate assumptions used below are intentionally conservative: 20% of eligible Enterprise buyers at HR horizon (Y3), 10% mid-market, 2% SMEs, 4% charities, 7% mid-large employers for the Employer Branding seal. CEE-6 horizon (Y5) assumes 10%/4%/0.6%/0.8%/4% respectively; EU27 horizon (Y10) assumes 12%/5%/0.1%/1.2%/6%. Prices used are the mid-point of each tier.</w:t>
      </w:r>
    </w:p>
    <w:p>
      <w:pPr>
        <w:pStyle w:val="Heading2"/>
        <w:spacing w:after="120" w:before="240"/>
      </w:pPr>
      <w:r>
        <w:rPr>
          <w:rFonts w:ascii="Arial" w:cs="Arial" w:eastAsia="Arial" w:hAnsi="Arial"/>
          <w:b/>
          <w:bCs/>
          <w:color w:val="1F3864"/>
          <w:sz w:val="26"/>
          <w:szCs w:val="26"/>
        </w:rPr>
        <w:t xml:space="preserve">2. Croatia — years 1–3 (home market)</w:t>
      </w:r>
    </w:p>
    <w:p>
      <w:pPr>
        <w:spacing w:after="120" w:line="300"/>
        <w:jc w:val="left"/>
      </w:pPr>
      <w:r>
        <w:rPr>
          <w:rFonts w:ascii="Arial" w:cs="Arial" w:eastAsia="Arial" w:hAnsi="Arial"/>
          <w:b w:val="false"/>
          <w:bCs w:val="false"/>
          <w:i w:val="false"/>
          <w:iCs w:val="false"/>
          <w:sz w:val="22"/>
          <w:szCs w:val="22"/>
        </w:rPr>
        <w:t xml:space="preserve">Croatia is the base camp: DajSrce is already operating the platform in Croatian, HANFA is the relevant regulator, and the profit-tax donation deduction gives every Croatian SME an immediate ROI argument. All four revenue lines are live in the HR home market by Year 3.</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600"/>
        <w:gridCol w:w="1700"/>
        <w:gridCol w:w="1700"/>
      </w:tblGrid>
      <w:tr>
        <w:trPr>
          <w:tblHeader/>
        </w:trPr>
        <w:tc>
          <w:tcPr>
            <w:tcW w:type="dxa" w:w="2000"/>
            <w:tcBorders>
              <w:top w:val="single" w:color="BFBFBF" w:sz="4"/>
              <w:left w:val="single" w:color="BFBFBF" w:sz="4"/>
              <w:bottom w:val="single" w:color="BFBFBF" w:sz="4"/>
              <w:right w:val="single" w:color="BFBFBF" w:sz="4"/>
            </w:tcBorders>
            <w:shd w:fill="D9E2F3" w:color="auto" w:val="clear"/>
            <w:tcMar>
              <w:top w:type="dxa" w:w="70"/>
              <w:left w:type="dxa" w:w="110"/>
              <w:bottom w:type="dxa" w:w="70"/>
              <w:right w:type="dxa" w:w="110"/>
            </w:tcMar>
            <w:vAlign w:val="center"/>
          </w:tcPr>
          <w:p>
            <w:pPr>
              <w:spacing w:after="0"/>
              <w:jc w:val="left"/>
            </w:pPr>
            <w:r>
              <w:rPr>
                <w:rFonts w:ascii="Arial" w:cs="Arial" w:eastAsia="Arial" w:hAnsi="Arial"/>
                <w:b/>
                <w:bCs/>
                <w:sz w:val="18"/>
                <w:szCs w:val="18"/>
              </w:rPr>
              <w:t xml:space="preserve">Revenue line</w:t>
            </w:r>
          </w:p>
        </w:tc>
        <w:tc>
          <w:tcPr>
            <w:tcW w:type="dxa" w:w="1600"/>
            <w:tcBorders>
              <w:top w:val="single" w:color="BFBFBF" w:sz="4"/>
              <w:left w:val="single" w:color="BFBFBF" w:sz="4"/>
              <w:bottom w:val="single" w:color="BFBFBF" w:sz="4"/>
              <w:right w:val="single" w:color="BFBFBF" w:sz="4"/>
            </w:tcBorders>
            <w:shd w:fill="D9E2F3" w:color="auto" w:val="clear"/>
            <w:tcMar>
              <w:top w:type="dxa" w:w="70"/>
              <w:left w:type="dxa" w:w="110"/>
              <w:bottom w:type="dxa" w:w="70"/>
              <w:right w:type="dxa" w:w="110"/>
            </w:tcMar>
            <w:vAlign w:val="center"/>
          </w:tcPr>
          <w:p>
            <w:pPr>
              <w:spacing w:after="0"/>
              <w:jc w:val="left"/>
            </w:pPr>
            <w:r>
              <w:rPr>
                <w:rFonts w:ascii="Arial" w:cs="Arial" w:eastAsia="Arial" w:hAnsi="Arial"/>
                <w:b/>
                <w:bCs/>
                <w:sz w:val="18"/>
                <w:szCs w:val="18"/>
              </w:rPr>
              <w:t xml:space="preserve">Buyers (HR)</w:t>
            </w:r>
          </w:p>
        </w:tc>
        <w:tc>
          <w:tcPr>
            <w:tcW w:type="dxa" w:w="1600"/>
            <w:tcBorders>
              <w:top w:val="single" w:color="BFBFBF" w:sz="4"/>
              <w:left w:val="single" w:color="BFBFBF" w:sz="4"/>
              <w:bottom w:val="single" w:color="BFBFBF" w:sz="4"/>
              <w:right w:val="single" w:color="BFBFBF" w:sz="4"/>
            </w:tcBorders>
            <w:shd w:fill="D9E2F3" w:color="auto" w:val="clear"/>
            <w:tcMar>
              <w:top w:type="dxa" w:w="70"/>
              <w:left w:type="dxa" w:w="110"/>
              <w:bottom w:type="dxa" w:w="70"/>
              <w:right w:type="dxa" w:w="110"/>
            </w:tcMar>
            <w:vAlign w:val="center"/>
          </w:tcPr>
          <w:p>
            <w:pPr>
              <w:spacing w:after="0"/>
              <w:jc w:val="left"/>
            </w:pPr>
            <w:r>
              <w:rPr>
                <w:rFonts w:ascii="Arial" w:cs="Arial" w:eastAsia="Arial" w:hAnsi="Arial"/>
                <w:b/>
                <w:bCs/>
                <w:sz w:val="18"/>
                <w:szCs w:val="18"/>
              </w:rPr>
              <w:t xml:space="preserve">TAM (€)</w:t>
            </w:r>
          </w:p>
        </w:tc>
        <w:tc>
          <w:tcPr>
            <w:tcW w:type="dxa" w:w="1700"/>
            <w:tcBorders>
              <w:top w:val="single" w:color="BFBFBF" w:sz="4"/>
              <w:left w:val="single" w:color="BFBFBF" w:sz="4"/>
              <w:bottom w:val="single" w:color="BFBFBF" w:sz="4"/>
              <w:right w:val="single" w:color="BFBFBF" w:sz="4"/>
            </w:tcBorders>
            <w:shd w:fill="D9E2F3" w:color="auto" w:val="clear"/>
            <w:tcMar>
              <w:top w:type="dxa" w:w="70"/>
              <w:left w:type="dxa" w:w="110"/>
              <w:bottom w:type="dxa" w:w="70"/>
              <w:right w:type="dxa" w:w="110"/>
            </w:tcMar>
            <w:vAlign w:val="center"/>
          </w:tcPr>
          <w:p>
            <w:pPr>
              <w:spacing w:after="0"/>
              <w:jc w:val="left"/>
            </w:pPr>
            <w:r>
              <w:rPr>
                <w:rFonts w:ascii="Arial" w:cs="Arial" w:eastAsia="Arial" w:hAnsi="Arial"/>
                <w:b/>
                <w:bCs/>
                <w:sz w:val="18"/>
                <w:szCs w:val="18"/>
              </w:rPr>
              <w:t xml:space="preserve">SAM (€)</w:t>
            </w:r>
          </w:p>
        </w:tc>
        <w:tc>
          <w:tcPr>
            <w:tcW w:type="dxa" w:w="1700"/>
            <w:tcBorders>
              <w:top w:val="single" w:color="BFBFBF" w:sz="4"/>
              <w:left w:val="single" w:color="BFBFBF" w:sz="4"/>
              <w:bottom w:val="single" w:color="BFBFBF" w:sz="4"/>
              <w:right w:val="single" w:color="BFBFBF" w:sz="4"/>
            </w:tcBorders>
            <w:shd w:fill="D9E2F3" w:color="auto" w:val="clear"/>
            <w:tcMar>
              <w:top w:type="dxa" w:w="70"/>
              <w:left w:type="dxa" w:w="110"/>
              <w:bottom w:type="dxa" w:w="70"/>
              <w:right w:type="dxa" w:w="110"/>
            </w:tcMar>
            <w:vAlign w:val="center"/>
          </w:tcPr>
          <w:p>
            <w:pPr>
              <w:spacing w:after="0"/>
              <w:jc w:val="left"/>
            </w:pPr>
            <w:r>
              <w:rPr>
                <w:rFonts w:ascii="Arial" w:cs="Arial" w:eastAsia="Arial" w:hAnsi="Arial"/>
                <w:b/>
                <w:bCs/>
                <w:sz w:val="18"/>
                <w:szCs w:val="18"/>
              </w:rPr>
              <w:t xml:space="preserve">SOM Y3 (€)</w:t>
            </w:r>
          </w:p>
        </w:tc>
      </w:tr>
      <w:tr>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jc w:val="left"/>
            </w:pPr>
            <w:r>
              <w:rPr>
                <w:rFonts w:ascii="Arial" w:cs="Arial" w:eastAsia="Arial" w:hAnsi="Arial"/>
                <w:b w:val="false"/>
                <w:bCs w:val="false"/>
                <w:sz w:val="18"/>
                <w:szCs w:val="18"/>
              </w:rPr>
              <w:t xml:space="preserve">A. ESG/CSR SaaS — Enterprise</w:t>
            </w:r>
          </w:p>
        </w:tc>
        <w:tc>
          <w:tcPr>
            <w:tcW w:type="dxa" w:w="16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jc w:val="left"/>
            </w:pPr>
            <w:r>
              <w:rPr>
                <w:rFonts w:ascii="Arial" w:cs="Arial" w:eastAsia="Arial" w:hAnsi="Arial"/>
                <w:b w:val="false"/>
                <w:bCs w:val="false"/>
                <w:sz w:val="18"/>
                <w:szCs w:val="18"/>
              </w:rPr>
              <w:t xml:space="preserve">~80 large filers</w:t>
            </w:r>
          </w:p>
        </w:tc>
        <w:tc>
          <w:tcPr>
            <w:tcW w:type="dxa" w:w="16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jc w:val="left"/>
            </w:pPr>
            <w:r>
              <w:rPr>
                <w:rFonts w:ascii="Arial" w:cs="Arial" w:eastAsia="Arial" w:hAnsi="Arial"/>
                <w:b w:val="false"/>
                <w:bCs w:val="false"/>
                <w:sz w:val="18"/>
                <w:szCs w:val="18"/>
              </w:rPr>
              <w:t xml:space="preserve">800,000</w:t>
            </w:r>
          </w:p>
        </w:tc>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jc w:val="left"/>
            </w:pPr>
            <w:r>
              <w:rPr>
                <w:rFonts w:ascii="Arial" w:cs="Arial" w:eastAsia="Arial" w:hAnsi="Arial"/>
                <w:b w:val="false"/>
                <w:bCs w:val="false"/>
                <w:sz w:val="18"/>
                <w:szCs w:val="18"/>
              </w:rPr>
              <w:t xml:space="preserve">800,000</w:t>
            </w:r>
          </w:p>
        </w:tc>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jc w:val="left"/>
            </w:pPr>
            <w:r>
              <w:rPr>
                <w:rFonts w:ascii="Arial" w:cs="Arial" w:eastAsia="Arial" w:hAnsi="Arial"/>
                <w:b w:val="false"/>
                <w:bCs w:val="false"/>
                <w:sz w:val="18"/>
                <w:szCs w:val="18"/>
              </w:rPr>
              <w:t xml:space="preserve">120,000</w:t>
            </w:r>
          </w:p>
        </w:tc>
      </w:tr>
      <w:tr>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jc w:val="left"/>
            </w:pPr>
            <w:r>
              <w:rPr>
                <w:rFonts w:ascii="Arial" w:cs="Arial" w:eastAsia="Arial" w:hAnsi="Arial"/>
                <w:b w:val="false"/>
                <w:bCs w:val="false"/>
                <w:sz w:val="18"/>
                <w:szCs w:val="18"/>
              </w:rPr>
              <w:t xml:space="preserve">A. ESG/CSR SaaS — SME</w:t>
            </w:r>
          </w:p>
        </w:tc>
        <w:tc>
          <w:tcPr>
            <w:tcW w:type="dxa" w:w="16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jc w:val="left"/>
            </w:pPr>
            <w:r>
              <w:rPr>
                <w:rFonts w:ascii="Arial" w:cs="Arial" w:eastAsia="Arial" w:hAnsi="Arial"/>
                <w:b w:val="false"/>
                <w:bCs w:val="false"/>
                <w:sz w:val="18"/>
                <w:szCs w:val="18"/>
              </w:rPr>
              <w:t xml:space="preserve">~1,500 mid-market</w:t>
            </w:r>
          </w:p>
        </w:tc>
        <w:tc>
          <w:tcPr>
            <w:tcW w:type="dxa" w:w="16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jc w:val="left"/>
            </w:pPr>
            <w:r>
              <w:rPr>
                <w:rFonts w:ascii="Arial" w:cs="Arial" w:eastAsia="Arial" w:hAnsi="Arial"/>
                <w:b w:val="false"/>
                <w:bCs w:val="false"/>
                <w:sz w:val="18"/>
                <w:szCs w:val="18"/>
              </w:rPr>
              <w:t xml:space="preserve">5,250,000</w:t>
            </w:r>
          </w:p>
        </w:tc>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jc w:val="left"/>
            </w:pPr>
            <w:r>
              <w:rPr>
                <w:rFonts w:ascii="Arial" w:cs="Arial" w:eastAsia="Arial" w:hAnsi="Arial"/>
                <w:b w:val="false"/>
                <w:bCs w:val="false"/>
                <w:sz w:val="18"/>
                <w:szCs w:val="18"/>
              </w:rPr>
              <w:t xml:space="preserve">3,000,000</w:t>
            </w:r>
          </w:p>
        </w:tc>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jc w:val="left"/>
            </w:pPr>
            <w:r>
              <w:rPr>
                <w:rFonts w:ascii="Arial" w:cs="Arial" w:eastAsia="Arial" w:hAnsi="Arial"/>
                <w:b w:val="false"/>
                <w:bCs w:val="false"/>
                <w:sz w:val="18"/>
                <w:szCs w:val="18"/>
              </w:rPr>
              <w:t xml:space="preserve">210,000</w:t>
            </w:r>
          </w:p>
        </w:tc>
      </w:tr>
      <w:tr>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jc w:val="left"/>
            </w:pPr>
            <w:r>
              <w:rPr>
                <w:rFonts w:ascii="Arial" w:cs="Arial" w:eastAsia="Arial" w:hAnsi="Arial"/>
                <w:b w:val="false"/>
                <w:bCs w:val="false"/>
                <w:sz w:val="18"/>
                <w:szCs w:val="18"/>
              </w:rPr>
              <w:t xml:space="preserve">A. ESG/CSR SaaS — Starter</w:t>
            </w:r>
          </w:p>
        </w:tc>
        <w:tc>
          <w:tcPr>
            <w:tcW w:type="dxa" w:w="16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jc w:val="left"/>
            </w:pPr>
            <w:r>
              <w:rPr>
                <w:rFonts w:ascii="Arial" w:cs="Arial" w:eastAsia="Arial" w:hAnsi="Arial"/>
                <w:b w:val="false"/>
                <w:bCs w:val="false"/>
                <w:sz w:val="18"/>
                <w:szCs w:val="18"/>
              </w:rPr>
              <w:t xml:space="preserve">~140,000 active SMEs</w:t>
            </w:r>
          </w:p>
        </w:tc>
        <w:tc>
          <w:tcPr>
            <w:tcW w:type="dxa" w:w="16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jc w:val="left"/>
            </w:pPr>
            <w:r>
              <w:rPr>
                <w:rFonts w:ascii="Arial" w:cs="Arial" w:eastAsia="Arial" w:hAnsi="Arial"/>
                <w:b w:val="false"/>
                <w:bCs w:val="false"/>
                <w:sz w:val="18"/>
                <w:szCs w:val="18"/>
              </w:rPr>
              <w:t xml:space="preserve">42,000,000</w:t>
            </w:r>
          </w:p>
        </w:tc>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jc w:val="left"/>
            </w:pPr>
            <w:r>
              <w:rPr>
                <w:rFonts w:ascii="Arial" w:cs="Arial" w:eastAsia="Arial" w:hAnsi="Arial"/>
                <w:b w:val="false"/>
                <w:bCs w:val="false"/>
                <w:sz w:val="18"/>
                <w:szCs w:val="18"/>
              </w:rPr>
              <w:t xml:space="preserve">10,500,000</w:t>
            </w:r>
          </w:p>
        </w:tc>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jc w:val="left"/>
            </w:pPr>
            <w:r>
              <w:rPr>
                <w:rFonts w:ascii="Arial" w:cs="Arial" w:eastAsia="Arial" w:hAnsi="Arial"/>
                <w:b w:val="false"/>
                <w:bCs w:val="false"/>
                <w:sz w:val="18"/>
                <w:szCs w:val="18"/>
              </w:rPr>
              <w:t xml:space="preserve">84,000</w:t>
            </w:r>
          </w:p>
        </w:tc>
      </w:tr>
      <w:tr>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jc w:val="left"/>
            </w:pPr>
            <w:r>
              <w:rPr>
                <w:rFonts w:ascii="Arial" w:cs="Arial" w:eastAsia="Arial" w:hAnsi="Arial"/>
                <w:b w:val="false"/>
                <w:bCs w:val="false"/>
                <w:sz w:val="18"/>
                <w:szCs w:val="18"/>
              </w:rPr>
              <w:t xml:space="preserve">C. Charity verification seal</w:t>
            </w:r>
          </w:p>
        </w:tc>
        <w:tc>
          <w:tcPr>
            <w:tcW w:type="dxa" w:w="16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jc w:val="left"/>
            </w:pPr>
            <w:r>
              <w:rPr>
                <w:rFonts w:ascii="Arial" w:cs="Arial" w:eastAsia="Arial" w:hAnsi="Arial"/>
                <w:b w:val="false"/>
                <w:bCs w:val="false"/>
                <w:sz w:val="18"/>
                <w:szCs w:val="18"/>
              </w:rPr>
              <w:t xml:space="preserve">~10,000 active charities</w:t>
            </w:r>
          </w:p>
        </w:tc>
        <w:tc>
          <w:tcPr>
            <w:tcW w:type="dxa" w:w="16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jc w:val="left"/>
            </w:pPr>
            <w:r>
              <w:rPr>
                <w:rFonts w:ascii="Arial" w:cs="Arial" w:eastAsia="Arial" w:hAnsi="Arial"/>
                <w:b w:val="false"/>
                <w:bCs w:val="false"/>
                <w:sz w:val="18"/>
                <w:szCs w:val="18"/>
              </w:rPr>
              <w:t xml:space="preserve">5,000,000</w:t>
            </w:r>
          </w:p>
        </w:tc>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jc w:val="left"/>
            </w:pPr>
            <w:r>
              <w:rPr>
                <w:rFonts w:ascii="Arial" w:cs="Arial" w:eastAsia="Arial" w:hAnsi="Arial"/>
                <w:b w:val="false"/>
                <w:bCs w:val="false"/>
                <w:sz w:val="18"/>
                <w:szCs w:val="18"/>
              </w:rPr>
              <w:t xml:space="preserve">1,500,000</w:t>
            </w:r>
          </w:p>
        </w:tc>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jc w:val="left"/>
            </w:pPr>
            <w:r>
              <w:rPr>
                <w:rFonts w:ascii="Arial" w:cs="Arial" w:eastAsia="Arial" w:hAnsi="Arial"/>
                <w:b w:val="false"/>
                <w:bCs w:val="false"/>
                <w:sz w:val="18"/>
                <w:szCs w:val="18"/>
              </w:rPr>
              <w:t xml:space="preserve">120,000</w:t>
            </w:r>
          </w:p>
        </w:tc>
      </w:tr>
      <w:tr>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jc w:val="left"/>
            </w:pPr>
            <w:r>
              <w:rPr>
                <w:rFonts w:ascii="Arial" w:cs="Arial" w:eastAsia="Arial" w:hAnsi="Arial"/>
                <w:b w:val="false"/>
                <w:bCs w:val="false"/>
                <w:sz w:val="18"/>
                <w:szCs w:val="18"/>
              </w:rPr>
              <w:t xml:space="preserve">D. Employer Branding cert</w:t>
            </w:r>
          </w:p>
        </w:tc>
        <w:tc>
          <w:tcPr>
            <w:tcW w:type="dxa" w:w="16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jc w:val="left"/>
            </w:pPr>
            <w:r>
              <w:rPr>
                <w:rFonts w:ascii="Arial" w:cs="Arial" w:eastAsia="Arial" w:hAnsi="Arial"/>
                <w:b w:val="false"/>
                <w:bCs w:val="false"/>
                <w:sz w:val="18"/>
                <w:szCs w:val="18"/>
              </w:rPr>
              <w:t xml:space="preserve">~1,500 mid-large employers</w:t>
            </w:r>
          </w:p>
        </w:tc>
        <w:tc>
          <w:tcPr>
            <w:tcW w:type="dxa" w:w="16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jc w:val="left"/>
            </w:pPr>
            <w:r>
              <w:rPr>
                <w:rFonts w:ascii="Arial" w:cs="Arial" w:eastAsia="Arial" w:hAnsi="Arial"/>
                <w:b w:val="false"/>
                <w:bCs w:val="false"/>
                <w:sz w:val="18"/>
                <w:szCs w:val="18"/>
              </w:rPr>
              <w:t xml:space="preserve">6,000,000</w:t>
            </w:r>
          </w:p>
        </w:tc>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jc w:val="left"/>
            </w:pPr>
            <w:r>
              <w:rPr>
                <w:rFonts w:ascii="Arial" w:cs="Arial" w:eastAsia="Arial" w:hAnsi="Arial"/>
                <w:b w:val="false"/>
                <w:bCs w:val="false"/>
                <w:sz w:val="18"/>
                <w:szCs w:val="18"/>
              </w:rPr>
              <w:t xml:space="preserve">2,000,000</w:t>
            </w:r>
          </w:p>
        </w:tc>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jc w:val="left"/>
            </w:pPr>
            <w:r>
              <w:rPr>
                <w:rFonts w:ascii="Arial" w:cs="Arial" w:eastAsia="Arial" w:hAnsi="Arial"/>
                <w:b w:val="false"/>
                <w:bCs w:val="false"/>
                <w:sz w:val="18"/>
                <w:szCs w:val="18"/>
              </w:rPr>
              <w:t xml:space="preserve">100,000</w:t>
            </w:r>
          </w:p>
        </w:tc>
      </w:tr>
      <w:tr>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jc w:val="left"/>
            </w:pPr>
            <w:r>
              <w:rPr>
                <w:rFonts w:ascii="Arial" w:cs="Arial" w:eastAsia="Arial" w:hAnsi="Arial"/>
                <w:b w:val="false"/>
                <w:bCs w:val="false"/>
                <w:sz w:val="18"/>
                <w:szCs w:val="18"/>
              </w:rPr>
              <w:t xml:space="preserve">TOTAL HR</w:t>
            </w:r>
          </w:p>
        </w:tc>
        <w:tc>
          <w:tcPr>
            <w:tcW w:type="dxa" w:w="16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jc w:val="left"/>
            </w:pPr>
            <w:r>
              <w:rPr>
                <w:rFonts w:ascii="Arial" w:cs="Arial" w:eastAsia="Arial" w:hAnsi="Arial"/>
                <w:b w:val="false"/>
                <w:bCs w:val="false"/>
                <w:sz w:val="18"/>
                <w:szCs w:val="18"/>
              </w:rPr>
              <w:t xml:space="preserve">—</w:t>
            </w:r>
          </w:p>
        </w:tc>
        <w:tc>
          <w:tcPr>
            <w:tcW w:type="dxa" w:w="16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jc w:val="left"/>
            </w:pPr>
            <w:r>
              <w:rPr>
                <w:rFonts w:ascii="Arial" w:cs="Arial" w:eastAsia="Arial" w:hAnsi="Arial"/>
                <w:b w:val="false"/>
                <w:bCs w:val="false"/>
                <w:sz w:val="18"/>
                <w:szCs w:val="18"/>
              </w:rPr>
              <w:t xml:space="preserve">59,050,000</w:t>
            </w:r>
          </w:p>
        </w:tc>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jc w:val="left"/>
            </w:pPr>
            <w:r>
              <w:rPr>
                <w:rFonts w:ascii="Arial" w:cs="Arial" w:eastAsia="Arial" w:hAnsi="Arial"/>
                <w:b w:val="false"/>
                <w:bCs w:val="false"/>
                <w:sz w:val="18"/>
                <w:szCs w:val="18"/>
              </w:rPr>
              <w:t xml:space="preserve">17,800,000</w:t>
            </w:r>
          </w:p>
        </w:tc>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jc w:val="left"/>
            </w:pPr>
            <w:r>
              <w:rPr>
                <w:rFonts w:ascii="Arial" w:cs="Arial" w:eastAsia="Arial" w:hAnsi="Arial"/>
                <w:b w:val="false"/>
                <w:bCs w:val="false"/>
                <w:sz w:val="18"/>
                <w:szCs w:val="18"/>
              </w:rPr>
              <w:t xml:space="preserve">634,000</w:t>
            </w:r>
          </w:p>
        </w:tc>
      </w:tr>
    </w:tbl>
    <w:p>
      <w:pPr>
        <w:spacing w:after="120"/>
      </w:pPr>
      <w:r>
        <w:t xml:space="preserve"/>
      </w:r>
    </w:p>
    <w:p>
      <w:pPr>
        <w:spacing w:after="120" w:line="300"/>
        <w:jc w:val="left"/>
      </w:pPr>
      <w:r>
        <w:rPr>
          <w:rFonts w:ascii="Arial" w:cs="Arial" w:eastAsia="Arial" w:hAnsi="Arial"/>
          <w:b w:val="false"/>
          <w:bCs w:val="false"/>
          <w:i w:val="false"/>
          <w:iCs w:val="false"/>
          <w:sz w:val="22"/>
          <w:szCs w:val="22"/>
        </w:rPr>
        <w:t xml:space="preserve">Takeaway: on conservative attach rates and at the mid-point of each published tier, HR-only SOM at Y3 is approximately EUR 634,000 ARR. Sensitising this with a bull case (2x attach rates on SaaS Enterprise and SME tiers, 1.5x on verification and EB) lifts HR-only SOM to approximately EUR 1.18m; the bear case (0.5x attach) produces approximately EUR 317k. These three scenarios carry through the later geographies.</w:t>
      </w:r>
    </w:p>
    <w:p>
      <w:pPr>
        <w:pStyle w:val="Heading2"/>
        <w:spacing w:after="120" w:before="240"/>
      </w:pPr>
      <w:r>
        <w:rPr>
          <w:rFonts w:ascii="Arial" w:cs="Arial" w:eastAsia="Arial" w:hAnsi="Arial"/>
          <w:b/>
          <w:bCs/>
          <w:color w:val="1F3864"/>
          <w:sz w:val="26"/>
          <w:szCs w:val="26"/>
        </w:rPr>
        <w:t xml:space="preserve">3. CEE-6 — years 3–5 (Slovenia, Romania, Hungary, Czechia, Slovakia, Poland)</w:t>
      </w:r>
    </w:p>
    <w:p>
      <w:pPr>
        <w:spacing w:after="120" w:line="300"/>
        <w:jc w:val="left"/>
      </w:pPr>
      <w:r>
        <w:rPr>
          <w:rFonts w:ascii="Arial" w:cs="Arial" w:eastAsia="Arial" w:hAnsi="Arial"/>
          <w:b w:val="false"/>
          <w:bCs w:val="false"/>
          <w:i w:val="false"/>
          <w:iCs w:val="false"/>
          <w:sz w:val="22"/>
          <w:szCs w:val="22"/>
        </w:rPr>
        <w:t xml:space="preserve">CEE-6 is the natural expansion footprint: shared regulatory heritage via EU accession, similar corporate profit-tax deduction regimes (Slovenia 0.3% for general donations, Romania 0.75%, Hungary 20% of tax base for strategic purposes, Poland 10% for companies), Croatian-language peers in Slovenia and Bosnia, and a much larger SME base. Buyer counts are scaled using Eurostat structural business statistics and EU foundation centre data.</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600"/>
        <w:gridCol w:w="1700"/>
        <w:gridCol w:w="1700"/>
      </w:tblGrid>
      <w:tr>
        <w:trPr>
          <w:tblHeader/>
        </w:trPr>
        <w:tc>
          <w:tcPr>
            <w:tcW w:type="dxa" w:w="2000"/>
            <w:tcBorders>
              <w:top w:val="single" w:color="BFBFBF" w:sz="4"/>
              <w:left w:val="single" w:color="BFBFBF" w:sz="4"/>
              <w:bottom w:val="single" w:color="BFBFBF" w:sz="4"/>
              <w:right w:val="single" w:color="BFBFBF" w:sz="4"/>
            </w:tcBorders>
            <w:shd w:fill="D9E2F3" w:color="auto" w:val="clear"/>
            <w:tcMar>
              <w:top w:type="dxa" w:w="70"/>
              <w:left w:type="dxa" w:w="110"/>
              <w:bottom w:type="dxa" w:w="70"/>
              <w:right w:type="dxa" w:w="110"/>
            </w:tcMar>
            <w:vAlign w:val="center"/>
          </w:tcPr>
          <w:p>
            <w:pPr>
              <w:spacing w:after="0"/>
              <w:jc w:val="left"/>
            </w:pPr>
            <w:r>
              <w:rPr>
                <w:rFonts w:ascii="Arial" w:cs="Arial" w:eastAsia="Arial" w:hAnsi="Arial"/>
                <w:b/>
                <w:bCs/>
                <w:sz w:val="18"/>
                <w:szCs w:val="18"/>
              </w:rPr>
              <w:t xml:space="preserve">Revenue line</w:t>
            </w:r>
          </w:p>
        </w:tc>
        <w:tc>
          <w:tcPr>
            <w:tcW w:type="dxa" w:w="1600"/>
            <w:tcBorders>
              <w:top w:val="single" w:color="BFBFBF" w:sz="4"/>
              <w:left w:val="single" w:color="BFBFBF" w:sz="4"/>
              <w:bottom w:val="single" w:color="BFBFBF" w:sz="4"/>
              <w:right w:val="single" w:color="BFBFBF" w:sz="4"/>
            </w:tcBorders>
            <w:shd w:fill="D9E2F3" w:color="auto" w:val="clear"/>
            <w:tcMar>
              <w:top w:type="dxa" w:w="70"/>
              <w:left w:type="dxa" w:w="110"/>
              <w:bottom w:type="dxa" w:w="70"/>
              <w:right w:type="dxa" w:w="110"/>
            </w:tcMar>
            <w:vAlign w:val="center"/>
          </w:tcPr>
          <w:p>
            <w:pPr>
              <w:spacing w:after="0"/>
              <w:jc w:val="left"/>
            </w:pPr>
            <w:r>
              <w:rPr>
                <w:rFonts w:ascii="Arial" w:cs="Arial" w:eastAsia="Arial" w:hAnsi="Arial"/>
                <w:b/>
                <w:bCs/>
                <w:sz w:val="18"/>
                <w:szCs w:val="18"/>
              </w:rPr>
              <w:t xml:space="preserve">Buyers (CEE-6)</w:t>
            </w:r>
          </w:p>
        </w:tc>
        <w:tc>
          <w:tcPr>
            <w:tcW w:type="dxa" w:w="1600"/>
            <w:tcBorders>
              <w:top w:val="single" w:color="BFBFBF" w:sz="4"/>
              <w:left w:val="single" w:color="BFBFBF" w:sz="4"/>
              <w:bottom w:val="single" w:color="BFBFBF" w:sz="4"/>
              <w:right w:val="single" w:color="BFBFBF" w:sz="4"/>
            </w:tcBorders>
            <w:shd w:fill="D9E2F3" w:color="auto" w:val="clear"/>
            <w:tcMar>
              <w:top w:type="dxa" w:w="70"/>
              <w:left w:type="dxa" w:w="110"/>
              <w:bottom w:type="dxa" w:w="70"/>
              <w:right w:type="dxa" w:w="110"/>
            </w:tcMar>
            <w:vAlign w:val="center"/>
          </w:tcPr>
          <w:p>
            <w:pPr>
              <w:spacing w:after="0"/>
              <w:jc w:val="left"/>
            </w:pPr>
            <w:r>
              <w:rPr>
                <w:rFonts w:ascii="Arial" w:cs="Arial" w:eastAsia="Arial" w:hAnsi="Arial"/>
                <w:b/>
                <w:bCs/>
                <w:sz w:val="18"/>
                <w:szCs w:val="18"/>
              </w:rPr>
              <w:t xml:space="preserve">TAM (€)</w:t>
            </w:r>
          </w:p>
        </w:tc>
        <w:tc>
          <w:tcPr>
            <w:tcW w:type="dxa" w:w="1700"/>
            <w:tcBorders>
              <w:top w:val="single" w:color="BFBFBF" w:sz="4"/>
              <w:left w:val="single" w:color="BFBFBF" w:sz="4"/>
              <w:bottom w:val="single" w:color="BFBFBF" w:sz="4"/>
              <w:right w:val="single" w:color="BFBFBF" w:sz="4"/>
            </w:tcBorders>
            <w:shd w:fill="D9E2F3" w:color="auto" w:val="clear"/>
            <w:tcMar>
              <w:top w:type="dxa" w:w="70"/>
              <w:left w:type="dxa" w:w="110"/>
              <w:bottom w:type="dxa" w:w="70"/>
              <w:right w:type="dxa" w:w="110"/>
            </w:tcMar>
            <w:vAlign w:val="center"/>
          </w:tcPr>
          <w:p>
            <w:pPr>
              <w:spacing w:after="0"/>
              <w:jc w:val="left"/>
            </w:pPr>
            <w:r>
              <w:rPr>
                <w:rFonts w:ascii="Arial" w:cs="Arial" w:eastAsia="Arial" w:hAnsi="Arial"/>
                <w:b/>
                <w:bCs/>
                <w:sz w:val="18"/>
                <w:szCs w:val="18"/>
              </w:rPr>
              <w:t xml:space="preserve">SAM (€)</w:t>
            </w:r>
          </w:p>
        </w:tc>
        <w:tc>
          <w:tcPr>
            <w:tcW w:type="dxa" w:w="1700"/>
            <w:tcBorders>
              <w:top w:val="single" w:color="BFBFBF" w:sz="4"/>
              <w:left w:val="single" w:color="BFBFBF" w:sz="4"/>
              <w:bottom w:val="single" w:color="BFBFBF" w:sz="4"/>
              <w:right w:val="single" w:color="BFBFBF" w:sz="4"/>
            </w:tcBorders>
            <w:shd w:fill="D9E2F3" w:color="auto" w:val="clear"/>
            <w:tcMar>
              <w:top w:type="dxa" w:w="70"/>
              <w:left w:type="dxa" w:w="110"/>
              <w:bottom w:type="dxa" w:w="70"/>
              <w:right w:type="dxa" w:w="110"/>
            </w:tcMar>
            <w:vAlign w:val="center"/>
          </w:tcPr>
          <w:p>
            <w:pPr>
              <w:spacing w:after="0"/>
              <w:jc w:val="left"/>
            </w:pPr>
            <w:r>
              <w:rPr>
                <w:rFonts w:ascii="Arial" w:cs="Arial" w:eastAsia="Arial" w:hAnsi="Arial"/>
                <w:b/>
                <w:bCs/>
                <w:sz w:val="18"/>
                <w:szCs w:val="18"/>
              </w:rPr>
              <w:t xml:space="preserve">SOM Y5 (€)</w:t>
            </w:r>
          </w:p>
        </w:tc>
      </w:tr>
      <w:tr>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jc w:val="left"/>
            </w:pPr>
            <w:r>
              <w:rPr>
                <w:rFonts w:ascii="Arial" w:cs="Arial" w:eastAsia="Arial" w:hAnsi="Arial"/>
                <w:b w:val="false"/>
                <w:bCs w:val="false"/>
                <w:sz w:val="18"/>
                <w:szCs w:val="18"/>
              </w:rPr>
              <w:t xml:space="preserve">A. ESG/CSR SaaS — Enterprise</w:t>
            </w:r>
          </w:p>
        </w:tc>
        <w:tc>
          <w:tcPr>
            <w:tcW w:type="dxa" w:w="16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jc w:val="left"/>
            </w:pPr>
            <w:r>
              <w:rPr>
                <w:rFonts w:ascii="Arial" w:cs="Arial" w:eastAsia="Arial" w:hAnsi="Arial"/>
                <w:b w:val="false"/>
                <w:bCs w:val="false"/>
                <w:sz w:val="18"/>
                <w:szCs w:val="18"/>
              </w:rPr>
              <w:t xml:space="preserve">~1,400 CEE-6 large filers</w:t>
            </w:r>
          </w:p>
        </w:tc>
        <w:tc>
          <w:tcPr>
            <w:tcW w:type="dxa" w:w="16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jc w:val="left"/>
            </w:pPr>
            <w:r>
              <w:rPr>
                <w:rFonts w:ascii="Arial" w:cs="Arial" w:eastAsia="Arial" w:hAnsi="Arial"/>
                <w:b w:val="false"/>
                <w:bCs w:val="false"/>
                <w:sz w:val="18"/>
                <w:szCs w:val="18"/>
              </w:rPr>
              <w:t xml:space="preserve">14,000,000</w:t>
            </w:r>
          </w:p>
        </w:tc>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jc w:val="left"/>
            </w:pPr>
            <w:r>
              <w:rPr>
                <w:rFonts w:ascii="Arial" w:cs="Arial" w:eastAsia="Arial" w:hAnsi="Arial"/>
                <w:b w:val="false"/>
                <w:bCs w:val="false"/>
                <w:sz w:val="18"/>
                <w:szCs w:val="18"/>
              </w:rPr>
              <w:t xml:space="preserve">11,000,000</w:t>
            </w:r>
          </w:p>
        </w:tc>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jc w:val="left"/>
            </w:pPr>
            <w:r>
              <w:rPr>
                <w:rFonts w:ascii="Arial" w:cs="Arial" w:eastAsia="Arial" w:hAnsi="Arial"/>
                <w:b w:val="false"/>
                <w:bCs w:val="false"/>
                <w:sz w:val="18"/>
                <w:szCs w:val="18"/>
              </w:rPr>
              <w:t xml:space="preserve">1,100,000</w:t>
            </w:r>
          </w:p>
        </w:tc>
      </w:tr>
      <w:tr>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jc w:val="left"/>
            </w:pPr>
            <w:r>
              <w:rPr>
                <w:rFonts w:ascii="Arial" w:cs="Arial" w:eastAsia="Arial" w:hAnsi="Arial"/>
                <w:b w:val="false"/>
                <w:bCs w:val="false"/>
                <w:sz w:val="18"/>
                <w:szCs w:val="18"/>
              </w:rPr>
              <w:t xml:space="preserve">A. ESG/CSR SaaS — SME</w:t>
            </w:r>
          </w:p>
        </w:tc>
        <w:tc>
          <w:tcPr>
            <w:tcW w:type="dxa" w:w="16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jc w:val="left"/>
            </w:pPr>
            <w:r>
              <w:rPr>
                <w:rFonts w:ascii="Arial" w:cs="Arial" w:eastAsia="Arial" w:hAnsi="Arial"/>
                <w:b w:val="false"/>
                <w:bCs w:val="false"/>
                <w:sz w:val="18"/>
                <w:szCs w:val="18"/>
              </w:rPr>
              <w:t xml:space="preserve">~55,000 CEE-6 mid-market</w:t>
            </w:r>
          </w:p>
        </w:tc>
        <w:tc>
          <w:tcPr>
            <w:tcW w:type="dxa" w:w="16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jc w:val="left"/>
            </w:pPr>
            <w:r>
              <w:rPr>
                <w:rFonts w:ascii="Arial" w:cs="Arial" w:eastAsia="Arial" w:hAnsi="Arial"/>
                <w:b w:val="false"/>
                <w:bCs w:val="false"/>
                <w:sz w:val="18"/>
                <w:szCs w:val="18"/>
              </w:rPr>
              <w:t xml:space="preserve">192,500,000</w:t>
            </w:r>
          </w:p>
        </w:tc>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jc w:val="left"/>
            </w:pPr>
            <w:r>
              <w:rPr>
                <w:rFonts w:ascii="Arial" w:cs="Arial" w:eastAsia="Arial" w:hAnsi="Arial"/>
                <w:b w:val="false"/>
                <w:bCs w:val="false"/>
                <w:sz w:val="18"/>
                <w:szCs w:val="18"/>
              </w:rPr>
              <w:t xml:space="preserve">82,500,000</w:t>
            </w:r>
          </w:p>
        </w:tc>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jc w:val="left"/>
            </w:pPr>
            <w:r>
              <w:rPr>
                <w:rFonts w:ascii="Arial" w:cs="Arial" w:eastAsia="Arial" w:hAnsi="Arial"/>
                <w:b w:val="false"/>
                <w:bCs w:val="false"/>
                <w:sz w:val="18"/>
                <w:szCs w:val="18"/>
              </w:rPr>
              <w:t xml:space="preserve">3,300,000</w:t>
            </w:r>
          </w:p>
        </w:tc>
      </w:tr>
      <w:tr>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jc w:val="left"/>
            </w:pPr>
            <w:r>
              <w:rPr>
                <w:rFonts w:ascii="Arial" w:cs="Arial" w:eastAsia="Arial" w:hAnsi="Arial"/>
                <w:b w:val="false"/>
                <w:bCs w:val="false"/>
                <w:sz w:val="18"/>
                <w:szCs w:val="18"/>
              </w:rPr>
              <w:t xml:space="preserve">A. ESG/CSR SaaS — Starter</w:t>
            </w:r>
          </w:p>
        </w:tc>
        <w:tc>
          <w:tcPr>
            <w:tcW w:type="dxa" w:w="16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jc w:val="left"/>
            </w:pPr>
            <w:r>
              <w:rPr>
                <w:rFonts w:ascii="Arial" w:cs="Arial" w:eastAsia="Arial" w:hAnsi="Arial"/>
                <w:b w:val="false"/>
                <w:bCs w:val="false"/>
                <w:sz w:val="18"/>
                <w:szCs w:val="18"/>
              </w:rPr>
              <w:t xml:space="preserve">~4.1m CEE-6 SMEs</w:t>
            </w:r>
          </w:p>
        </w:tc>
        <w:tc>
          <w:tcPr>
            <w:tcW w:type="dxa" w:w="16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jc w:val="left"/>
            </w:pPr>
            <w:r>
              <w:rPr>
                <w:rFonts w:ascii="Arial" w:cs="Arial" w:eastAsia="Arial" w:hAnsi="Arial"/>
                <w:b w:val="false"/>
                <w:bCs w:val="false"/>
                <w:sz w:val="18"/>
                <w:szCs w:val="18"/>
              </w:rPr>
              <w:t xml:space="preserve">1,230,000,000</w:t>
            </w:r>
          </w:p>
        </w:tc>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jc w:val="left"/>
            </w:pPr>
            <w:r>
              <w:rPr>
                <w:rFonts w:ascii="Arial" w:cs="Arial" w:eastAsia="Arial" w:hAnsi="Arial"/>
                <w:b w:val="false"/>
                <w:bCs w:val="false"/>
                <w:sz w:val="18"/>
                <w:szCs w:val="18"/>
              </w:rPr>
              <w:t xml:space="preserve">184,500,000</w:t>
            </w:r>
          </w:p>
        </w:tc>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jc w:val="left"/>
            </w:pPr>
            <w:r>
              <w:rPr>
                <w:rFonts w:ascii="Arial" w:cs="Arial" w:eastAsia="Arial" w:hAnsi="Arial"/>
                <w:b w:val="false"/>
                <w:bCs w:val="false"/>
                <w:sz w:val="18"/>
                <w:szCs w:val="18"/>
              </w:rPr>
              <w:t xml:space="preserve">1,107,000</w:t>
            </w:r>
          </w:p>
        </w:tc>
      </w:tr>
      <w:tr>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jc w:val="left"/>
            </w:pPr>
            <w:r>
              <w:rPr>
                <w:rFonts w:ascii="Arial" w:cs="Arial" w:eastAsia="Arial" w:hAnsi="Arial"/>
                <w:b w:val="false"/>
                <w:bCs w:val="false"/>
                <w:sz w:val="18"/>
                <w:szCs w:val="18"/>
              </w:rPr>
              <w:t xml:space="preserve">C. Charity verification seal</w:t>
            </w:r>
          </w:p>
        </w:tc>
        <w:tc>
          <w:tcPr>
            <w:tcW w:type="dxa" w:w="16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jc w:val="left"/>
            </w:pPr>
            <w:r>
              <w:rPr>
                <w:rFonts w:ascii="Arial" w:cs="Arial" w:eastAsia="Arial" w:hAnsi="Arial"/>
                <w:b w:val="false"/>
                <w:bCs w:val="false"/>
                <w:sz w:val="18"/>
                <w:szCs w:val="18"/>
              </w:rPr>
              <w:t xml:space="preserve">~160,000 active CEE-6 charities</w:t>
            </w:r>
          </w:p>
        </w:tc>
        <w:tc>
          <w:tcPr>
            <w:tcW w:type="dxa" w:w="16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jc w:val="left"/>
            </w:pPr>
            <w:r>
              <w:rPr>
                <w:rFonts w:ascii="Arial" w:cs="Arial" w:eastAsia="Arial" w:hAnsi="Arial"/>
                <w:b w:val="false"/>
                <w:bCs w:val="false"/>
                <w:sz w:val="18"/>
                <w:szCs w:val="18"/>
              </w:rPr>
              <w:t xml:space="preserve">120,000,000</w:t>
            </w:r>
          </w:p>
        </w:tc>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jc w:val="left"/>
            </w:pPr>
            <w:r>
              <w:rPr>
                <w:rFonts w:ascii="Arial" w:cs="Arial" w:eastAsia="Arial" w:hAnsi="Arial"/>
                <w:b w:val="false"/>
                <w:bCs w:val="false"/>
                <w:sz w:val="18"/>
                <w:szCs w:val="18"/>
              </w:rPr>
              <w:t xml:space="preserve">32,000,000</w:t>
            </w:r>
          </w:p>
        </w:tc>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jc w:val="left"/>
            </w:pPr>
            <w:r>
              <w:rPr>
                <w:rFonts w:ascii="Arial" w:cs="Arial" w:eastAsia="Arial" w:hAnsi="Arial"/>
                <w:b w:val="false"/>
                <w:bCs w:val="false"/>
                <w:sz w:val="18"/>
                <w:szCs w:val="18"/>
              </w:rPr>
              <w:t xml:space="preserve">1,280,000</w:t>
            </w:r>
          </w:p>
        </w:tc>
      </w:tr>
      <w:tr>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jc w:val="left"/>
            </w:pPr>
            <w:r>
              <w:rPr>
                <w:rFonts w:ascii="Arial" w:cs="Arial" w:eastAsia="Arial" w:hAnsi="Arial"/>
                <w:b w:val="false"/>
                <w:bCs w:val="false"/>
                <w:sz w:val="18"/>
                <w:szCs w:val="18"/>
              </w:rPr>
              <w:t xml:space="preserve">D. Employer Branding cert</w:t>
            </w:r>
          </w:p>
        </w:tc>
        <w:tc>
          <w:tcPr>
            <w:tcW w:type="dxa" w:w="16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jc w:val="left"/>
            </w:pPr>
            <w:r>
              <w:rPr>
                <w:rFonts w:ascii="Arial" w:cs="Arial" w:eastAsia="Arial" w:hAnsi="Arial"/>
                <w:b w:val="false"/>
                <w:bCs w:val="false"/>
                <w:sz w:val="18"/>
                <w:szCs w:val="18"/>
              </w:rPr>
              <w:t xml:space="preserve">~55,000 mid-large employers</w:t>
            </w:r>
          </w:p>
        </w:tc>
        <w:tc>
          <w:tcPr>
            <w:tcW w:type="dxa" w:w="16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jc w:val="left"/>
            </w:pPr>
            <w:r>
              <w:rPr>
                <w:rFonts w:ascii="Arial" w:cs="Arial" w:eastAsia="Arial" w:hAnsi="Arial"/>
                <w:b w:val="false"/>
                <w:bCs w:val="false"/>
                <w:sz w:val="18"/>
                <w:szCs w:val="18"/>
              </w:rPr>
              <w:t xml:space="preserve">220,000,000</w:t>
            </w:r>
          </w:p>
        </w:tc>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jc w:val="left"/>
            </w:pPr>
            <w:r>
              <w:rPr>
                <w:rFonts w:ascii="Arial" w:cs="Arial" w:eastAsia="Arial" w:hAnsi="Arial"/>
                <w:b w:val="false"/>
                <w:bCs w:val="false"/>
                <w:sz w:val="18"/>
                <w:szCs w:val="18"/>
              </w:rPr>
              <w:t xml:space="preserve">55,000,000</w:t>
            </w:r>
          </w:p>
        </w:tc>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jc w:val="left"/>
            </w:pPr>
            <w:r>
              <w:rPr>
                <w:rFonts w:ascii="Arial" w:cs="Arial" w:eastAsia="Arial" w:hAnsi="Arial"/>
                <w:b w:val="false"/>
                <w:bCs w:val="false"/>
                <w:sz w:val="18"/>
                <w:szCs w:val="18"/>
              </w:rPr>
              <w:t xml:space="preserve">2,200,000</w:t>
            </w:r>
          </w:p>
        </w:tc>
      </w:tr>
      <w:tr>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jc w:val="left"/>
            </w:pPr>
            <w:r>
              <w:rPr>
                <w:rFonts w:ascii="Arial" w:cs="Arial" w:eastAsia="Arial" w:hAnsi="Arial"/>
                <w:b w:val="false"/>
                <w:bCs w:val="false"/>
                <w:sz w:val="18"/>
                <w:szCs w:val="18"/>
              </w:rPr>
              <w:t xml:space="preserve">TOTAL CEE-6</w:t>
            </w:r>
          </w:p>
        </w:tc>
        <w:tc>
          <w:tcPr>
            <w:tcW w:type="dxa" w:w="16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jc w:val="left"/>
            </w:pPr>
            <w:r>
              <w:rPr>
                <w:rFonts w:ascii="Arial" w:cs="Arial" w:eastAsia="Arial" w:hAnsi="Arial"/>
                <w:b w:val="false"/>
                <w:bCs w:val="false"/>
                <w:sz w:val="18"/>
                <w:szCs w:val="18"/>
              </w:rPr>
              <w:t xml:space="preserve">—</w:t>
            </w:r>
          </w:p>
        </w:tc>
        <w:tc>
          <w:tcPr>
            <w:tcW w:type="dxa" w:w="16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jc w:val="left"/>
            </w:pPr>
            <w:r>
              <w:rPr>
                <w:rFonts w:ascii="Arial" w:cs="Arial" w:eastAsia="Arial" w:hAnsi="Arial"/>
                <w:b w:val="false"/>
                <w:bCs w:val="false"/>
                <w:sz w:val="18"/>
                <w:szCs w:val="18"/>
              </w:rPr>
              <w:t xml:space="preserve">1,776,500,000</w:t>
            </w:r>
          </w:p>
        </w:tc>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jc w:val="left"/>
            </w:pPr>
            <w:r>
              <w:rPr>
                <w:rFonts w:ascii="Arial" w:cs="Arial" w:eastAsia="Arial" w:hAnsi="Arial"/>
                <w:b w:val="false"/>
                <w:bCs w:val="false"/>
                <w:sz w:val="18"/>
                <w:szCs w:val="18"/>
              </w:rPr>
              <w:t xml:space="preserve">365,000,000</w:t>
            </w:r>
          </w:p>
        </w:tc>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jc w:val="left"/>
            </w:pPr>
            <w:r>
              <w:rPr>
                <w:rFonts w:ascii="Arial" w:cs="Arial" w:eastAsia="Arial" w:hAnsi="Arial"/>
                <w:b w:val="false"/>
                <w:bCs w:val="false"/>
                <w:sz w:val="18"/>
                <w:szCs w:val="18"/>
              </w:rPr>
              <w:t xml:space="preserve">8,987,000</w:t>
            </w:r>
          </w:p>
        </w:tc>
      </w:tr>
    </w:tbl>
    <w:p>
      <w:pPr>
        <w:spacing w:after="120"/>
      </w:pPr>
      <w:r>
        <w:t xml:space="preserve"/>
      </w:r>
    </w:p>
    <w:p>
      <w:pPr>
        <w:spacing w:after="120" w:line="300"/>
        <w:jc w:val="left"/>
      </w:pPr>
      <w:r>
        <w:rPr>
          <w:rFonts w:ascii="Arial" w:cs="Arial" w:eastAsia="Arial" w:hAnsi="Arial"/>
          <w:b w:val="false"/>
          <w:bCs w:val="false"/>
          <w:i w:val="false"/>
          <w:iCs w:val="false"/>
          <w:sz w:val="22"/>
          <w:szCs w:val="22"/>
        </w:rPr>
        <w:t xml:space="preserve">Takeaway: CEE-6 SOM at Y5 is approximately EUR 9m ARR in the base case, with substantially larger bull-case outcomes (up to EUR 18m) if a single large tax-advisor or bank partnership materialises. CEE-6 is where the Employer Branding seal starts to matter materially in absolute euros, because the buyer population is 35x the Croatian base.</w:t>
      </w:r>
    </w:p>
    <w:p>
      <w:pPr>
        <w:pStyle w:val="Heading2"/>
        <w:spacing w:after="120" w:before="240"/>
      </w:pPr>
      <w:r>
        <w:rPr>
          <w:rFonts w:ascii="Arial" w:cs="Arial" w:eastAsia="Arial" w:hAnsi="Arial"/>
          <w:b/>
          <w:bCs/>
          <w:color w:val="1F3864"/>
          <w:sz w:val="26"/>
          <w:szCs w:val="26"/>
        </w:rPr>
        <w:t xml:space="preserve">4. EU27 — years 5+ (long horizon)</w:t>
      </w:r>
    </w:p>
    <w:p>
      <w:pPr>
        <w:spacing w:after="120" w:line="300"/>
        <w:jc w:val="left"/>
      </w:pPr>
      <w:r>
        <w:rPr>
          <w:rFonts w:ascii="Arial" w:cs="Arial" w:eastAsia="Arial" w:hAnsi="Arial"/>
          <w:b w:val="false"/>
          <w:bCs w:val="false"/>
          <w:i w:val="false"/>
          <w:iCs w:val="false"/>
          <w:sz w:val="22"/>
          <w:szCs w:val="22"/>
        </w:rPr>
        <w:t xml:space="preserve">EU27 is a long-horizon play that only makes sense after the product line has proven itself in CEE-6 and after a clear partner distribution strategy (accountancy networks, banking channels, industry associations) is in place. The numbers below are for reference and sensitising, not for planning.</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600"/>
        <w:gridCol w:w="1700"/>
        <w:gridCol w:w="1700"/>
      </w:tblGrid>
      <w:tr>
        <w:trPr>
          <w:tblHeader/>
        </w:trPr>
        <w:tc>
          <w:tcPr>
            <w:tcW w:type="dxa" w:w="2000"/>
            <w:tcBorders>
              <w:top w:val="single" w:color="BFBFBF" w:sz="4"/>
              <w:left w:val="single" w:color="BFBFBF" w:sz="4"/>
              <w:bottom w:val="single" w:color="BFBFBF" w:sz="4"/>
              <w:right w:val="single" w:color="BFBFBF" w:sz="4"/>
            </w:tcBorders>
            <w:shd w:fill="D9E2F3" w:color="auto" w:val="clear"/>
            <w:tcMar>
              <w:top w:type="dxa" w:w="70"/>
              <w:left w:type="dxa" w:w="110"/>
              <w:bottom w:type="dxa" w:w="70"/>
              <w:right w:type="dxa" w:w="110"/>
            </w:tcMar>
            <w:vAlign w:val="center"/>
          </w:tcPr>
          <w:p>
            <w:pPr>
              <w:spacing w:after="0"/>
              <w:jc w:val="left"/>
            </w:pPr>
            <w:r>
              <w:rPr>
                <w:rFonts w:ascii="Arial" w:cs="Arial" w:eastAsia="Arial" w:hAnsi="Arial"/>
                <w:b/>
                <w:bCs/>
                <w:sz w:val="18"/>
                <w:szCs w:val="18"/>
              </w:rPr>
              <w:t xml:space="preserve">Revenue line</w:t>
            </w:r>
          </w:p>
        </w:tc>
        <w:tc>
          <w:tcPr>
            <w:tcW w:type="dxa" w:w="1600"/>
            <w:tcBorders>
              <w:top w:val="single" w:color="BFBFBF" w:sz="4"/>
              <w:left w:val="single" w:color="BFBFBF" w:sz="4"/>
              <w:bottom w:val="single" w:color="BFBFBF" w:sz="4"/>
              <w:right w:val="single" w:color="BFBFBF" w:sz="4"/>
            </w:tcBorders>
            <w:shd w:fill="D9E2F3" w:color="auto" w:val="clear"/>
            <w:tcMar>
              <w:top w:type="dxa" w:w="70"/>
              <w:left w:type="dxa" w:w="110"/>
              <w:bottom w:type="dxa" w:w="70"/>
              <w:right w:type="dxa" w:w="110"/>
            </w:tcMar>
            <w:vAlign w:val="center"/>
          </w:tcPr>
          <w:p>
            <w:pPr>
              <w:spacing w:after="0"/>
              <w:jc w:val="left"/>
            </w:pPr>
            <w:r>
              <w:rPr>
                <w:rFonts w:ascii="Arial" w:cs="Arial" w:eastAsia="Arial" w:hAnsi="Arial"/>
                <w:b/>
                <w:bCs/>
                <w:sz w:val="18"/>
                <w:szCs w:val="18"/>
              </w:rPr>
              <w:t xml:space="preserve">Buyers (EU27)</w:t>
            </w:r>
          </w:p>
        </w:tc>
        <w:tc>
          <w:tcPr>
            <w:tcW w:type="dxa" w:w="1600"/>
            <w:tcBorders>
              <w:top w:val="single" w:color="BFBFBF" w:sz="4"/>
              <w:left w:val="single" w:color="BFBFBF" w:sz="4"/>
              <w:bottom w:val="single" w:color="BFBFBF" w:sz="4"/>
              <w:right w:val="single" w:color="BFBFBF" w:sz="4"/>
            </w:tcBorders>
            <w:shd w:fill="D9E2F3" w:color="auto" w:val="clear"/>
            <w:tcMar>
              <w:top w:type="dxa" w:w="70"/>
              <w:left w:type="dxa" w:w="110"/>
              <w:bottom w:type="dxa" w:w="70"/>
              <w:right w:type="dxa" w:w="110"/>
            </w:tcMar>
            <w:vAlign w:val="center"/>
          </w:tcPr>
          <w:p>
            <w:pPr>
              <w:spacing w:after="0"/>
              <w:jc w:val="left"/>
            </w:pPr>
            <w:r>
              <w:rPr>
                <w:rFonts w:ascii="Arial" w:cs="Arial" w:eastAsia="Arial" w:hAnsi="Arial"/>
                <w:b/>
                <w:bCs/>
                <w:sz w:val="18"/>
                <w:szCs w:val="18"/>
              </w:rPr>
              <w:t xml:space="preserve">TAM (€)</w:t>
            </w:r>
          </w:p>
        </w:tc>
        <w:tc>
          <w:tcPr>
            <w:tcW w:type="dxa" w:w="1700"/>
            <w:tcBorders>
              <w:top w:val="single" w:color="BFBFBF" w:sz="4"/>
              <w:left w:val="single" w:color="BFBFBF" w:sz="4"/>
              <w:bottom w:val="single" w:color="BFBFBF" w:sz="4"/>
              <w:right w:val="single" w:color="BFBFBF" w:sz="4"/>
            </w:tcBorders>
            <w:shd w:fill="D9E2F3" w:color="auto" w:val="clear"/>
            <w:tcMar>
              <w:top w:type="dxa" w:w="70"/>
              <w:left w:type="dxa" w:w="110"/>
              <w:bottom w:type="dxa" w:w="70"/>
              <w:right w:type="dxa" w:w="110"/>
            </w:tcMar>
            <w:vAlign w:val="center"/>
          </w:tcPr>
          <w:p>
            <w:pPr>
              <w:spacing w:after="0"/>
              <w:jc w:val="left"/>
            </w:pPr>
            <w:r>
              <w:rPr>
                <w:rFonts w:ascii="Arial" w:cs="Arial" w:eastAsia="Arial" w:hAnsi="Arial"/>
                <w:b/>
                <w:bCs/>
                <w:sz w:val="18"/>
                <w:szCs w:val="18"/>
              </w:rPr>
              <w:t xml:space="preserve">SAM (€)</w:t>
            </w:r>
          </w:p>
        </w:tc>
        <w:tc>
          <w:tcPr>
            <w:tcW w:type="dxa" w:w="1700"/>
            <w:tcBorders>
              <w:top w:val="single" w:color="BFBFBF" w:sz="4"/>
              <w:left w:val="single" w:color="BFBFBF" w:sz="4"/>
              <w:bottom w:val="single" w:color="BFBFBF" w:sz="4"/>
              <w:right w:val="single" w:color="BFBFBF" w:sz="4"/>
            </w:tcBorders>
            <w:shd w:fill="D9E2F3" w:color="auto" w:val="clear"/>
            <w:tcMar>
              <w:top w:type="dxa" w:w="70"/>
              <w:left w:type="dxa" w:w="110"/>
              <w:bottom w:type="dxa" w:w="70"/>
              <w:right w:type="dxa" w:w="110"/>
            </w:tcMar>
            <w:vAlign w:val="center"/>
          </w:tcPr>
          <w:p>
            <w:pPr>
              <w:spacing w:after="0"/>
              <w:jc w:val="left"/>
            </w:pPr>
            <w:r>
              <w:rPr>
                <w:rFonts w:ascii="Arial" w:cs="Arial" w:eastAsia="Arial" w:hAnsi="Arial"/>
                <w:b/>
                <w:bCs/>
                <w:sz w:val="18"/>
                <w:szCs w:val="18"/>
              </w:rPr>
              <w:t xml:space="preserve">SOM Y10 (€)</w:t>
            </w:r>
          </w:p>
        </w:tc>
      </w:tr>
      <w:tr>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jc w:val="left"/>
            </w:pPr>
            <w:r>
              <w:rPr>
                <w:rFonts w:ascii="Arial" w:cs="Arial" w:eastAsia="Arial" w:hAnsi="Arial"/>
                <w:b w:val="false"/>
                <w:bCs w:val="false"/>
                <w:sz w:val="18"/>
                <w:szCs w:val="18"/>
              </w:rPr>
              <w:t xml:space="preserve">A. ESG/CSR SaaS — Enterprise</w:t>
            </w:r>
          </w:p>
        </w:tc>
        <w:tc>
          <w:tcPr>
            <w:tcW w:type="dxa" w:w="16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jc w:val="left"/>
            </w:pPr>
            <w:r>
              <w:rPr>
                <w:rFonts w:ascii="Arial" w:cs="Arial" w:eastAsia="Arial" w:hAnsi="Arial"/>
                <w:b w:val="false"/>
                <w:bCs w:val="false"/>
                <w:sz w:val="18"/>
                <w:szCs w:val="18"/>
              </w:rPr>
              <w:t xml:space="preserve">~7,000 EU27 large filers</w:t>
            </w:r>
          </w:p>
        </w:tc>
        <w:tc>
          <w:tcPr>
            <w:tcW w:type="dxa" w:w="16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jc w:val="left"/>
            </w:pPr>
            <w:r>
              <w:rPr>
                <w:rFonts w:ascii="Arial" w:cs="Arial" w:eastAsia="Arial" w:hAnsi="Arial"/>
                <w:b w:val="false"/>
                <w:bCs w:val="false"/>
                <w:sz w:val="18"/>
                <w:szCs w:val="18"/>
              </w:rPr>
              <w:t xml:space="preserve">70,000,000</w:t>
            </w:r>
          </w:p>
        </w:tc>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jc w:val="left"/>
            </w:pPr>
            <w:r>
              <w:rPr>
                <w:rFonts w:ascii="Arial" w:cs="Arial" w:eastAsia="Arial" w:hAnsi="Arial"/>
                <w:b w:val="false"/>
                <w:bCs w:val="false"/>
                <w:sz w:val="18"/>
                <w:szCs w:val="18"/>
              </w:rPr>
              <w:t xml:space="preserve">42,000,000</w:t>
            </w:r>
          </w:p>
        </w:tc>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jc w:val="left"/>
            </w:pPr>
            <w:r>
              <w:rPr>
                <w:rFonts w:ascii="Arial" w:cs="Arial" w:eastAsia="Arial" w:hAnsi="Arial"/>
                <w:b w:val="false"/>
                <w:bCs w:val="false"/>
                <w:sz w:val="18"/>
                <w:szCs w:val="18"/>
              </w:rPr>
              <w:t xml:space="preserve">8,400,000</w:t>
            </w:r>
          </w:p>
        </w:tc>
      </w:tr>
      <w:tr>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jc w:val="left"/>
            </w:pPr>
            <w:r>
              <w:rPr>
                <w:rFonts w:ascii="Arial" w:cs="Arial" w:eastAsia="Arial" w:hAnsi="Arial"/>
                <w:b w:val="false"/>
                <w:bCs w:val="false"/>
                <w:sz w:val="18"/>
                <w:szCs w:val="18"/>
              </w:rPr>
              <w:t xml:space="preserve">A. ESG/CSR SaaS — SME</w:t>
            </w:r>
          </w:p>
        </w:tc>
        <w:tc>
          <w:tcPr>
            <w:tcW w:type="dxa" w:w="16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jc w:val="left"/>
            </w:pPr>
            <w:r>
              <w:rPr>
                <w:rFonts w:ascii="Arial" w:cs="Arial" w:eastAsia="Arial" w:hAnsi="Arial"/>
                <w:b w:val="false"/>
                <w:bCs w:val="false"/>
                <w:sz w:val="18"/>
                <w:szCs w:val="18"/>
              </w:rPr>
              <w:t xml:space="preserve">~320,000 EU27 mid-market</w:t>
            </w:r>
          </w:p>
        </w:tc>
        <w:tc>
          <w:tcPr>
            <w:tcW w:type="dxa" w:w="16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jc w:val="left"/>
            </w:pPr>
            <w:r>
              <w:rPr>
                <w:rFonts w:ascii="Arial" w:cs="Arial" w:eastAsia="Arial" w:hAnsi="Arial"/>
                <w:b w:val="false"/>
                <w:bCs w:val="false"/>
                <w:sz w:val="18"/>
                <w:szCs w:val="18"/>
              </w:rPr>
              <w:t xml:space="preserve">1,120,000,000</w:t>
            </w:r>
          </w:p>
        </w:tc>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jc w:val="left"/>
            </w:pPr>
            <w:r>
              <w:rPr>
                <w:rFonts w:ascii="Arial" w:cs="Arial" w:eastAsia="Arial" w:hAnsi="Arial"/>
                <w:b w:val="false"/>
                <w:bCs w:val="false"/>
                <w:sz w:val="18"/>
                <w:szCs w:val="18"/>
              </w:rPr>
              <w:t xml:space="preserve">280,000,000</w:t>
            </w:r>
          </w:p>
        </w:tc>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jc w:val="left"/>
            </w:pPr>
            <w:r>
              <w:rPr>
                <w:rFonts w:ascii="Arial" w:cs="Arial" w:eastAsia="Arial" w:hAnsi="Arial"/>
                <w:b w:val="false"/>
                <w:bCs w:val="false"/>
                <w:sz w:val="18"/>
                <w:szCs w:val="18"/>
              </w:rPr>
              <w:t xml:space="preserve">14,000,000</w:t>
            </w:r>
          </w:p>
        </w:tc>
      </w:tr>
      <w:tr>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jc w:val="left"/>
            </w:pPr>
            <w:r>
              <w:rPr>
                <w:rFonts w:ascii="Arial" w:cs="Arial" w:eastAsia="Arial" w:hAnsi="Arial"/>
                <w:b w:val="false"/>
                <w:bCs w:val="false"/>
                <w:sz w:val="18"/>
                <w:szCs w:val="18"/>
              </w:rPr>
              <w:t xml:space="preserve">A. ESG/CSR SaaS — Starter</w:t>
            </w:r>
          </w:p>
        </w:tc>
        <w:tc>
          <w:tcPr>
            <w:tcW w:type="dxa" w:w="16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jc w:val="left"/>
            </w:pPr>
            <w:r>
              <w:rPr>
                <w:rFonts w:ascii="Arial" w:cs="Arial" w:eastAsia="Arial" w:hAnsi="Arial"/>
                <w:b w:val="false"/>
                <w:bCs w:val="false"/>
                <w:sz w:val="18"/>
                <w:szCs w:val="18"/>
              </w:rPr>
              <w:t xml:space="preserve">~24m EU27 SMEs</w:t>
            </w:r>
          </w:p>
        </w:tc>
        <w:tc>
          <w:tcPr>
            <w:tcW w:type="dxa" w:w="16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jc w:val="left"/>
            </w:pPr>
            <w:r>
              <w:rPr>
                <w:rFonts w:ascii="Arial" w:cs="Arial" w:eastAsia="Arial" w:hAnsi="Arial"/>
                <w:b w:val="false"/>
                <w:bCs w:val="false"/>
                <w:sz w:val="18"/>
                <w:szCs w:val="18"/>
              </w:rPr>
              <w:t xml:space="preserve">9,600,000,000</w:t>
            </w:r>
          </w:p>
        </w:tc>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jc w:val="left"/>
            </w:pPr>
            <w:r>
              <w:rPr>
                <w:rFonts w:ascii="Arial" w:cs="Arial" w:eastAsia="Arial" w:hAnsi="Arial"/>
                <w:b w:val="false"/>
                <w:bCs w:val="false"/>
                <w:sz w:val="18"/>
                <w:szCs w:val="18"/>
              </w:rPr>
              <w:t xml:space="preserve">960,000,000</w:t>
            </w:r>
          </w:p>
        </w:tc>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jc w:val="left"/>
            </w:pPr>
            <w:r>
              <w:rPr>
                <w:rFonts w:ascii="Arial" w:cs="Arial" w:eastAsia="Arial" w:hAnsi="Arial"/>
                <w:b w:val="false"/>
                <w:bCs w:val="false"/>
                <w:sz w:val="18"/>
                <w:szCs w:val="18"/>
              </w:rPr>
              <w:t xml:space="preserve">9,600,000</w:t>
            </w:r>
          </w:p>
        </w:tc>
      </w:tr>
      <w:tr>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jc w:val="left"/>
            </w:pPr>
            <w:r>
              <w:rPr>
                <w:rFonts w:ascii="Arial" w:cs="Arial" w:eastAsia="Arial" w:hAnsi="Arial"/>
                <w:b w:val="false"/>
                <w:bCs w:val="false"/>
                <w:sz w:val="18"/>
                <w:szCs w:val="18"/>
              </w:rPr>
              <w:t xml:space="preserve">C. Charity verification seal</w:t>
            </w:r>
          </w:p>
        </w:tc>
        <w:tc>
          <w:tcPr>
            <w:tcW w:type="dxa" w:w="16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jc w:val="left"/>
            </w:pPr>
            <w:r>
              <w:rPr>
                <w:rFonts w:ascii="Arial" w:cs="Arial" w:eastAsia="Arial" w:hAnsi="Arial"/>
                <w:b w:val="false"/>
                <w:bCs w:val="false"/>
                <w:sz w:val="18"/>
                <w:szCs w:val="18"/>
              </w:rPr>
              <w:t xml:space="preserve">~400,000 active EU27 charities</w:t>
            </w:r>
          </w:p>
        </w:tc>
        <w:tc>
          <w:tcPr>
            <w:tcW w:type="dxa" w:w="16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jc w:val="left"/>
            </w:pPr>
            <w:r>
              <w:rPr>
                <w:rFonts w:ascii="Arial" w:cs="Arial" w:eastAsia="Arial" w:hAnsi="Arial"/>
                <w:b w:val="false"/>
                <w:bCs w:val="false"/>
                <w:sz w:val="18"/>
                <w:szCs w:val="18"/>
              </w:rPr>
              <w:t xml:space="preserve">400,000,000</w:t>
            </w:r>
          </w:p>
        </w:tc>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jc w:val="left"/>
            </w:pPr>
            <w:r>
              <w:rPr>
                <w:rFonts w:ascii="Arial" w:cs="Arial" w:eastAsia="Arial" w:hAnsi="Arial"/>
                <w:b w:val="false"/>
                <w:bCs w:val="false"/>
                <w:sz w:val="18"/>
                <w:szCs w:val="18"/>
              </w:rPr>
              <w:t xml:space="preserve">80,000,000</w:t>
            </w:r>
          </w:p>
        </w:tc>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jc w:val="left"/>
            </w:pPr>
            <w:r>
              <w:rPr>
                <w:rFonts w:ascii="Arial" w:cs="Arial" w:eastAsia="Arial" w:hAnsi="Arial"/>
                <w:b w:val="false"/>
                <w:bCs w:val="false"/>
                <w:sz w:val="18"/>
                <w:szCs w:val="18"/>
              </w:rPr>
              <w:t xml:space="preserve">4,800,000</w:t>
            </w:r>
          </w:p>
        </w:tc>
      </w:tr>
      <w:tr>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jc w:val="left"/>
            </w:pPr>
            <w:r>
              <w:rPr>
                <w:rFonts w:ascii="Arial" w:cs="Arial" w:eastAsia="Arial" w:hAnsi="Arial"/>
                <w:b w:val="false"/>
                <w:bCs w:val="false"/>
                <w:sz w:val="18"/>
                <w:szCs w:val="18"/>
              </w:rPr>
              <w:t xml:space="preserve">D. Employer Branding cert</w:t>
            </w:r>
          </w:p>
        </w:tc>
        <w:tc>
          <w:tcPr>
            <w:tcW w:type="dxa" w:w="16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jc w:val="left"/>
            </w:pPr>
            <w:r>
              <w:rPr>
                <w:rFonts w:ascii="Arial" w:cs="Arial" w:eastAsia="Arial" w:hAnsi="Arial"/>
                <w:b w:val="false"/>
                <w:bCs w:val="false"/>
                <w:sz w:val="18"/>
                <w:szCs w:val="18"/>
              </w:rPr>
              <w:t xml:space="preserve">~320,000 mid-large employers</w:t>
            </w:r>
          </w:p>
        </w:tc>
        <w:tc>
          <w:tcPr>
            <w:tcW w:type="dxa" w:w="16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jc w:val="left"/>
            </w:pPr>
            <w:r>
              <w:rPr>
                <w:rFonts w:ascii="Arial" w:cs="Arial" w:eastAsia="Arial" w:hAnsi="Arial"/>
                <w:b w:val="false"/>
                <w:bCs w:val="false"/>
                <w:sz w:val="18"/>
                <w:szCs w:val="18"/>
              </w:rPr>
              <w:t xml:space="preserve">1,600,000,000</w:t>
            </w:r>
          </w:p>
        </w:tc>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jc w:val="left"/>
            </w:pPr>
            <w:r>
              <w:rPr>
                <w:rFonts w:ascii="Arial" w:cs="Arial" w:eastAsia="Arial" w:hAnsi="Arial"/>
                <w:b w:val="false"/>
                <w:bCs w:val="false"/>
                <w:sz w:val="18"/>
                <w:szCs w:val="18"/>
              </w:rPr>
              <w:t xml:space="preserve">240,000,000</w:t>
            </w:r>
          </w:p>
        </w:tc>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jc w:val="left"/>
            </w:pPr>
            <w:r>
              <w:rPr>
                <w:rFonts w:ascii="Arial" w:cs="Arial" w:eastAsia="Arial" w:hAnsi="Arial"/>
                <w:b w:val="false"/>
                <w:bCs w:val="false"/>
                <w:sz w:val="18"/>
                <w:szCs w:val="18"/>
              </w:rPr>
              <w:t xml:space="preserve">14,400,000</w:t>
            </w:r>
          </w:p>
        </w:tc>
      </w:tr>
      <w:tr>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jc w:val="left"/>
            </w:pPr>
            <w:r>
              <w:rPr>
                <w:rFonts w:ascii="Arial" w:cs="Arial" w:eastAsia="Arial" w:hAnsi="Arial"/>
                <w:b w:val="false"/>
                <w:bCs w:val="false"/>
                <w:sz w:val="18"/>
                <w:szCs w:val="18"/>
              </w:rPr>
              <w:t xml:space="preserve">TOTAL EU27</w:t>
            </w:r>
          </w:p>
        </w:tc>
        <w:tc>
          <w:tcPr>
            <w:tcW w:type="dxa" w:w="16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jc w:val="left"/>
            </w:pPr>
            <w:r>
              <w:rPr>
                <w:rFonts w:ascii="Arial" w:cs="Arial" w:eastAsia="Arial" w:hAnsi="Arial"/>
                <w:b w:val="false"/>
                <w:bCs w:val="false"/>
                <w:sz w:val="18"/>
                <w:szCs w:val="18"/>
              </w:rPr>
              <w:t xml:space="preserve">—</w:t>
            </w:r>
          </w:p>
        </w:tc>
        <w:tc>
          <w:tcPr>
            <w:tcW w:type="dxa" w:w="16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jc w:val="left"/>
            </w:pPr>
            <w:r>
              <w:rPr>
                <w:rFonts w:ascii="Arial" w:cs="Arial" w:eastAsia="Arial" w:hAnsi="Arial"/>
                <w:b w:val="false"/>
                <w:bCs w:val="false"/>
                <w:sz w:val="18"/>
                <w:szCs w:val="18"/>
              </w:rPr>
              <w:t xml:space="preserve">12,790,000,000</w:t>
            </w:r>
          </w:p>
        </w:tc>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jc w:val="left"/>
            </w:pPr>
            <w:r>
              <w:rPr>
                <w:rFonts w:ascii="Arial" w:cs="Arial" w:eastAsia="Arial" w:hAnsi="Arial"/>
                <w:b w:val="false"/>
                <w:bCs w:val="false"/>
                <w:sz w:val="18"/>
                <w:szCs w:val="18"/>
              </w:rPr>
              <w:t xml:space="preserve">1,602,000,000</w:t>
            </w:r>
          </w:p>
        </w:tc>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jc w:val="left"/>
            </w:pPr>
            <w:r>
              <w:rPr>
                <w:rFonts w:ascii="Arial" w:cs="Arial" w:eastAsia="Arial" w:hAnsi="Arial"/>
                <w:b w:val="false"/>
                <w:bCs w:val="false"/>
                <w:sz w:val="18"/>
                <w:szCs w:val="18"/>
              </w:rPr>
              <w:t xml:space="preserve">51,200,000</w:t>
            </w:r>
          </w:p>
        </w:tc>
      </w:tr>
    </w:tbl>
    <w:p>
      <w:pPr>
        <w:spacing w:after="120"/>
      </w:pPr>
      <w:r>
        <w:t xml:space="preserve"/>
      </w:r>
    </w:p>
    <w:p>
      <w:pPr>
        <w:spacing w:after="120" w:line="300"/>
        <w:jc w:val="left"/>
      </w:pPr>
      <w:r>
        <w:rPr>
          <w:rFonts w:ascii="Arial" w:cs="Arial" w:eastAsia="Arial" w:hAnsi="Arial"/>
          <w:b w:val="false"/>
          <w:bCs w:val="false"/>
          <w:i w:val="false"/>
          <w:iCs w:val="false"/>
          <w:sz w:val="22"/>
          <w:szCs w:val="22"/>
        </w:rPr>
        <w:t xml:space="preserve">Takeaway: EU27 SOM at Y10 is approximately EUR 51m ARR under a deliberately conservative set of attach assumptions. This is not a forecast — it is a ceiling reminder that the opportunity justifies the upstream investment in localisation, partner channels, and audit-grade evidence. Bull-case EU27 outcomes (dominant position in the Starter SKU, displacing horizontal ESG vendors) could reach EUR 150–200m ARR; bear-case outcomes (incumbents respond and compress pricing) sit around EUR 25m.</w:t>
      </w:r>
    </w:p>
    <w:p>
      <w:r>
        <w:br w:type="page"/>
      </w:r>
    </w:p>
    <w:p>
      <w:pPr>
        <w:pStyle w:val="Heading1"/>
        <w:spacing w:after="180" w:before="300"/>
      </w:pPr>
      <w:r>
        <w:rPr>
          <w:rFonts w:ascii="Arial" w:cs="Arial" w:eastAsia="Arial" w:hAnsi="Arial"/>
          <w:b/>
          <w:bCs/>
          <w:color w:val="1F3864"/>
          <w:sz w:val="32"/>
          <w:szCs w:val="32"/>
        </w:rPr>
        <w:t xml:space="preserve">Part IV — Five-year revenue scenarios</w:t>
      </w:r>
    </w:p>
    <w:p>
      <w:pPr>
        <w:pStyle w:val="Heading2"/>
        <w:spacing w:after="120" w:before="240"/>
      </w:pPr>
      <w:r>
        <w:rPr>
          <w:rFonts w:ascii="Arial" w:cs="Arial" w:eastAsia="Arial" w:hAnsi="Arial"/>
          <w:b/>
          <w:bCs/>
          <w:color w:val="1F3864"/>
          <w:sz w:val="26"/>
          <w:szCs w:val="26"/>
        </w:rPr>
        <w:t xml:space="preserve">1. Scenario definitions</w:t>
      </w:r>
    </w:p>
    <w:p>
      <w:pPr>
        <w:pStyle w:val="ListParagraph"/>
        <w:numPr>
          <w:ilvl w:val="0"/>
          <w:numId w:val="2"/>
        </w:numPr>
        <w:spacing w:after="60" w:line="280"/>
      </w:pPr>
      <w:r>
        <w:rPr>
          <w:rFonts w:ascii="Arial" w:cs="Arial" w:eastAsia="Arial" w:hAnsi="Arial"/>
          <w:b/>
          <w:bCs/>
          <w:sz w:val="22"/>
          <w:szCs w:val="22"/>
        </w:rPr>
        <w:t xml:space="preserve">Base case: </w:t>
      </w:r>
      <w:r>
        <w:rPr>
          <w:rFonts w:ascii="Arial" w:cs="Arial" w:eastAsia="Arial" w:hAnsi="Arial"/>
          <w:sz w:val="22"/>
          <w:szCs w:val="22"/>
        </w:rPr>
        <w:t xml:space="preserve">conservative attach rates as modelled above. Assumes organic growth in HR, partner-light entry in CEE-6 starting Y3, no major incumbent response. Roughly the current trajectory extrapolated with modest execution.</w:t>
      </w:r>
    </w:p>
    <w:p>
      <w:pPr>
        <w:pStyle w:val="ListParagraph"/>
        <w:numPr>
          <w:ilvl w:val="0"/>
          <w:numId w:val="2"/>
        </w:numPr>
        <w:spacing w:after="60" w:line="280"/>
      </w:pPr>
      <w:r>
        <w:rPr>
          <w:rFonts w:ascii="Arial" w:cs="Arial" w:eastAsia="Arial" w:hAnsi="Arial"/>
          <w:b/>
          <w:bCs/>
          <w:sz w:val="22"/>
          <w:szCs w:val="22"/>
        </w:rPr>
        <w:t xml:space="preserve">Bull case: </w:t>
      </w:r>
      <w:r>
        <w:rPr>
          <w:rFonts w:ascii="Arial" w:cs="Arial" w:eastAsia="Arial" w:hAnsi="Arial"/>
          <w:sz w:val="22"/>
          <w:szCs w:val="22"/>
        </w:rPr>
        <w:t xml:space="preserve">2x attach on Enterprise and mid-market SaaS, 1.5x on verification and Employer Branding, a single strategic CEE-6 partnership (e.g. a pan-regional bank) closed by end of Year 3. This is the case to model for Series A / strategic investor conversations.</w:t>
      </w:r>
    </w:p>
    <w:p>
      <w:pPr>
        <w:pStyle w:val="ListParagraph"/>
        <w:numPr>
          <w:ilvl w:val="0"/>
          <w:numId w:val="2"/>
        </w:numPr>
        <w:spacing w:after="60" w:line="280"/>
      </w:pPr>
      <w:r>
        <w:rPr>
          <w:rFonts w:ascii="Arial" w:cs="Arial" w:eastAsia="Arial" w:hAnsi="Arial"/>
          <w:b/>
          <w:bCs/>
          <w:sz w:val="22"/>
          <w:szCs w:val="22"/>
        </w:rPr>
        <w:t xml:space="preserve">Bear case: </w:t>
      </w:r>
      <w:r>
        <w:rPr>
          <w:rFonts w:ascii="Arial" w:cs="Arial" w:eastAsia="Arial" w:hAnsi="Arial"/>
          <w:sz w:val="22"/>
          <w:szCs w:val="22"/>
        </w:rPr>
        <w:t xml:space="preserve">0.5x attach across all lines, no partnership closed, one material regulatory or reputational incident that slows verification uptake. This is the case to stress-test runway and covenants against.</w:t>
      </w:r>
    </w:p>
    <w:p>
      <w:pPr>
        <w:pStyle w:val="Heading2"/>
        <w:spacing w:after="120" w:before="240"/>
      </w:pPr>
      <w:r>
        <w:rPr>
          <w:rFonts w:ascii="Arial" w:cs="Arial" w:eastAsia="Arial" w:hAnsi="Arial"/>
          <w:b/>
          <w:bCs/>
          <w:color w:val="1F3864"/>
          <w:sz w:val="26"/>
          <w:szCs w:val="26"/>
        </w:rPr>
        <w:t xml:space="preserve">2. Five-year consolidated revenue</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1200"/>
        <w:gridCol w:w="1200"/>
        <w:gridCol w:w="1200"/>
        <w:gridCol w:w="1200"/>
        <w:gridCol w:w="1200"/>
      </w:tblGrid>
      <w:tr>
        <w:trPr>
          <w:tblHeader/>
        </w:trPr>
        <w:tc>
          <w:tcPr>
            <w:tcW w:type="dxa" w:w="1400"/>
            <w:tcBorders>
              <w:top w:val="single" w:color="BFBFBF" w:sz="4"/>
              <w:left w:val="single" w:color="BFBFBF" w:sz="4"/>
              <w:bottom w:val="single" w:color="BFBFBF" w:sz="4"/>
              <w:right w:val="single" w:color="BFBFBF" w:sz="4"/>
            </w:tcBorders>
            <w:shd w:fill="D9E2F3" w:color="auto" w:val="clear"/>
            <w:tcMar>
              <w:top w:type="dxa" w:w="70"/>
              <w:left w:type="dxa" w:w="110"/>
              <w:bottom w:type="dxa" w:w="70"/>
              <w:right w:type="dxa" w:w="110"/>
            </w:tcMar>
            <w:vAlign w:val="center"/>
          </w:tcPr>
          <w:p>
            <w:pPr>
              <w:spacing w:after="0"/>
              <w:jc w:val="left"/>
            </w:pPr>
            <w:r>
              <w:rPr>
                <w:rFonts w:ascii="Arial" w:cs="Arial" w:eastAsia="Arial" w:hAnsi="Arial"/>
                <w:b/>
                <w:bCs/>
                <w:sz w:val="18"/>
                <w:szCs w:val="18"/>
              </w:rPr>
              <w:t xml:space="preserve">Scenario</w:t>
            </w:r>
          </w:p>
        </w:tc>
        <w:tc>
          <w:tcPr>
            <w:tcW w:type="dxa" w:w="1200"/>
            <w:tcBorders>
              <w:top w:val="single" w:color="BFBFBF" w:sz="4"/>
              <w:left w:val="single" w:color="BFBFBF" w:sz="4"/>
              <w:bottom w:val="single" w:color="BFBFBF" w:sz="4"/>
              <w:right w:val="single" w:color="BFBFBF" w:sz="4"/>
            </w:tcBorders>
            <w:shd w:fill="D9E2F3" w:color="auto" w:val="clear"/>
            <w:tcMar>
              <w:top w:type="dxa" w:w="70"/>
              <w:left w:type="dxa" w:w="110"/>
              <w:bottom w:type="dxa" w:w="70"/>
              <w:right w:type="dxa" w:w="110"/>
            </w:tcMar>
            <w:vAlign w:val="center"/>
          </w:tcPr>
          <w:p>
            <w:pPr>
              <w:spacing w:after="0"/>
              <w:jc w:val="left"/>
            </w:pPr>
            <w:r>
              <w:rPr>
                <w:rFonts w:ascii="Arial" w:cs="Arial" w:eastAsia="Arial" w:hAnsi="Arial"/>
                <w:b/>
                <w:bCs/>
                <w:sz w:val="18"/>
                <w:szCs w:val="18"/>
              </w:rPr>
              <w:t xml:space="preserve">Y1</w:t>
            </w:r>
          </w:p>
        </w:tc>
        <w:tc>
          <w:tcPr>
            <w:tcW w:type="dxa" w:w="1200"/>
            <w:tcBorders>
              <w:top w:val="single" w:color="BFBFBF" w:sz="4"/>
              <w:left w:val="single" w:color="BFBFBF" w:sz="4"/>
              <w:bottom w:val="single" w:color="BFBFBF" w:sz="4"/>
              <w:right w:val="single" w:color="BFBFBF" w:sz="4"/>
            </w:tcBorders>
            <w:shd w:fill="D9E2F3" w:color="auto" w:val="clear"/>
            <w:tcMar>
              <w:top w:type="dxa" w:w="70"/>
              <w:left w:type="dxa" w:w="110"/>
              <w:bottom w:type="dxa" w:w="70"/>
              <w:right w:type="dxa" w:w="110"/>
            </w:tcMar>
            <w:vAlign w:val="center"/>
          </w:tcPr>
          <w:p>
            <w:pPr>
              <w:spacing w:after="0"/>
              <w:jc w:val="left"/>
            </w:pPr>
            <w:r>
              <w:rPr>
                <w:rFonts w:ascii="Arial" w:cs="Arial" w:eastAsia="Arial" w:hAnsi="Arial"/>
                <w:b/>
                <w:bCs/>
                <w:sz w:val="18"/>
                <w:szCs w:val="18"/>
              </w:rPr>
              <w:t xml:space="preserve">Y2</w:t>
            </w:r>
          </w:p>
        </w:tc>
        <w:tc>
          <w:tcPr>
            <w:tcW w:type="dxa" w:w="1200"/>
            <w:tcBorders>
              <w:top w:val="single" w:color="BFBFBF" w:sz="4"/>
              <w:left w:val="single" w:color="BFBFBF" w:sz="4"/>
              <w:bottom w:val="single" w:color="BFBFBF" w:sz="4"/>
              <w:right w:val="single" w:color="BFBFBF" w:sz="4"/>
            </w:tcBorders>
            <w:shd w:fill="D9E2F3" w:color="auto" w:val="clear"/>
            <w:tcMar>
              <w:top w:type="dxa" w:w="70"/>
              <w:left w:type="dxa" w:w="110"/>
              <w:bottom w:type="dxa" w:w="70"/>
              <w:right w:type="dxa" w:w="110"/>
            </w:tcMar>
            <w:vAlign w:val="center"/>
          </w:tcPr>
          <w:p>
            <w:pPr>
              <w:spacing w:after="0"/>
              <w:jc w:val="left"/>
            </w:pPr>
            <w:r>
              <w:rPr>
                <w:rFonts w:ascii="Arial" w:cs="Arial" w:eastAsia="Arial" w:hAnsi="Arial"/>
                <w:b/>
                <w:bCs/>
                <w:sz w:val="18"/>
                <w:szCs w:val="18"/>
              </w:rPr>
              <w:t xml:space="preserve">Y3</w:t>
            </w:r>
          </w:p>
        </w:tc>
        <w:tc>
          <w:tcPr>
            <w:tcW w:type="dxa" w:w="1200"/>
            <w:tcBorders>
              <w:top w:val="single" w:color="BFBFBF" w:sz="4"/>
              <w:left w:val="single" w:color="BFBFBF" w:sz="4"/>
              <w:bottom w:val="single" w:color="BFBFBF" w:sz="4"/>
              <w:right w:val="single" w:color="BFBFBF" w:sz="4"/>
            </w:tcBorders>
            <w:shd w:fill="D9E2F3" w:color="auto" w:val="clear"/>
            <w:tcMar>
              <w:top w:type="dxa" w:w="70"/>
              <w:left w:type="dxa" w:w="110"/>
              <w:bottom w:type="dxa" w:w="70"/>
              <w:right w:type="dxa" w:w="110"/>
            </w:tcMar>
            <w:vAlign w:val="center"/>
          </w:tcPr>
          <w:p>
            <w:pPr>
              <w:spacing w:after="0"/>
              <w:jc w:val="left"/>
            </w:pPr>
            <w:r>
              <w:rPr>
                <w:rFonts w:ascii="Arial" w:cs="Arial" w:eastAsia="Arial" w:hAnsi="Arial"/>
                <w:b/>
                <w:bCs/>
                <w:sz w:val="18"/>
                <w:szCs w:val="18"/>
              </w:rPr>
              <w:t xml:space="preserve">Y4</w:t>
            </w:r>
          </w:p>
        </w:tc>
        <w:tc>
          <w:tcPr>
            <w:tcW w:type="dxa" w:w="1200"/>
            <w:tcBorders>
              <w:top w:val="single" w:color="BFBFBF" w:sz="4"/>
              <w:left w:val="single" w:color="BFBFBF" w:sz="4"/>
              <w:bottom w:val="single" w:color="BFBFBF" w:sz="4"/>
              <w:right w:val="single" w:color="BFBFBF" w:sz="4"/>
            </w:tcBorders>
            <w:shd w:fill="D9E2F3" w:color="auto" w:val="clear"/>
            <w:tcMar>
              <w:top w:type="dxa" w:w="70"/>
              <w:left w:type="dxa" w:w="110"/>
              <w:bottom w:type="dxa" w:w="70"/>
              <w:right w:type="dxa" w:w="110"/>
            </w:tcMar>
            <w:vAlign w:val="center"/>
          </w:tcPr>
          <w:p>
            <w:pPr>
              <w:spacing w:after="0"/>
              <w:jc w:val="left"/>
            </w:pPr>
            <w:r>
              <w:rPr>
                <w:rFonts w:ascii="Arial" w:cs="Arial" w:eastAsia="Arial" w:hAnsi="Arial"/>
                <w:b/>
                <w:bCs/>
                <w:sz w:val="18"/>
                <w:szCs w:val="18"/>
              </w:rPr>
              <w:t xml:space="preserve">Y5</w:t>
            </w:r>
          </w:p>
        </w:tc>
        <w:tc>
          <w:tcPr>
            <w:tcW w:type="dxa" w:w="1200"/>
            <w:tcBorders>
              <w:top w:val="single" w:color="BFBFBF" w:sz="4"/>
              <w:left w:val="single" w:color="BFBFBF" w:sz="4"/>
              <w:bottom w:val="single" w:color="BFBFBF" w:sz="4"/>
              <w:right w:val="single" w:color="BFBFBF" w:sz="4"/>
            </w:tcBorders>
            <w:shd w:fill="D9E2F3" w:color="auto" w:val="clear"/>
            <w:tcMar>
              <w:top w:type="dxa" w:w="70"/>
              <w:left w:type="dxa" w:w="110"/>
              <w:bottom w:type="dxa" w:w="70"/>
              <w:right w:type="dxa" w:w="110"/>
            </w:tcMar>
            <w:vAlign w:val="center"/>
          </w:tcPr>
          <w:p>
            <w:pPr>
              <w:spacing w:after="0"/>
              <w:jc w:val="left"/>
            </w:pPr>
            <w:r>
              <w:rPr>
                <w:rFonts w:ascii="Arial" w:cs="Arial" w:eastAsia="Arial" w:hAnsi="Arial"/>
                <w:b/>
                <w:bCs/>
                <w:sz w:val="18"/>
                <w:szCs w:val="18"/>
              </w:rPr>
              <w:t xml:space="preserve">Y5 split (HR/CEE)</w:t>
            </w:r>
          </w:p>
        </w:tc>
      </w:tr>
      <w:tr>
        <w:tc>
          <w:tcPr>
            <w:tcW w:type="dxa" w:w="14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jc w:val="left"/>
            </w:pPr>
            <w:r>
              <w:rPr>
                <w:rFonts w:ascii="Arial" w:cs="Arial" w:eastAsia="Arial" w:hAnsi="Arial"/>
                <w:b w:val="false"/>
                <w:bCs w:val="false"/>
                <w:sz w:val="18"/>
                <w:szCs w:val="18"/>
              </w:rPr>
              <w:t xml:space="preserve">Base</w:t>
            </w:r>
          </w:p>
        </w:tc>
        <w:tc>
          <w:tcPr>
            <w:tcW w:type="dxa" w:w="12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jc w:val="left"/>
            </w:pPr>
            <w:r>
              <w:rPr>
                <w:rFonts w:ascii="Arial" w:cs="Arial" w:eastAsia="Arial" w:hAnsi="Arial"/>
                <w:b w:val="false"/>
                <w:bCs w:val="false"/>
                <w:sz w:val="18"/>
                <w:szCs w:val="18"/>
              </w:rPr>
              <w:t xml:space="preserve">€95k</w:t>
            </w:r>
          </w:p>
        </w:tc>
        <w:tc>
          <w:tcPr>
            <w:tcW w:type="dxa" w:w="12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jc w:val="left"/>
            </w:pPr>
            <w:r>
              <w:rPr>
                <w:rFonts w:ascii="Arial" w:cs="Arial" w:eastAsia="Arial" w:hAnsi="Arial"/>
                <w:b w:val="false"/>
                <w:bCs w:val="false"/>
                <w:sz w:val="18"/>
                <w:szCs w:val="18"/>
              </w:rPr>
              <w:t xml:space="preserve">€280k</w:t>
            </w:r>
          </w:p>
        </w:tc>
        <w:tc>
          <w:tcPr>
            <w:tcW w:type="dxa" w:w="12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jc w:val="left"/>
            </w:pPr>
            <w:r>
              <w:rPr>
                <w:rFonts w:ascii="Arial" w:cs="Arial" w:eastAsia="Arial" w:hAnsi="Arial"/>
                <w:b w:val="false"/>
                <w:bCs w:val="false"/>
                <w:sz w:val="18"/>
                <w:szCs w:val="18"/>
              </w:rPr>
              <w:t xml:space="preserve">€634k</w:t>
            </w:r>
          </w:p>
        </w:tc>
        <w:tc>
          <w:tcPr>
            <w:tcW w:type="dxa" w:w="12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jc w:val="left"/>
            </w:pPr>
            <w:r>
              <w:rPr>
                <w:rFonts w:ascii="Arial" w:cs="Arial" w:eastAsia="Arial" w:hAnsi="Arial"/>
                <w:b w:val="false"/>
                <w:bCs w:val="false"/>
                <w:sz w:val="18"/>
                <w:szCs w:val="18"/>
              </w:rPr>
              <w:t xml:space="preserve">€2.2m</w:t>
            </w:r>
          </w:p>
        </w:tc>
        <w:tc>
          <w:tcPr>
            <w:tcW w:type="dxa" w:w="12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jc w:val="left"/>
            </w:pPr>
            <w:r>
              <w:rPr>
                <w:rFonts w:ascii="Arial" w:cs="Arial" w:eastAsia="Arial" w:hAnsi="Arial"/>
                <w:b w:val="false"/>
                <w:bCs w:val="false"/>
                <w:sz w:val="18"/>
                <w:szCs w:val="18"/>
              </w:rPr>
              <w:t xml:space="preserve">€9.6m</w:t>
            </w:r>
          </w:p>
        </w:tc>
        <w:tc>
          <w:tcPr>
            <w:tcW w:type="dxa" w:w="12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jc w:val="left"/>
            </w:pPr>
            <w:r>
              <w:rPr>
                <w:rFonts w:ascii="Arial" w:cs="Arial" w:eastAsia="Arial" w:hAnsi="Arial"/>
                <w:b w:val="false"/>
                <w:bCs w:val="false"/>
                <w:sz w:val="18"/>
                <w:szCs w:val="18"/>
              </w:rPr>
              <w:t xml:space="preserve">€0.8m / €8.8m</w:t>
            </w:r>
          </w:p>
        </w:tc>
      </w:tr>
      <w:tr>
        <w:tc>
          <w:tcPr>
            <w:tcW w:type="dxa" w:w="14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jc w:val="left"/>
            </w:pPr>
            <w:r>
              <w:rPr>
                <w:rFonts w:ascii="Arial" w:cs="Arial" w:eastAsia="Arial" w:hAnsi="Arial"/>
                <w:b w:val="false"/>
                <w:bCs w:val="false"/>
                <w:sz w:val="18"/>
                <w:szCs w:val="18"/>
              </w:rPr>
              <w:t xml:space="preserve">Bull</w:t>
            </w:r>
          </w:p>
        </w:tc>
        <w:tc>
          <w:tcPr>
            <w:tcW w:type="dxa" w:w="12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jc w:val="left"/>
            </w:pPr>
            <w:r>
              <w:rPr>
                <w:rFonts w:ascii="Arial" w:cs="Arial" w:eastAsia="Arial" w:hAnsi="Arial"/>
                <w:b w:val="false"/>
                <w:bCs w:val="false"/>
                <w:sz w:val="18"/>
                <w:szCs w:val="18"/>
              </w:rPr>
              <w:t xml:space="preserve">€130k</w:t>
            </w:r>
          </w:p>
        </w:tc>
        <w:tc>
          <w:tcPr>
            <w:tcW w:type="dxa" w:w="12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jc w:val="left"/>
            </w:pPr>
            <w:r>
              <w:rPr>
                <w:rFonts w:ascii="Arial" w:cs="Arial" w:eastAsia="Arial" w:hAnsi="Arial"/>
                <w:b w:val="false"/>
                <w:bCs w:val="false"/>
                <w:sz w:val="18"/>
                <w:szCs w:val="18"/>
              </w:rPr>
              <w:t xml:space="preserve">€420k</w:t>
            </w:r>
          </w:p>
        </w:tc>
        <w:tc>
          <w:tcPr>
            <w:tcW w:type="dxa" w:w="12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jc w:val="left"/>
            </w:pPr>
            <w:r>
              <w:rPr>
                <w:rFonts w:ascii="Arial" w:cs="Arial" w:eastAsia="Arial" w:hAnsi="Arial"/>
                <w:b w:val="false"/>
                <w:bCs w:val="false"/>
                <w:sz w:val="18"/>
                <w:szCs w:val="18"/>
              </w:rPr>
              <w:t xml:space="preserve">€1.18m</w:t>
            </w:r>
          </w:p>
        </w:tc>
        <w:tc>
          <w:tcPr>
            <w:tcW w:type="dxa" w:w="12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jc w:val="left"/>
            </w:pPr>
            <w:r>
              <w:rPr>
                <w:rFonts w:ascii="Arial" w:cs="Arial" w:eastAsia="Arial" w:hAnsi="Arial"/>
                <w:b w:val="false"/>
                <w:bCs w:val="false"/>
                <w:sz w:val="18"/>
                <w:szCs w:val="18"/>
              </w:rPr>
              <w:t xml:space="preserve">€4.6m</w:t>
            </w:r>
          </w:p>
        </w:tc>
        <w:tc>
          <w:tcPr>
            <w:tcW w:type="dxa" w:w="12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jc w:val="left"/>
            </w:pPr>
            <w:r>
              <w:rPr>
                <w:rFonts w:ascii="Arial" w:cs="Arial" w:eastAsia="Arial" w:hAnsi="Arial"/>
                <w:b w:val="false"/>
                <w:bCs w:val="false"/>
                <w:sz w:val="18"/>
                <w:szCs w:val="18"/>
              </w:rPr>
              <w:t xml:space="preserve">€18.4m</w:t>
            </w:r>
          </w:p>
        </w:tc>
        <w:tc>
          <w:tcPr>
            <w:tcW w:type="dxa" w:w="12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jc w:val="left"/>
            </w:pPr>
            <w:r>
              <w:rPr>
                <w:rFonts w:ascii="Arial" w:cs="Arial" w:eastAsia="Arial" w:hAnsi="Arial"/>
                <w:b w:val="false"/>
                <w:bCs w:val="false"/>
                <w:sz w:val="18"/>
                <w:szCs w:val="18"/>
              </w:rPr>
              <w:t xml:space="preserve">€1.3m / €17.1m</w:t>
            </w:r>
          </w:p>
        </w:tc>
      </w:tr>
      <w:tr>
        <w:tc>
          <w:tcPr>
            <w:tcW w:type="dxa" w:w="14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jc w:val="left"/>
            </w:pPr>
            <w:r>
              <w:rPr>
                <w:rFonts w:ascii="Arial" w:cs="Arial" w:eastAsia="Arial" w:hAnsi="Arial"/>
                <w:b w:val="false"/>
                <w:bCs w:val="false"/>
                <w:sz w:val="18"/>
                <w:szCs w:val="18"/>
              </w:rPr>
              <w:t xml:space="preserve">Bear</w:t>
            </w:r>
          </w:p>
        </w:tc>
        <w:tc>
          <w:tcPr>
            <w:tcW w:type="dxa" w:w="12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jc w:val="left"/>
            </w:pPr>
            <w:r>
              <w:rPr>
                <w:rFonts w:ascii="Arial" w:cs="Arial" w:eastAsia="Arial" w:hAnsi="Arial"/>
                <w:b w:val="false"/>
                <w:bCs w:val="false"/>
                <w:sz w:val="18"/>
                <w:szCs w:val="18"/>
              </w:rPr>
              <w:t xml:space="preserve">€55k</w:t>
            </w:r>
          </w:p>
        </w:tc>
        <w:tc>
          <w:tcPr>
            <w:tcW w:type="dxa" w:w="12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jc w:val="left"/>
            </w:pPr>
            <w:r>
              <w:rPr>
                <w:rFonts w:ascii="Arial" w:cs="Arial" w:eastAsia="Arial" w:hAnsi="Arial"/>
                <w:b w:val="false"/>
                <w:bCs w:val="false"/>
                <w:sz w:val="18"/>
                <w:szCs w:val="18"/>
              </w:rPr>
              <w:t xml:space="preserve">€150k</w:t>
            </w:r>
          </w:p>
        </w:tc>
        <w:tc>
          <w:tcPr>
            <w:tcW w:type="dxa" w:w="12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jc w:val="left"/>
            </w:pPr>
            <w:r>
              <w:rPr>
                <w:rFonts w:ascii="Arial" w:cs="Arial" w:eastAsia="Arial" w:hAnsi="Arial"/>
                <w:b w:val="false"/>
                <w:bCs w:val="false"/>
                <w:sz w:val="18"/>
                <w:szCs w:val="18"/>
              </w:rPr>
              <w:t xml:space="preserve">€317k</w:t>
            </w:r>
          </w:p>
        </w:tc>
        <w:tc>
          <w:tcPr>
            <w:tcW w:type="dxa" w:w="12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jc w:val="left"/>
            </w:pPr>
            <w:r>
              <w:rPr>
                <w:rFonts w:ascii="Arial" w:cs="Arial" w:eastAsia="Arial" w:hAnsi="Arial"/>
                <w:b w:val="false"/>
                <w:bCs w:val="false"/>
                <w:sz w:val="18"/>
                <w:szCs w:val="18"/>
              </w:rPr>
              <w:t xml:space="preserve">€1.0m</w:t>
            </w:r>
          </w:p>
        </w:tc>
        <w:tc>
          <w:tcPr>
            <w:tcW w:type="dxa" w:w="12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jc w:val="left"/>
            </w:pPr>
            <w:r>
              <w:rPr>
                <w:rFonts w:ascii="Arial" w:cs="Arial" w:eastAsia="Arial" w:hAnsi="Arial"/>
                <w:b w:val="false"/>
                <w:bCs w:val="false"/>
                <w:sz w:val="18"/>
                <w:szCs w:val="18"/>
              </w:rPr>
              <w:t xml:space="preserve">€4.2m</w:t>
            </w:r>
          </w:p>
        </w:tc>
        <w:tc>
          <w:tcPr>
            <w:tcW w:type="dxa" w:w="12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jc w:val="left"/>
            </w:pPr>
            <w:r>
              <w:rPr>
                <w:rFonts w:ascii="Arial" w:cs="Arial" w:eastAsia="Arial" w:hAnsi="Arial"/>
                <w:b w:val="false"/>
                <w:bCs w:val="false"/>
                <w:sz w:val="18"/>
                <w:szCs w:val="18"/>
              </w:rPr>
              <w:t xml:space="preserve">€0.35m / €3.85m</w:t>
            </w:r>
          </w:p>
        </w:tc>
      </w:tr>
    </w:tbl>
    <w:p>
      <w:pPr>
        <w:spacing w:after="120"/>
      </w:pPr>
      <w:r>
        <w:t xml:space="preserve"/>
      </w:r>
    </w:p>
    <w:p>
      <w:pPr>
        <w:pStyle w:val="Heading2"/>
        <w:spacing w:after="120" w:before="240"/>
      </w:pPr>
      <w:r>
        <w:rPr>
          <w:rFonts w:ascii="Arial" w:cs="Arial" w:eastAsia="Arial" w:hAnsi="Arial"/>
          <w:b/>
          <w:bCs/>
          <w:color w:val="1F3864"/>
          <w:sz w:val="26"/>
          <w:szCs w:val="26"/>
        </w:rPr>
        <w:t xml:space="preserve">3. Year-5 base-case revenue mix by line</w:t>
      </w:r>
    </w:p>
    <w:tbl>
      <w:tblPr>
        <w:tblW w:type="dxa" w:w="780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400"/>
        <w:gridCol w:w="1400"/>
        <w:gridCol w:w="1400"/>
      </w:tblGrid>
      <w:tr>
        <w:trPr>
          <w:tblHeader/>
        </w:trPr>
        <w:tc>
          <w:tcPr>
            <w:tcW w:type="dxa" w:w="2200"/>
            <w:tcBorders>
              <w:top w:val="single" w:color="BFBFBF" w:sz="4"/>
              <w:left w:val="single" w:color="BFBFBF" w:sz="4"/>
              <w:bottom w:val="single" w:color="BFBFBF" w:sz="4"/>
              <w:right w:val="single" w:color="BFBFBF" w:sz="4"/>
            </w:tcBorders>
            <w:shd w:fill="D9E2F3" w:color="auto" w:val="clear"/>
            <w:tcMar>
              <w:top w:type="dxa" w:w="70"/>
              <w:left w:type="dxa" w:w="110"/>
              <w:bottom w:type="dxa" w:w="70"/>
              <w:right w:type="dxa" w:w="110"/>
            </w:tcMar>
            <w:vAlign w:val="center"/>
          </w:tcPr>
          <w:p>
            <w:pPr>
              <w:spacing w:after="0"/>
              <w:jc w:val="left"/>
            </w:pPr>
            <w:r>
              <w:rPr>
                <w:rFonts w:ascii="Arial" w:cs="Arial" w:eastAsia="Arial" w:hAnsi="Arial"/>
                <w:b/>
                <w:bCs/>
                <w:sz w:val="18"/>
                <w:szCs w:val="18"/>
              </w:rPr>
              <w:t xml:space="preserve">Revenue line</w:t>
            </w:r>
          </w:p>
        </w:tc>
        <w:tc>
          <w:tcPr>
            <w:tcW w:type="dxa" w:w="1400"/>
            <w:tcBorders>
              <w:top w:val="single" w:color="BFBFBF" w:sz="4"/>
              <w:left w:val="single" w:color="BFBFBF" w:sz="4"/>
              <w:bottom w:val="single" w:color="BFBFBF" w:sz="4"/>
              <w:right w:val="single" w:color="BFBFBF" w:sz="4"/>
            </w:tcBorders>
            <w:shd w:fill="D9E2F3" w:color="auto" w:val="clear"/>
            <w:tcMar>
              <w:top w:type="dxa" w:w="70"/>
              <w:left w:type="dxa" w:w="110"/>
              <w:bottom w:type="dxa" w:w="70"/>
              <w:right w:type="dxa" w:w="110"/>
            </w:tcMar>
            <w:vAlign w:val="center"/>
          </w:tcPr>
          <w:p>
            <w:pPr>
              <w:spacing w:after="0"/>
              <w:jc w:val="left"/>
            </w:pPr>
            <w:r>
              <w:rPr>
                <w:rFonts w:ascii="Arial" w:cs="Arial" w:eastAsia="Arial" w:hAnsi="Arial"/>
                <w:b/>
                <w:bCs/>
                <w:sz w:val="18"/>
                <w:szCs w:val="18"/>
              </w:rPr>
              <w:t xml:space="preserve">HR €</w:t>
            </w:r>
          </w:p>
        </w:tc>
        <w:tc>
          <w:tcPr>
            <w:tcW w:type="dxa" w:w="1400"/>
            <w:tcBorders>
              <w:top w:val="single" w:color="BFBFBF" w:sz="4"/>
              <w:left w:val="single" w:color="BFBFBF" w:sz="4"/>
              <w:bottom w:val="single" w:color="BFBFBF" w:sz="4"/>
              <w:right w:val="single" w:color="BFBFBF" w:sz="4"/>
            </w:tcBorders>
            <w:shd w:fill="D9E2F3" w:color="auto" w:val="clear"/>
            <w:tcMar>
              <w:top w:type="dxa" w:w="70"/>
              <w:left w:type="dxa" w:w="110"/>
              <w:bottom w:type="dxa" w:w="70"/>
              <w:right w:type="dxa" w:w="110"/>
            </w:tcMar>
            <w:vAlign w:val="center"/>
          </w:tcPr>
          <w:p>
            <w:pPr>
              <w:spacing w:after="0"/>
              <w:jc w:val="left"/>
            </w:pPr>
            <w:r>
              <w:rPr>
                <w:rFonts w:ascii="Arial" w:cs="Arial" w:eastAsia="Arial" w:hAnsi="Arial"/>
                <w:b/>
                <w:bCs/>
                <w:sz w:val="18"/>
                <w:szCs w:val="18"/>
              </w:rPr>
              <w:t xml:space="preserve">CEE-6 €</w:t>
            </w:r>
          </w:p>
        </w:tc>
        <w:tc>
          <w:tcPr>
            <w:tcW w:type="dxa" w:w="1400"/>
            <w:tcBorders>
              <w:top w:val="single" w:color="BFBFBF" w:sz="4"/>
              <w:left w:val="single" w:color="BFBFBF" w:sz="4"/>
              <w:bottom w:val="single" w:color="BFBFBF" w:sz="4"/>
              <w:right w:val="single" w:color="BFBFBF" w:sz="4"/>
            </w:tcBorders>
            <w:shd w:fill="D9E2F3" w:color="auto" w:val="clear"/>
            <w:tcMar>
              <w:top w:type="dxa" w:w="70"/>
              <w:left w:type="dxa" w:w="110"/>
              <w:bottom w:type="dxa" w:w="70"/>
              <w:right w:type="dxa" w:w="110"/>
            </w:tcMar>
            <w:vAlign w:val="center"/>
          </w:tcPr>
          <w:p>
            <w:pPr>
              <w:spacing w:after="0"/>
              <w:jc w:val="left"/>
            </w:pPr>
            <w:r>
              <w:rPr>
                <w:rFonts w:ascii="Arial" w:cs="Arial" w:eastAsia="Arial" w:hAnsi="Arial"/>
                <w:b/>
                <w:bCs/>
                <w:sz w:val="18"/>
                <w:szCs w:val="18"/>
              </w:rPr>
              <w:t xml:space="preserve">Total €</w:t>
            </w:r>
          </w:p>
        </w:tc>
        <w:tc>
          <w:tcPr>
            <w:tcW w:type="dxa" w:w="1400"/>
            <w:tcBorders>
              <w:top w:val="single" w:color="BFBFBF" w:sz="4"/>
              <w:left w:val="single" w:color="BFBFBF" w:sz="4"/>
              <w:bottom w:val="single" w:color="BFBFBF" w:sz="4"/>
              <w:right w:val="single" w:color="BFBFBF" w:sz="4"/>
            </w:tcBorders>
            <w:shd w:fill="D9E2F3" w:color="auto" w:val="clear"/>
            <w:tcMar>
              <w:top w:type="dxa" w:w="70"/>
              <w:left w:type="dxa" w:w="110"/>
              <w:bottom w:type="dxa" w:w="70"/>
              <w:right w:type="dxa" w:w="110"/>
            </w:tcMar>
            <w:vAlign w:val="center"/>
          </w:tcPr>
          <w:p>
            <w:pPr>
              <w:spacing w:after="0"/>
              <w:jc w:val="left"/>
            </w:pPr>
            <w:r>
              <w:rPr>
                <w:rFonts w:ascii="Arial" w:cs="Arial" w:eastAsia="Arial" w:hAnsi="Arial"/>
                <w:b/>
                <w:bCs/>
                <w:sz w:val="18"/>
                <w:szCs w:val="18"/>
              </w:rPr>
              <w:t xml:space="preserve">% of Y5 total</w:t>
            </w:r>
          </w:p>
        </w:tc>
      </w:tr>
      <w:tr>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jc w:val="left"/>
            </w:pPr>
            <w:r>
              <w:rPr>
                <w:rFonts w:ascii="Arial" w:cs="Arial" w:eastAsia="Arial" w:hAnsi="Arial"/>
                <w:b w:val="false"/>
                <w:bCs w:val="false"/>
                <w:sz w:val="18"/>
                <w:szCs w:val="18"/>
              </w:rPr>
              <w:t xml:space="preserve">A. ESG/CSR SaaS — Enterprise</w:t>
            </w:r>
          </w:p>
        </w:tc>
        <w:tc>
          <w:tcPr>
            <w:tcW w:type="dxa" w:w="14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jc w:val="left"/>
            </w:pPr>
            <w:r>
              <w:rPr>
                <w:rFonts w:ascii="Arial" w:cs="Arial" w:eastAsia="Arial" w:hAnsi="Arial"/>
                <w:b w:val="false"/>
                <w:bCs w:val="false"/>
                <w:sz w:val="18"/>
                <w:szCs w:val="18"/>
              </w:rPr>
              <w:t xml:space="preserve">120k</w:t>
            </w:r>
          </w:p>
        </w:tc>
        <w:tc>
          <w:tcPr>
            <w:tcW w:type="dxa" w:w="14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jc w:val="left"/>
            </w:pPr>
            <w:r>
              <w:rPr>
                <w:rFonts w:ascii="Arial" w:cs="Arial" w:eastAsia="Arial" w:hAnsi="Arial"/>
                <w:b w:val="false"/>
                <w:bCs w:val="false"/>
                <w:sz w:val="18"/>
                <w:szCs w:val="18"/>
              </w:rPr>
              <w:t xml:space="preserve">1,100k</w:t>
            </w:r>
          </w:p>
        </w:tc>
        <w:tc>
          <w:tcPr>
            <w:tcW w:type="dxa" w:w="14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jc w:val="left"/>
            </w:pPr>
            <w:r>
              <w:rPr>
                <w:rFonts w:ascii="Arial" w:cs="Arial" w:eastAsia="Arial" w:hAnsi="Arial"/>
                <w:b w:val="false"/>
                <w:bCs w:val="false"/>
                <w:sz w:val="18"/>
                <w:szCs w:val="18"/>
              </w:rPr>
              <w:t xml:space="preserve">1,220k</w:t>
            </w:r>
          </w:p>
        </w:tc>
        <w:tc>
          <w:tcPr>
            <w:tcW w:type="dxa" w:w="14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jc w:val="left"/>
            </w:pPr>
            <w:r>
              <w:rPr>
                <w:rFonts w:ascii="Arial" w:cs="Arial" w:eastAsia="Arial" w:hAnsi="Arial"/>
                <w:b w:val="false"/>
                <w:bCs w:val="false"/>
                <w:sz w:val="18"/>
                <w:szCs w:val="18"/>
              </w:rPr>
              <w:t xml:space="preserve">12.7%</w:t>
            </w:r>
          </w:p>
        </w:tc>
      </w:tr>
      <w:tr>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jc w:val="left"/>
            </w:pPr>
            <w:r>
              <w:rPr>
                <w:rFonts w:ascii="Arial" w:cs="Arial" w:eastAsia="Arial" w:hAnsi="Arial"/>
                <w:b w:val="false"/>
                <w:bCs w:val="false"/>
                <w:sz w:val="18"/>
                <w:szCs w:val="18"/>
              </w:rPr>
              <w:t xml:space="preserve">A. ESG/CSR SaaS — SME</w:t>
            </w:r>
          </w:p>
        </w:tc>
        <w:tc>
          <w:tcPr>
            <w:tcW w:type="dxa" w:w="14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jc w:val="left"/>
            </w:pPr>
            <w:r>
              <w:rPr>
                <w:rFonts w:ascii="Arial" w:cs="Arial" w:eastAsia="Arial" w:hAnsi="Arial"/>
                <w:b w:val="false"/>
                <w:bCs w:val="false"/>
                <w:sz w:val="18"/>
                <w:szCs w:val="18"/>
              </w:rPr>
              <w:t xml:space="preserve">210k</w:t>
            </w:r>
          </w:p>
        </w:tc>
        <w:tc>
          <w:tcPr>
            <w:tcW w:type="dxa" w:w="14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jc w:val="left"/>
            </w:pPr>
            <w:r>
              <w:rPr>
                <w:rFonts w:ascii="Arial" w:cs="Arial" w:eastAsia="Arial" w:hAnsi="Arial"/>
                <w:b w:val="false"/>
                <w:bCs w:val="false"/>
                <w:sz w:val="18"/>
                <w:szCs w:val="18"/>
              </w:rPr>
              <w:t xml:space="preserve">3,300k</w:t>
            </w:r>
          </w:p>
        </w:tc>
        <w:tc>
          <w:tcPr>
            <w:tcW w:type="dxa" w:w="14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jc w:val="left"/>
            </w:pPr>
            <w:r>
              <w:rPr>
                <w:rFonts w:ascii="Arial" w:cs="Arial" w:eastAsia="Arial" w:hAnsi="Arial"/>
                <w:b w:val="false"/>
                <w:bCs w:val="false"/>
                <w:sz w:val="18"/>
                <w:szCs w:val="18"/>
              </w:rPr>
              <w:t xml:space="preserve">3,510k</w:t>
            </w:r>
          </w:p>
        </w:tc>
        <w:tc>
          <w:tcPr>
            <w:tcW w:type="dxa" w:w="14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jc w:val="left"/>
            </w:pPr>
            <w:r>
              <w:rPr>
                <w:rFonts w:ascii="Arial" w:cs="Arial" w:eastAsia="Arial" w:hAnsi="Arial"/>
                <w:b w:val="false"/>
                <w:bCs w:val="false"/>
                <w:sz w:val="18"/>
                <w:szCs w:val="18"/>
              </w:rPr>
              <w:t xml:space="preserve">36.6%</w:t>
            </w:r>
          </w:p>
        </w:tc>
      </w:tr>
      <w:tr>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jc w:val="left"/>
            </w:pPr>
            <w:r>
              <w:rPr>
                <w:rFonts w:ascii="Arial" w:cs="Arial" w:eastAsia="Arial" w:hAnsi="Arial"/>
                <w:b w:val="false"/>
                <w:bCs w:val="false"/>
                <w:sz w:val="18"/>
                <w:szCs w:val="18"/>
              </w:rPr>
              <w:t xml:space="preserve">A. ESG/CSR SaaS — Starter</w:t>
            </w:r>
          </w:p>
        </w:tc>
        <w:tc>
          <w:tcPr>
            <w:tcW w:type="dxa" w:w="14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jc w:val="left"/>
            </w:pPr>
            <w:r>
              <w:rPr>
                <w:rFonts w:ascii="Arial" w:cs="Arial" w:eastAsia="Arial" w:hAnsi="Arial"/>
                <w:b w:val="false"/>
                <w:bCs w:val="false"/>
                <w:sz w:val="18"/>
                <w:szCs w:val="18"/>
              </w:rPr>
              <w:t xml:space="preserve">84k</w:t>
            </w:r>
          </w:p>
        </w:tc>
        <w:tc>
          <w:tcPr>
            <w:tcW w:type="dxa" w:w="14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jc w:val="left"/>
            </w:pPr>
            <w:r>
              <w:rPr>
                <w:rFonts w:ascii="Arial" w:cs="Arial" w:eastAsia="Arial" w:hAnsi="Arial"/>
                <w:b w:val="false"/>
                <w:bCs w:val="false"/>
                <w:sz w:val="18"/>
                <w:szCs w:val="18"/>
              </w:rPr>
              <w:t xml:space="preserve">1,107k</w:t>
            </w:r>
          </w:p>
        </w:tc>
        <w:tc>
          <w:tcPr>
            <w:tcW w:type="dxa" w:w="14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jc w:val="left"/>
            </w:pPr>
            <w:r>
              <w:rPr>
                <w:rFonts w:ascii="Arial" w:cs="Arial" w:eastAsia="Arial" w:hAnsi="Arial"/>
                <w:b w:val="false"/>
                <w:bCs w:val="false"/>
                <w:sz w:val="18"/>
                <w:szCs w:val="18"/>
              </w:rPr>
              <w:t xml:space="preserve">1,191k</w:t>
            </w:r>
          </w:p>
        </w:tc>
        <w:tc>
          <w:tcPr>
            <w:tcW w:type="dxa" w:w="14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jc w:val="left"/>
            </w:pPr>
            <w:r>
              <w:rPr>
                <w:rFonts w:ascii="Arial" w:cs="Arial" w:eastAsia="Arial" w:hAnsi="Arial"/>
                <w:b w:val="false"/>
                <w:bCs w:val="false"/>
                <w:sz w:val="18"/>
                <w:szCs w:val="18"/>
              </w:rPr>
              <w:t xml:space="preserve">12.4%</w:t>
            </w:r>
          </w:p>
        </w:tc>
      </w:tr>
      <w:tr>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jc w:val="left"/>
            </w:pPr>
            <w:r>
              <w:rPr>
                <w:rFonts w:ascii="Arial" w:cs="Arial" w:eastAsia="Arial" w:hAnsi="Arial"/>
                <w:b w:val="false"/>
                <w:bCs w:val="false"/>
                <w:sz w:val="18"/>
                <w:szCs w:val="18"/>
              </w:rPr>
              <w:t xml:space="preserve">C. Charity verification seal</w:t>
            </w:r>
          </w:p>
        </w:tc>
        <w:tc>
          <w:tcPr>
            <w:tcW w:type="dxa" w:w="14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jc w:val="left"/>
            </w:pPr>
            <w:r>
              <w:rPr>
                <w:rFonts w:ascii="Arial" w:cs="Arial" w:eastAsia="Arial" w:hAnsi="Arial"/>
                <w:b w:val="false"/>
                <w:bCs w:val="false"/>
                <w:sz w:val="18"/>
                <w:szCs w:val="18"/>
              </w:rPr>
              <w:t xml:space="preserve">120k</w:t>
            </w:r>
          </w:p>
        </w:tc>
        <w:tc>
          <w:tcPr>
            <w:tcW w:type="dxa" w:w="14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jc w:val="left"/>
            </w:pPr>
            <w:r>
              <w:rPr>
                <w:rFonts w:ascii="Arial" w:cs="Arial" w:eastAsia="Arial" w:hAnsi="Arial"/>
                <w:b w:val="false"/>
                <w:bCs w:val="false"/>
                <w:sz w:val="18"/>
                <w:szCs w:val="18"/>
              </w:rPr>
              <w:t xml:space="preserve">1,280k</w:t>
            </w:r>
          </w:p>
        </w:tc>
        <w:tc>
          <w:tcPr>
            <w:tcW w:type="dxa" w:w="14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jc w:val="left"/>
            </w:pPr>
            <w:r>
              <w:rPr>
                <w:rFonts w:ascii="Arial" w:cs="Arial" w:eastAsia="Arial" w:hAnsi="Arial"/>
                <w:b w:val="false"/>
                <w:bCs w:val="false"/>
                <w:sz w:val="18"/>
                <w:szCs w:val="18"/>
              </w:rPr>
              <w:t xml:space="preserve">1,400k</w:t>
            </w:r>
          </w:p>
        </w:tc>
        <w:tc>
          <w:tcPr>
            <w:tcW w:type="dxa" w:w="14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jc w:val="left"/>
            </w:pPr>
            <w:r>
              <w:rPr>
                <w:rFonts w:ascii="Arial" w:cs="Arial" w:eastAsia="Arial" w:hAnsi="Arial"/>
                <w:b w:val="false"/>
                <w:bCs w:val="false"/>
                <w:sz w:val="18"/>
                <w:szCs w:val="18"/>
              </w:rPr>
              <w:t xml:space="preserve">14.6%</w:t>
            </w:r>
          </w:p>
        </w:tc>
      </w:tr>
      <w:tr>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jc w:val="left"/>
            </w:pPr>
            <w:r>
              <w:rPr>
                <w:rFonts w:ascii="Arial" w:cs="Arial" w:eastAsia="Arial" w:hAnsi="Arial"/>
                <w:b w:val="false"/>
                <w:bCs w:val="false"/>
                <w:sz w:val="18"/>
                <w:szCs w:val="18"/>
              </w:rPr>
              <w:t xml:space="preserve">D. Employer Branding cert</w:t>
            </w:r>
          </w:p>
        </w:tc>
        <w:tc>
          <w:tcPr>
            <w:tcW w:type="dxa" w:w="14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jc w:val="left"/>
            </w:pPr>
            <w:r>
              <w:rPr>
                <w:rFonts w:ascii="Arial" w:cs="Arial" w:eastAsia="Arial" w:hAnsi="Arial"/>
                <w:b w:val="false"/>
                <w:bCs w:val="false"/>
                <w:sz w:val="18"/>
                <w:szCs w:val="18"/>
              </w:rPr>
              <w:t xml:space="preserve">100k</w:t>
            </w:r>
          </w:p>
        </w:tc>
        <w:tc>
          <w:tcPr>
            <w:tcW w:type="dxa" w:w="14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jc w:val="left"/>
            </w:pPr>
            <w:r>
              <w:rPr>
                <w:rFonts w:ascii="Arial" w:cs="Arial" w:eastAsia="Arial" w:hAnsi="Arial"/>
                <w:b w:val="false"/>
                <w:bCs w:val="false"/>
                <w:sz w:val="18"/>
                <w:szCs w:val="18"/>
              </w:rPr>
              <w:t xml:space="preserve">2,200k</w:t>
            </w:r>
          </w:p>
        </w:tc>
        <w:tc>
          <w:tcPr>
            <w:tcW w:type="dxa" w:w="14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jc w:val="left"/>
            </w:pPr>
            <w:r>
              <w:rPr>
                <w:rFonts w:ascii="Arial" w:cs="Arial" w:eastAsia="Arial" w:hAnsi="Arial"/>
                <w:b w:val="false"/>
                <w:bCs w:val="false"/>
                <w:sz w:val="18"/>
                <w:szCs w:val="18"/>
              </w:rPr>
              <w:t xml:space="preserve">2,300k</w:t>
            </w:r>
          </w:p>
        </w:tc>
        <w:tc>
          <w:tcPr>
            <w:tcW w:type="dxa" w:w="14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jc w:val="left"/>
            </w:pPr>
            <w:r>
              <w:rPr>
                <w:rFonts w:ascii="Arial" w:cs="Arial" w:eastAsia="Arial" w:hAnsi="Arial"/>
                <w:b w:val="false"/>
                <w:bCs w:val="false"/>
                <w:sz w:val="18"/>
                <w:szCs w:val="18"/>
              </w:rPr>
              <w:t xml:space="preserve">23.9%</w:t>
            </w:r>
          </w:p>
        </w:tc>
      </w:tr>
      <w:tr>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jc w:val="left"/>
            </w:pPr>
            <w:r>
              <w:rPr>
                <w:rFonts w:ascii="Arial" w:cs="Arial" w:eastAsia="Arial" w:hAnsi="Arial"/>
                <w:b w:val="false"/>
                <w:bCs w:val="false"/>
                <w:sz w:val="18"/>
                <w:szCs w:val="18"/>
              </w:rPr>
              <w:t xml:space="preserve">TOTAL</w:t>
            </w:r>
          </w:p>
        </w:tc>
        <w:tc>
          <w:tcPr>
            <w:tcW w:type="dxa" w:w="14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jc w:val="left"/>
            </w:pPr>
            <w:r>
              <w:rPr>
                <w:rFonts w:ascii="Arial" w:cs="Arial" w:eastAsia="Arial" w:hAnsi="Arial"/>
                <w:b w:val="false"/>
                <w:bCs w:val="false"/>
                <w:sz w:val="18"/>
                <w:szCs w:val="18"/>
              </w:rPr>
              <w:t xml:space="preserve">634k</w:t>
            </w:r>
          </w:p>
        </w:tc>
        <w:tc>
          <w:tcPr>
            <w:tcW w:type="dxa" w:w="14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jc w:val="left"/>
            </w:pPr>
            <w:r>
              <w:rPr>
                <w:rFonts w:ascii="Arial" w:cs="Arial" w:eastAsia="Arial" w:hAnsi="Arial"/>
                <w:b w:val="false"/>
                <w:bCs w:val="false"/>
                <w:sz w:val="18"/>
                <w:szCs w:val="18"/>
              </w:rPr>
              <w:t xml:space="preserve">8,987k</w:t>
            </w:r>
          </w:p>
        </w:tc>
        <w:tc>
          <w:tcPr>
            <w:tcW w:type="dxa" w:w="14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jc w:val="left"/>
            </w:pPr>
            <w:r>
              <w:rPr>
                <w:rFonts w:ascii="Arial" w:cs="Arial" w:eastAsia="Arial" w:hAnsi="Arial"/>
                <w:b w:val="false"/>
                <w:bCs w:val="false"/>
                <w:sz w:val="18"/>
                <w:szCs w:val="18"/>
              </w:rPr>
              <w:t xml:space="preserve">9,621k</w:t>
            </w:r>
          </w:p>
        </w:tc>
        <w:tc>
          <w:tcPr>
            <w:tcW w:type="dxa" w:w="14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jc w:val="left"/>
            </w:pPr>
            <w:r>
              <w:rPr>
                <w:rFonts w:ascii="Arial" w:cs="Arial" w:eastAsia="Arial" w:hAnsi="Arial"/>
                <w:b w:val="false"/>
                <w:bCs w:val="false"/>
                <w:sz w:val="18"/>
                <w:szCs w:val="18"/>
              </w:rPr>
              <w:t xml:space="preserve">100%</w:t>
            </w:r>
          </w:p>
        </w:tc>
      </w:tr>
    </w:tbl>
    <w:p>
      <w:pPr>
        <w:spacing w:after="120"/>
      </w:pPr>
      <w:r>
        <w:t xml:space="preserve"/>
      </w:r>
    </w:p>
    <w:p>
      <w:pPr>
        <w:spacing w:after="120" w:line="300"/>
        <w:jc w:val="left"/>
      </w:pPr>
      <w:r>
        <w:rPr>
          <w:rFonts w:ascii="Arial" w:cs="Arial" w:eastAsia="Arial" w:hAnsi="Arial"/>
          <w:b w:val="false"/>
          <w:bCs w:val="false"/>
          <w:i w:val="false"/>
          <w:iCs w:val="false"/>
          <w:sz w:val="22"/>
          <w:szCs w:val="22"/>
        </w:rPr>
        <w:t xml:space="preserve">At Year 5 in the base case, the Employer Branding certification and the Charity Verification seal together account for roughly 38% of revenue — which is why it is worth building both in parallel rather than treating them as optional extras layered on top of the core ESG SaaS. The SME tier of the SaaS is the single largest line (37%), driven by the profit-tax deduction hook.</w:t>
      </w:r>
    </w:p>
    <w:p>
      <w:pPr>
        <w:pStyle w:val="Heading2"/>
        <w:spacing w:after="120" w:before="240"/>
      </w:pPr>
      <w:r>
        <w:rPr>
          <w:rFonts w:ascii="Arial" w:cs="Arial" w:eastAsia="Arial" w:hAnsi="Arial"/>
          <w:b/>
          <w:bCs/>
          <w:color w:val="1F3864"/>
          <w:sz w:val="26"/>
          <w:szCs w:val="26"/>
        </w:rPr>
        <w:t xml:space="preserve">4. Unit economics</w:t>
      </w:r>
    </w:p>
    <w:p>
      <w:pPr>
        <w:spacing w:after="120" w:line="300"/>
        <w:jc w:val="left"/>
      </w:pPr>
      <w:r>
        <w:rPr>
          <w:rFonts w:ascii="Arial" w:cs="Arial" w:eastAsia="Arial" w:hAnsi="Arial"/>
          <w:b w:val="false"/>
          <w:bCs w:val="false"/>
          <w:i w:val="false"/>
          <w:iCs w:val="false"/>
          <w:sz w:val="22"/>
          <w:szCs w:val="22"/>
        </w:rPr>
        <w:t xml:space="preserve">Modelled unit economics at Y5 base case:</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000"/>
        <w:gridCol w:w="2200"/>
      </w:tblGrid>
      <w:tr>
        <w:trPr>
          <w:tblHeader/>
        </w:trPr>
        <w:tc>
          <w:tcPr>
            <w:tcW w:type="dxa" w:w="2400"/>
            <w:tcBorders>
              <w:top w:val="single" w:color="BFBFBF" w:sz="4"/>
              <w:left w:val="single" w:color="BFBFBF" w:sz="4"/>
              <w:bottom w:val="single" w:color="BFBFBF" w:sz="4"/>
              <w:right w:val="single" w:color="BFBFBF" w:sz="4"/>
            </w:tcBorders>
            <w:shd w:fill="D9E2F3" w:color="auto" w:val="clear"/>
            <w:tcMar>
              <w:top w:type="dxa" w:w="70"/>
              <w:left w:type="dxa" w:w="110"/>
              <w:bottom w:type="dxa" w:w="70"/>
              <w:right w:type="dxa" w:w="110"/>
            </w:tcMar>
            <w:vAlign w:val="center"/>
          </w:tcPr>
          <w:p>
            <w:pPr>
              <w:spacing w:after="0"/>
              <w:jc w:val="left"/>
            </w:pPr>
            <w:r>
              <w:rPr>
                <w:rFonts w:ascii="Arial" w:cs="Arial" w:eastAsia="Arial" w:hAnsi="Arial"/>
                <w:b/>
                <w:bCs/>
                <w:sz w:val="18"/>
                <w:szCs w:val="18"/>
              </w:rPr>
              <w:t xml:space="preserve">Metric</w:t>
            </w:r>
          </w:p>
        </w:tc>
        <w:tc>
          <w:tcPr>
            <w:tcW w:type="dxa" w:w="2000"/>
            <w:tcBorders>
              <w:top w:val="single" w:color="BFBFBF" w:sz="4"/>
              <w:left w:val="single" w:color="BFBFBF" w:sz="4"/>
              <w:bottom w:val="single" w:color="BFBFBF" w:sz="4"/>
              <w:right w:val="single" w:color="BFBFBF" w:sz="4"/>
            </w:tcBorders>
            <w:shd w:fill="D9E2F3" w:color="auto" w:val="clear"/>
            <w:tcMar>
              <w:top w:type="dxa" w:w="70"/>
              <w:left w:type="dxa" w:w="110"/>
              <w:bottom w:type="dxa" w:w="70"/>
              <w:right w:type="dxa" w:w="110"/>
            </w:tcMar>
            <w:vAlign w:val="center"/>
          </w:tcPr>
          <w:p>
            <w:pPr>
              <w:spacing w:after="0"/>
              <w:jc w:val="left"/>
            </w:pPr>
            <w:r>
              <w:rPr>
                <w:rFonts w:ascii="Arial" w:cs="Arial" w:eastAsia="Arial" w:hAnsi="Arial"/>
                <w:b/>
                <w:bCs/>
                <w:sz w:val="18"/>
                <w:szCs w:val="18"/>
              </w:rPr>
              <w:t xml:space="preserve">HR</w:t>
            </w:r>
          </w:p>
        </w:tc>
        <w:tc>
          <w:tcPr>
            <w:tcW w:type="dxa" w:w="2000"/>
            <w:tcBorders>
              <w:top w:val="single" w:color="BFBFBF" w:sz="4"/>
              <w:left w:val="single" w:color="BFBFBF" w:sz="4"/>
              <w:bottom w:val="single" w:color="BFBFBF" w:sz="4"/>
              <w:right w:val="single" w:color="BFBFBF" w:sz="4"/>
            </w:tcBorders>
            <w:shd w:fill="D9E2F3" w:color="auto" w:val="clear"/>
            <w:tcMar>
              <w:top w:type="dxa" w:w="70"/>
              <w:left w:type="dxa" w:w="110"/>
              <w:bottom w:type="dxa" w:w="70"/>
              <w:right w:type="dxa" w:w="110"/>
            </w:tcMar>
            <w:vAlign w:val="center"/>
          </w:tcPr>
          <w:p>
            <w:pPr>
              <w:spacing w:after="0"/>
              <w:jc w:val="left"/>
            </w:pPr>
            <w:r>
              <w:rPr>
                <w:rFonts w:ascii="Arial" w:cs="Arial" w:eastAsia="Arial" w:hAnsi="Arial"/>
                <w:b/>
                <w:bCs/>
                <w:sz w:val="18"/>
                <w:szCs w:val="18"/>
              </w:rPr>
              <w:t xml:space="preserve">CEE-6</w:t>
            </w:r>
          </w:p>
        </w:tc>
        <w:tc>
          <w:tcPr>
            <w:tcW w:type="dxa" w:w="2200"/>
            <w:tcBorders>
              <w:top w:val="single" w:color="BFBFBF" w:sz="4"/>
              <w:left w:val="single" w:color="BFBFBF" w:sz="4"/>
              <w:bottom w:val="single" w:color="BFBFBF" w:sz="4"/>
              <w:right w:val="single" w:color="BFBFBF" w:sz="4"/>
            </w:tcBorders>
            <w:shd w:fill="D9E2F3" w:color="auto" w:val="clear"/>
            <w:tcMar>
              <w:top w:type="dxa" w:w="70"/>
              <w:left w:type="dxa" w:w="110"/>
              <w:bottom w:type="dxa" w:w="70"/>
              <w:right w:type="dxa" w:w="110"/>
            </w:tcMar>
            <w:vAlign w:val="center"/>
          </w:tcPr>
          <w:p>
            <w:pPr>
              <w:spacing w:after="0"/>
              <w:jc w:val="left"/>
            </w:pPr>
            <w:r>
              <w:rPr>
                <w:rFonts w:ascii="Arial" w:cs="Arial" w:eastAsia="Arial" w:hAnsi="Arial"/>
                <w:b/>
                <w:bCs/>
                <w:sz w:val="18"/>
                <w:szCs w:val="18"/>
              </w:rPr>
              <w:t xml:space="preserve">Notes</w:t>
            </w:r>
          </w:p>
        </w:tc>
      </w:tr>
      <w:t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jc w:val="left"/>
            </w:pPr>
            <w:r>
              <w:rPr>
                <w:rFonts w:ascii="Arial" w:cs="Arial" w:eastAsia="Arial" w:hAnsi="Arial"/>
                <w:b w:val="false"/>
                <w:bCs w:val="false"/>
                <w:sz w:val="18"/>
                <w:szCs w:val="18"/>
              </w:rPr>
              <w:t xml:space="preserve">Blended ARPU</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jc w:val="left"/>
            </w:pPr>
            <w:r>
              <w:rPr>
                <w:rFonts w:ascii="Arial" w:cs="Arial" w:eastAsia="Arial" w:hAnsi="Arial"/>
                <w:b w:val="false"/>
                <w:bCs w:val="false"/>
                <w:sz w:val="18"/>
                <w:szCs w:val="18"/>
              </w:rPr>
              <w:t xml:space="preserve">€1,100</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jc w:val="left"/>
            </w:pPr>
            <w:r>
              <w:rPr>
                <w:rFonts w:ascii="Arial" w:cs="Arial" w:eastAsia="Arial" w:hAnsi="Arial"/>
                <w:b w:val="false"/>
                <w:bCs w:val="false"/>
                <w:sz w:val="18"/>
                <w:szCs w:val="18"/>
              </w:rPr>
              <w:t xml:space="preserve">€2,400</w:t>
            </w:r>
          </w:p>
        </w:tc>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jc w:val="left"/>
            </w:pPr>
            <w:r>
              <w:rPr>
                <w:rFonts w:ascii="Arial" w:cs="Arial" w:eastAsia="Arial" w:hAnsi="Arial"/>
                <w:b w:val="false"/>
                <w:bCs w:val="false"/>
                <w:sz w:val="18"/>
                <w:szCs w:val="18"/>
              </w:rPr>
              <w:t xml:space="preserve">CEE-6 weighted toward Enterprise and EB tiers</w:t>
            </w:r>
          </w:p>
        </w:tc>
      </w:tr>
      <w:t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jc w:val="left"/>
            </w:pPr>
            <w:r>
              <w:rPr>
                <w:rFonts w:ascii="Arial" w:cs="Arial" w:eastAsia="Arial" w:hAnsi="Arial"/>
                <w:b w:val="false"/>
                <w:bCs w:val="false"/>
                <w:sz w:val="18"/>
                <w:szCs w:val="18"/>
              </w:rPr>
              <w:t xml:space="preserve">Gross margin</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jc w:val="left"/>
            </w:pPr>
            <w:r>
              <w:rPr>
                <w:rFonts w:ascii="Arial" w:cs="Arial" w:eastAsia="Arial" w:hAnsi="Arial"/>
                <w:b w:val="false"/>
                <w:bCs w:val="false"/>
                <w:sz w:val="18"/>
                <w:szCs w:val="18"/>
              </w:rPr>
              <w:t xml:space="preserve">82%</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jc w:val="left"/>
            </w:pPr>
            <w:r>
              <w:rPr>
                <w:rFonts w:ascii="Arial" w:cs="Arial" w:eastAsia="Arial" w:hAnsi="Arial"/>
                <w:b w:val="false"/>
                <w:bCs w:val="false"/>
                <w:sz w:val="18"/>
                <w:szCs w:val="18"/>
              </w:rPr>
              <w:t xml:space="preserve">78%</w:t>
            </w:r>
          </w:p>
        </w:tc>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jc w:val="left"/>
            </w:pPr>
            <w:r>
              <w:rPr>
                <w:rFonts w:ascii="Arial" w:cs="Arial" w:eastAsia="Arial" w:hAnsi="Arial"/>
                <w:b w:val="false"/>
                <w:bCs w:val="false"/>
                <w:sz w:val="18"/>
                <w:szCs w:val="18"/>
              </w:rPr>
              <w:t xml:space="preserve">Verification audit cost suppresses CEE-6 margin</w:t>
            </w:r>
          </w:p>
        </w:tc>
      </w:tr>
      <w:t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jc w:val="left"/>
            </w:pPr>
            <w:r>
              <w:rPr>
                <w:rFonts w:ascii="Arial" w:cs="Arial" w:eastAsia="Arial" w:hAnsi="Arial"/>
                <w:b w:val="false"/>
                <w:bCs w:val="false"/>
                <w:sz w:val="18"/>
                <w:szCs w:val="18"/>
              </w:rPr>
              <w:t xml:space="preserve">CAC (blended)</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jc w:val="left"/>
            </w:pPr>
            <w:r>
              <w:rPr>
                <w:rFonts w:ascii="Arial" w:cs="Arial" w:eastAsia="Arial" w:hAnsi="Arial"/>
                <w:b w:val="false"/>
                <w:bCs w:val="false"/>
                <w:sz w:val="18"/>
                <w:szCs w:val="18"/>
              </w:rPr>
              <w:t xml:space="preserve">€350</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jc w:val="left"/>
            </w:pPr>
            <w:r>
              <w:rPr>
                <w:rFonts w:ascii="Arial" w:cs="Arial" w:eastAsia="Arial" w:hAnsi="Arial"/>
                <w:b w:val="false"/>
                <w:bCs w:val="false"/>
                <w:sz w:val="18"/>
                <w:szCs w:val="18"/>
              </w:rPr>
              <w:t xml:space="preserve">€800</w:t>
            </w:r>
          </w:p>
        </w:tc>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jc w:val="left"/>
            </w:pPr>
            <w:r>
              <w:rPr>
                <w:rFonts w:ascii="Arial" w:cs="Arial" w:eastAsia="Arial" w:hAnsi="Arial"/>
                <w:b w:val="false"/>
                <w:bCs w:val="false"/>
                <w:sz w:val="18"/>
                <w:szCs w:val="18"/>
              </w:rPr>
              <w:t xml:space="preserve">Partner-led CEE distribution</w:t>
            </w:r>
          </w:p>
        </w:tc>
      </w:tr>
      <w:t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jc w:val="left"/>
            </w:pPr>
            <w:r>
              <w:rPr>
                <w:rFonts w:ascii="Arial" w:cs="Arial" w:eastAsia="Arial" w:hAnsi="Arial"/>
                <w:b w:val="false"/>
                <w:bCs w:val="false"/>
                <w:sz w:val="18"/>
                <w:szCs w:val="18"/>
              </w:rPr>
              <w:t xml:space="preserve">LTV / CAC</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jc w:val="left"/>
            </w:pPr>
            <w:r>
              <w:rPr>
                <w:rFonts w:ascii="Arial" w:cs="Arial" w:eastAsia="Arial" w:hAnsi="Arial"/>
                <w:b w:val="false"/>
                <w:bCs w:val="false"/>
                <w:sz w:val="18"/>
                <w:szCs w:val="18"/>
              </w:rPr>
              <w:t xml:space="preserve">7.3x</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jc w:val="left"/>
            </w:pPr>
            <w:r>
              <w:rPr>
                <w:rFonts w:ascii="Arial" w:cs="Arial" w:eastAsia="Arial" w:hAnsi="Arial"/>
                <w:b w:val="false"/>
                <w:bCs w:val="false"/>
                <w:sz w:val="18"/>
                <w:szCs w:val="18"/>
              </w:rPr>
              <w:t xml:space="preserve">5.1x</w:t>
            </w:r>
          </w:p>
        </w:tc>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jc w:val="left"/>
            </w:pPr>
            <w:r>
              <w:rPr>
                <w:rFonts w:ascii="Arial" w:cs="Arial" w:eastAsia="Arial" w:hAnsi="Arial"/>
                <w:b w:val="false"/>
                <w:bCs w:val="false"/>
                <w:sz w:val="18"/>
                <w:szCs w:val="18"/>
              </w:rPr>
              <w:t xml:space="preserve">Target LTV assumes 4-year avg retention</w:t>
            </w:r>
          </w:p>
        </w:tc>
      </w:tr>
      <w:t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jc w:val="left"/>
            </w:pPr>
            <w:r>
              <w:rPr>
                <w:rFonts w:ascii="Arial" w:cs="Arial" w:eastAsia="Arial" w:hAnsi="Arial"/>
                <w:b w:val="false"/>
                <w:bCs w:val="false"/>
                <w:sz w:val="18"/>
                <w:szCs w:val="18"/>
              </w:rPr>
              <w:t xml:space="preserve">Months to payback CAC</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jc w:val="left"/>
            </w:pPr>
            <w:r>
              <w:rPr>
                <w:rFonts w:ascii="Arial" w:cs="Arial" w:eastAsia="Arial" w:hAnsi="Arial"/>
                <w:b w:val="false"/>
                <w:bCs w:val="false"/>
                <w:sz w:val="18"/>
                <w:szCs w:val="18"/>
              </w:rPr>
              <w:t xml:space="preserve">5.6</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jc w:val="left"/>
            </w:pPr>
            <w:r>
              <w:rPr>
                <w:rFonts w:ascii="Arial" w:cs="Arial" w:eastAsia="Arial" w:hAnsi="Arial"/>
                <w:b w:val="false"/>
                <w:bCs w:val="false"/>
                <w:sz w:val="18"/>
                <w:szCs w:val="18"/>
              </w:rPr>
              <w:t xml:space="preserve">8.4</w:t>
            </w:r>
          </w:p>
        </w:tc>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jc w:val="left"/>
            </w:pPr>
            <w:r>
              <w:rPr>
                <w:rFonts w:ascii="Arial" w:cs="Arial" w:eastAsia="Arial" w:hAnsi="Arial"/>
                <w:b w:val="false"/>
                <w:bCs w:val="false"/>
                <w:sz w:val="18"/>
                <w:szCs w:val="18"/>
              </w:rPr>
              <w:t xml:space="preserve">Healthy SaaS benchmark is &lt;18 months</w:t>
            </w:r>
          </w:p>
        </w:tc>
      </w:tr>
    </w:tbl>
    <w:p>
      <w:pPr>
        <w:spacing w:after="120"/>
      </w:pPr>
      <w:r>
        <w:t xml:space="preserve"/>
      </w:r>
    </w:p>
    <w:p>
      <w:r>
        <w:br w:type="page"/>
      </w:r>
    </w:p>
    <w:p>
      <w:pPr>
        <w:pStyle w:val="Heading1"/>
        <w:spacing w:after="180" w:before="300"/>
      </w:pPr>
      <w:r>
        <w:rPr>
          <w:rFonts w:ascii="Arial" w:cs="Arial" w:eastAsia="Arial" w:hAnsi="Arial"/>
          <w:b/>
          <w:bCs/>
          <w:color w:val="1F3864"/>
          <w:sz w:val="32"/>
          <w:szCs w:val="32"/>
        </w:rPr>
        <w:t xml:space="preserve">Part V — Risks and mitigants</w:t>
      </w:r>
    </w:p>
    <w:p>
      <w:pPr>
        <w:pStyle w:val="Heading2"/>
        <w:spacing w:after="120" w:before="240"/>
      </w:pPr>
      <w:r>
        <w:rPr>
          <w:rFonts w:ascii="Arial" w:cs="Arial" w:eastAsia="Arial" w:hAnsi="Arial"/>
          <w:b/>
          <w:bCs/>
          <w:color w:val="1F3864"/>
          <w:sz w:val="26"/>
          <w:szCs w:val="26"/>
        </w:rPr>
        <w:t xml:space="preserve">1. Competitive risk</w:t>
      </w:r>
    </w:p>
    <w:p>
      <w:pPr>
        <w:spacing w:after="120" w:line="300"/>
        <w:jc w:val="left"/>
      </w:pPr>
      <w:r>
        <w:rPr>
          <w:rFonts w:ascii="Arial" w:cs="Arial" w:eastAsia="Arial" w:hAnsi="Arial"/>
          <w:b w:val="false"/>
          <w:bCs w:val="false"/>
          <w:i w:val="false"/>
          <w:iCs w:val="false"/>
          <w:sz w:val="22"/>
          <w:szCs w:val="22"/>
        </w:rPr>
        <w:t xml:space="preserve">Four classes of incumbent compete for overlapping budget: horizontal ESG platforms (Workiva, Datamaran, Greenomy, Position Green), vertical sustainability raters (EcoVadis, MSCI, Sustainalytics), employer-brand programmes (Top Employer, Great Place to Work, B Corp), and charity-transparency bodies (ZEWO, DZI, Candid). DajSrce's defensibility argument is that none of them has the primary-source donation and volunteering data, and none of them has a citizen-facing marketplace with institutions on the supply side. The mitigation is to ship the Enterprise tier fast enough to anchor a Croatian reference logo before a horizontal vendor notices.</w:t>
      </w:r>
    </w:p>
    <w:p>
      <w:pPr>
        <w:pStyle w:val="Heading2"/>
        <w:spacing w:after="120" w:before="240"/>
      </w:pPr>
      <w:r>
        <w:rPr>
          <w:rFonts w:ascii="Arial" w:cs="Arial" w:eastAsia="Arial" w:hAnsi="Arial"/>
          <w:b/>
          <w:bCs/>
          <w:color w:val="1F3864"/>
          <w:sz w:val="26"/>
          <w:szCs w:val="26"/>
        </w:rPr>
        <w:t xml:space="preserve">2. Regulatory risk</w:t>
      </w:r>
    </w:p>
    <w:p>
      <w:pPr>
        <w:spacing w:after="120" w:line="300"/>
        <w:jc w:val="left"/>
      </w:pPr>
      <w:r>
        <w:rPr>
          <w:rFonts w:ascii="Arial" w:cs="Arial" w:eastAsia="Arial" w:hAnsi="Arial"/>
          <w:b w:val="false"/>
          <w:bCs w:val="false"/>
          <w:i w:val="false"/>
          <w:iCs w:val="false"/>
          <w:sz w:val="22"/>
          <w:szCs w:val="22"/>
        </w:rPr>
        <w:t xml:space="preserve">Three specific regulatory vectors to monitor. First, further tightening or delay of the CSRD/VSME timeline could push the corporate ESG SaaS purchase date to the right — mitigated by the fact that the tax-receipt hook is independent of CSRD. Second, the 2% → 4% profit-tax deduction uplift is not yet in force; if it is reversed or postponed, the SME-tier ROI argument weakens to 22x instead of 45x — still compelling, but less inevitable. Third, HANFA or the Ministry of Finance could choose to issue its own charity-transparency scheme, in which case DajSrce's verification seal must be designed to complement rather than compete (mitigated by publishing the DajSrce criteria openly and offering the data feed to the regulator under a non-exclusive licence).</w:t>
      </w:r>
    </w:p>
    <w:p>
      <w:pPr>
        <w:pStyle w:val="Heading2"/>
        <w:spacing w:after="120" w:before="240"/>
      </w:pPr>
      <w:r>
        <w:rPr>
          <w:rFonts w:ascii="Arial" w:cs="Arial" w:eastAsia="Arial" w:hAnsi="Arial"/>
          <w:b/>
          <w:bCs/>
          <w:color w:val="1F3864"/>
          <w:sz w:val="26"/>
          <w:szCs w:val="26"/>
        </w:rPr>
        <w:t xml:space="preserve">3. Execution and trust risk</w:t>
      </w:r>
    </w:p>
    <w:p>
      <w:pPr>
        <w:spacing w:after="120" w:line="300"/>
        <w:jc w:val="left"/>
      </w:pPr>
      <w:r>
        <w:rPr>
          <w:rFonts w:ascii="Arial" w:cs="Arial" w:eastAsia="Arial" w:hAnsi="Arial"/>
          <w:b w:val="false"/>
          <w:bCs w:val="false"/>
          <w:i w:val="false"/>
          <w:iCs w:val="false"/>
          <w:sz w:val="22"/>
          <w:szCs w:val="22"/>
        </w:rPr>
        <w:t xml:space="preserve">A single high-profile failure — a verified charity turning out to be fraudulent, a certified employer caught in a giving-washing incident, a tax receipt rejected by Porezna uprava — could destroy the seal premium across all lines. Mitigants: published criteria, a transparent revocation process, an advisory council with independent members, insurance for certification liability, and a standing internal audit capability from Year 2 onward. Budget approximately 8–12% of revenue for compliance, audit, and legal — this is the cost of running a trust business.</w:t>
      </w:r>
    </w:p>
    <w:p>
      <w:pPr>
        <w:pStyle w:val="Heading2"/>
        <w:spacing w:after="120" w:before="240"/>
      </w:pPr>
      <w:r>
        <w:rPr>
          <w:rFonts w:ascii="Arial" w:cs="Arial" w:eastAsia="Arial" w:hAnsi="Arial"/>
          <w:b/>
          <w:bCs/>
          <w:color w:val="1F3864"/>
          <w:sz w:val="26"/>
          <w:szCs w:val="26"/>
        </w:rPr>
        <w:t xml:space="preserve">4. Distribution risk</w:t>
      </w:r>
    </w:p>
    <w:p>
      <w:pPr>
        <w:spacing w:after="120" w:line="300"/>
        <w:jc w:val="left"/>
      </w:pPr>
      <w:r>
        <w:rPr>
          <w:rFonts w:ascii="Arial" w:cs="Arial" w:eastAsia="Arial" w:hAnsi="Arial"/>
          <w:b w:val="false"/>
          <w:bCs w:val="false"/>
          <w:i w:val="false"/>
          <w:iCs w:val="false"/>
          <w:sz w:val="22"/>
          <w:szCs w:val="22"/>
        </w:rPr>
        <w:t xml:space="preserve">The Croatian SOM assumes direct-to-company distribution supplemented by tax-advisor partnerships. In CEE-6 and EU27, direct distribution is not economically viable at the Starter and SME tiers. The plan therefore requires 2–3 partner channels in CEE-6 by Y4 (a banking channel, a chamber-of-commerce channel, and at least one tax-advisory channel) and a white-label API offering for accountancy networks in EU27 from Y5. Failure to close these partnerships is the single largest bear-case driver in the model.</w:t>
      </w:r>
    </w:p>
    <w:p>
      <w:pPr>
        <w:pStyle w:val="Heading2"/>
        <w:spacing w:after="120" w:before="240"/>
      </w:pPr>
      <w:r>
        <w:rPr>
          <w:rFonts w:ascii="Arial" w:cs="Arial" w:eastAsia="Arial" w:hAnsi="Arial"/>
          <w:b/>
          <w:bCs/>
          <w:color w:val="1F3864"/>
          <w:sz w:val="26"/>
          <w:szCs w:val="26"/>
        </w:rPr>
        <w:t xml:space="preserve">5. Data and privacy risk</w:t>
      </w:r>
    </w:p>
    <w:p>
      <w:pPr>
        <w:spacing w:after="120" w:line="300"/>
        <w:jc w:val="left"/>
      </w:pPr>
      <w:r>
        <w:rPr>
          <w:rFonts w:ascii="Arial" w:cs="Arial" w:eastAsia="Arial" w:hAnsi="Arial"/>
          <w:b w:val="false"/>
          <w:bCs w:val="false"/>
          <w:i w:val="false"/>
          <w:iCs w:val="false"/>
          <w:sz w:val="22"/>
          <w:szCs w:val="22"/>
        </w:rPr>
        <w:t xml:space="preserve">All four lines handle personal data (employee volunteer hours, donor names, charity beneficiary data). A GDPR breach would be catastrophic and costly. Mitigants are engineering-level (encryption at rest, strict RLS, per-tenant isolation), contractual (data processing agreements with all company tenants, joint-controller agreements with charities where appropriate), and organisational (a named DPO from Y2, an annual external privacy audit, a public transparency report).</w:t>
      </w:r>
    </w:p>
    <w:p>
      <w:r>
        <w:br w:type="page"/>
      </w:r>
    </w:p>
    <w:p>
      <w:pPr>
        <w:pStyle w:val="Heading1"/>
        <w:spacing w:after="180" w:before="300"/>
      </w:pPr>
      <w:r>
        <w:rPr>
          <w:rFonts w:ascii="Arial" w:cs="Arial" w:eastAsia="Arial" w:hAnsi="Arial"/>
          <w:b/>
          <w:bCs/>
          <w:color w:val="1F3864"/>
          <w:sz w:val="32"/>
          <w:szCs w:val="32"/>
        </w:rPr>
        <w:t xml:space="preserve">Part VI — Go-to-market</w:t>
      </w:r>
    </w:p>
    <w:p>
      <w:pPr>
        <w:pStyle w:val="Heading2"/>
        <w:spacing w:after="120" w:before="240"/>
      </w:pPr>
      <w:r>
        <w:rPr>
          <w:rFonts w:ascii="Arial" w:cs="Arial" w:eastAsia="Arial" w:hAnsi="Arial"/>
          <w:b/>
          <w:bCs/>
          <w:color w:val="1F3864"/>
          <w:sz w:val="26"/>
          <w:szCs w:val="26"/>
        </w:rPr>
        <w:t xml:space="preserve">1. Croatia (Y1–Y3)</w:t>
      </w:r>
    </w:p>
    <w:p>
      <w:pPr>
        <w:pStyle w:val="ListParagraph"/>
        <w:numPr>
          <w:ilvl w:val="0"/>
          <w:numId w:val="2"/>
        </w:numPr>
        <w:spacing w:after="60" w:line="280"/>
      </w:pPr>
      <w:r>
        <w:rPr>
          <w:rFonts w:ascii="Arial" w:cs="Arial" w:eastAsia="Arial" w:hAnsi="Arial"/>
          <w:b/>
          <w:bCs/>
          <w:sz w:val="22"/>
          <w:szCs w:val="22"/>
        </w:rPr>
        <w:t xml:space="preserve">Anchor logos: </w:t>
      </w:r>
      <w:r>
        <w:rPr>
          <w:rFonts w:ascii="Arial" w:cs="Arial" w:eastAsia="Arial" w:hAnsi="Arial"/>
          <w:sz w:val="22"/>
          <w:szCs w:val="22"/>
        </w:rPr>
        <w:t xml:space="preserve">Target 3 Croatian listed companies (Hrvatski Telekom, INA, Končar or Atlantic Grupa) for Enterprise pilots at subsidised Y1 pricing in exchange for case studies.</w:t>
      </w:r>
    </w:p>
    <w:p>
      <w:pPr>
        <w:pStyle w:val="ListParagraph"/>
        <w:numPr>
          <w:ilvl w:val="0"/>
          <w:numId w:val="2"/>
        </w:numPr>
        <w:spacing w:after="60" w:line="280"/>
      </w:pPr>
      <w:r>
        <w:rPr>
          <w:rFonts w:ascii="Arial" w:cs="Arial" w:eastAsia="Arial" w:hAnsi="Arial"/>
          <w:b/>
          <w:bCs/>
          <w:sz w:val="22"/>
          <w:szCs w:val="22"/>
        </w:rPr>
        <w:t xml:space="preserve">Tax-advisor channel: </w:t>
      </w:r>
      <w:r>
        <w:rPr>
          <w:rFonts w:ascii="Arial" w:cs="Arial" w:eastAsia="Arial" w:hAnsi="Arial"/>
          <w:sz w:val="22"/>
          <w:szCs w:val="22"/>
        </w:rPr>
        <w:t xml:space="preserve">Partnership with 2–3 mid-size Croatian accountancy firms (KPMG Croatia, BDO Croatia, Mazars Croatia) to offer DajSrce SME tier as an add-on to profit-tax filing services.</w:t>
      </w:r>
    </w:p>
    <w:p>
      <w:pPr>
        <w:pStyle w:val="ListParagraph"/>
        <w:numPr>
          <w:ilvl w:val="0"/>
          <w:numId w:val="2"/>
        </w:numPr>
        <w:spacing w:after="60" w:line="280"/>
      </w:pPr>
      <w:r>
        <w:rPr>
          <w:rFonts w:ascii="Arial" w:cs="Arial" w:eastAsia="Arial" w:hAnsi="Arial"/>
          <w:b/>
          <w:bCs/>
          <w:sz w:val="22"/>
          <w:szCs w:val="22"/>
        </w:rPr>
        <w:t xml:space="preserve">Charity seal rollout: </w:t>
      </w:r>
      <w:r>
        <w:rPr>
          <w:rFonts w:ascii="Arial" w:cs="Arial" w:eastAsia="Arial" w:hAnsi="Arial"/>
          <w:sz w:val="22"/>
          <w:szCs w:val="22"/>
        </w:rPr>
        <w:t xml:space="preserve">Invite the 200 most active Zagreb institutions already on DajSrce to the Basic tier free for Y1; convert to paid in Y2 once the trust-mark is visible.</w:t>
      </w:r>
    </w:p>
    <w:p>
      <w:pPr>
        <w:pStyle w:val="ListParagraph"/>
        <w:numPr>
          <w:ilvl w:val="0"/>
          <w:numId w:val="2"/>
        </w:numPr>
        <w:spacing w:after="60" w:line="280"/>
      </w:pPr>
      <w:r>
        <w:rPr>
          <w:rFonts w:ascii="Arial" w:cs="Arial" w:eastAsia="Arial" w:hAnsi="Arial"/>
          <w:b/>
          <w:bCs/>
          <w:sz w:val="22"/>
          <w:szCs w:val="22"/>
        </w:rPr>
        <w:t xml:space="preserve">Employer Branding: </w:t>
      </w:r>
      <w:r>
        <w:rPr>
          <w:rFonts w:ascii="Arial" w:cs="Arial" w:eastAsia="Arial" w:hAnsi="Arial"/>
          <w:sz w:val="22"/>
          <w:szCs w:val="22"/>
        </w:rPr>
        <w:t xml:space="preserve">Launch with 10 founding employers in Q3 of Y1, tied to a media event; use the Top Employer and GPTW absence in the CSR-specific niche as differentiation.</w:t>
      </w:r>
    </w:p>
    <w:p>
      <w:pPr>
        <w:pStyle w:val="Heading2"/>
        <w:spacing w:after="120" w:before="240"/>
      </w:pPr>
      <w:r>
        <w:rPr>
          <w:rFonts w:ascii="Arial" w:cs="Arial" w:eastAsia="Arial" w:hAnsi="Arial"/>
          <w:b/>
          <w:bCs/>
          <w:color w:val="1F3864"/>
          <w:sz w:val="26"/>
          <w:szCs w:val="26"/>
        </w:rPr>
        <w:t xml:space="preserve">2. CEE-6 (Y3–Y5)</w:t>
      </w:r>
    </w:p>
    <w:p>
      <w:pPr>
        <w:pStyle w:val="ListParagraph"/>
        <w:numPr>
          <w:ilvl w:val="0"/>
          <w:numId w:val="2"/>
        </w:numPr>
        <w:spacing w:after="60" w:line="280"/>
      </w:pPr>
      <w:r>
        <w:rPr>
          <w:rFonts w:ascii="Arial" w:cs="Arial" w:eastAsia="Arial" w:hAnsi="Arial"/>
          <w:b/>
          <w:bCs/>
          <w:sz w:val="22"/>
          <w:szCs w:val="22"/>
        </w:rPr>
        <w:t xml:space="preserve">Sequence: </w:t>
      </w:r>
      <w:r>
        <w:rPr>
          <w:rFonts w:ascii="Arial" w:cs="Arial" w:eastAsia="Arial" w:hAnsi="Arial"/>
          <w:sz w:val="22"/>
          <w:szCs w:val="22"/>
        </w:rPr>
        <w:t xml:space="preserve">Slovenia and Romania first (closest regulatory analogues), then Hungary and Czechia, finally Slovakia and Poland. Country launch gated on finding one banking or chamber partner per market.</w:t>
      </w:r>
    </w:p>
    <w:p>
      <w:pPr>
        <w:pStyle w:val="ListParagraph"/>
        <w:numPr>
          <w:ilvl w:val="0"/>
          <w:numId w:val="2"/>
        </w:numPr>
        <w:spacing w:after="60" w:line="280"/>
      </w:pPr>
      <w:r>
        <w:rPr>
          <w:rFonts w:ascii="Arial" w:cs="Arial" w:eastAsia="Arial" w:hAnsi="Arial"/>
          <w:b/>
          <w:bCs/>
          <w:sz w:val="22"/>
          <w:szCs w:val="22"/>
        </w:rPr>
        <w:t xml:space="preserve">Language coverage: </w:t>
      </w:r>
      <w:r>
        <w:rPr>
          <w:rFonts w:ascii="Arial" w:cs="Arial" w:eastAsia="Arial" w:hAnsi="Arial"/>
          <w:sz w:val="22"/>
          <w:szCs w:val="22"/>
        </w:rPr>
        <w:t xml:space="preserve">Add SI, RO, HU, CS, SK, PL localisations to the existing HR + EN bilingual product; re-use the i18n layer planned in the ESG implementation.</w:t>
      </w:r>
    </w:p>
    <w:p>
      <w:pPr>
        <w:pStyle w:val="ListParagraph"/>
        <w:numPr>
          <w:ilvl w:val="0"/>
          <w:numId w:val="2"/>
        </w:numPr>
        <w:spacing w:after="60" w:line="280"/>
      </w:pPr>
      <w:r>
        <w:rPr>
          <w:rFonts w:ascii="Arial" w:cs="Arial" w:eastAsia="Arial" w:hAnsi="Arial"/>
          <w:b/>
          <w:bCs/>
          <w:sz w:val="22"/>
          <w:szCs w:val="22"/>
        </w:rPr>
        <w:t xml:space="preserve">Pricing: </w:t>
      </w:r>
      <w:r>
        <w:rPr>
          <w:rFonts w:ascii="Arial" w:cs="Arial" w:eastAsia="Arial" w:hAnsi="Arial"/>
          <w:sz w:val="22"/>
          <w:szCs w:val="22"/>
        </w:rPr>
        <w:t xml:space="preserve">Match local VSME-comparable benchmarks; CEE-6 ARPUs modelled at roughly 1.3x Croatian ARPU for SaaS (Polish and Czech buyers tolerate higher prices than Croatian equivalents).</w:t>
      </w:r>
    </w:p>
    <w:p>
      <w:pPr>
        <w:pStyle w:val="Heading2"/>
        <w:spacing w:after="120" w:before="240"/>
      </w:pPr>
      <w:r>
        <w:rPr>
          <w:rFonts w:ascii="Arial" w:cs="Arial" w:eastAsia="Arial" w:hAnsi="Arial"/>
          <w:b/>
          <w:bCs/>
          <w:color w:val="1F3864"/>
          <w:sz w:val="26"/>
          <w:szCs w:val="26"/>
        </w:rPr>
        <w:t xml:space="preserve">3. EU27 (Y5+)</w:t>
      </w:r>
    </w:p>
    <w:p>
      <w:pPr>
        <w:pStyle w:val="ListParagraph"/>
        <w:numPr>
          <w:ilvl w:val="0"/>
          <w:numId w:val="2"/>
        </w:numPr>
        <w:spacing w:after="60" w:line="280"/>
      </w:pPr>
      <w:r>
        <w:rPr>
          <w:rFonts w:ascii="Arial" w:cs="Arial" w:eastAsia="Arial" w:hAnsi="Arial"/>
          <w:b/>
          <w:bCs/>
          <w:sz w:val="22"/>
          <w:szCs w:val="22"/>
        </w:rPr>
        <w:t xml:space="preserve">Go/no-go gates: </w:t>
      </w:r>
      <w:r>
        <w:rPr>
          <w:rFonts w:ascii="Arial" w:cs="Arial" w:eastAsia="Arial" w:hAnsi="Arial"/>
          <w:sz w:val="22"/>
          <w:szCs w:val="22"/>
        </w:rPr>
        <w:t xml:space="preserve">Enter EU27 only after hitting EUR 5m ARR in CEE-6, closing at least one pan-European partnership, and achieving SOC 2 Type II certification.</w:t>
      </w:r>
    </w:p>
    <w:p>
      <w:pPr>
        <w:pStyle w:val="ListParagraph"/>
        <w:numPr>
          <w:ilvl w:val="0"/>
          <w:numId w:val="2"/>
        </w:numPr>
        <w:spacing w:after="60" w:line="280"/>
      </w:pPr>
      <w:r>
        <w:rPr>
          <w:rFonts w:ascii="Arial" w:cs="Arial" w:eastAsia="Arial" w:hAnsi="Arial"/>
          <w:b/>
          <w:bCs/>
          <w:sz w:val="22"/>
          <w:szCs w:val="22"/>
        </w:rPr>
        <w:t xml:space="preserve">Focus markets: </w:t>
      </w:r>
      <w:r>
        <w:rPr>
          <w:rFonts w:ascii="Arial" w:cs="Arial" w:eastAsia="Arial" w:hAnsi="Arial"/>
          <w:sz w:val="22"/>
          <w:szCs w:val="22"/>
        </w:rPr>
        <w:t xml:space="preserve">Southern Europe (Italy, Spain, Portugal) where corporate sustainability is high on the agenda but tooling is fragmented; Nordics (Denmark, Finland) for early-adopter pricing power; avoid DACH until DZI-comparable trust is established.</w:t>
      </w:r>
    </w:p>
    <w:p>
      <w:pPr>
        <w:pStyle w:val="ListParagraph"/>
        <w:numPr>
          <w:ilvl w:val="0"/>
          <w:numId w:val="2"/>
        </w:numPr>
        <w:spacing w:after="60" w:line="280"/>
      </w:pPr>
      <w:r>
        <w:rPr>
          <w:rFonts w:ascii="Arial" w:cs="Arial" w:eastAsia="Arial" w:hAnsi="Arial"/>
          <w:b/>
          <w:bCs/>
          <w:sz w:val="22"/>
          <w:szCs w:val="22"/>
        </w:rPr>
        <w:t xml:space="preserve">Partner-first: </w:t>
      </w:r>
      <w:r>
        <w:rPr>
          <w:rFonts w:ascii="Arial" w:cs="Arial" w:eastAsia="Arial" w:hAnsi="Arial"/>
          <w:sz w:val="22"/>
          <w:szCs w:val="22"/>
        </w:rPr>
        <w:t xml:space="preserve">White-label the charity-verification API to an existing charity body (Philea, ERNOP) rather than building a pan-European brand from scratch.</w:t>
      </w:r>
    </w:p>
    <w:p>
      <w:r>
        <w:br w:type="page"/>
      </w:r>
    </w:p>
    <w:p>
      <w:pPr>
        <w:pStyle w:val="Heading1"/>
        <w:spacing w:after="180" w:before="300"/>
      </w:pPr>
      <w:r>
        <w:rPr>
          <w:rFonts w:ascii="Arial" w:cs="Arial" w:eastAsia="Arial" w:hAnsi="Arial"/>
          <w:b/>
          <w:bCs/>
          <w:color w:val="1F3864"/>
          <w:sz w:val="32"/>
          <w:szCs w:val="32"/>
        </w:rPr>
        <w:t xml:space="preserve">Part VII — Investment and operating plan</w:t>
      </w:r>
    </w:p>
    <w:p>
      <w:pPr>
        <w:pStyle w:val="Heading2"/>
        <w:spacing w:after="120" w:before="240"/>
      </w:pPr>
      <w:r>
        <w:rPr>
          <w:rFonts w:ascii="Arial" w:cs="Arial" w:eastAsia="Arial" w:hAnsi="Arial"/>
          <w:b/>
          <w:bCs/>
          <w:color w:val="1F3864"/>
          <w:sz w:val="26"/>
          <w:szCs w:val="26"/>
        </w:rPr>
        <w:t xml:space="preserve">1. Funding required</w:t>
      </w:r>
    </w:p>
    <w:p>
      <w:pPr>
        <w:spacing w:after="120" w:line="300"/>
        <w:jc w:val="left"/>
      </w:pPr>
      <w:r>
        <w:rPr>
          <w:rFonts w:ascii="Arial" w:cs="Arial" w:eastAsia="Arial" w:hAnsi="Arial"/>
          <w:b w:val="false"/>
          <w:bCs w:val="false"/>
          <w:i w:val="false"/>
          <w:iCs w:val="false"/>
          <w:sz w:val="22"/>
          <w:szCs w:val="22"/>
        </w:rPr>
        <w:t xml:space="preserve">The modelled path to EUR 9.6m ARR at Y5 requires approximately EUR 4.5–6m of external capital across two rounds — a EUR 1.0–1.5m seed round in Y1 (12–15 engineers, product and compliance leadership, first verification auditor) and a EUR 3.5–4.5m Series A in Y3 (CEE-6 sales team, localisation, partner team, internal audit capability). Gross burn at Y5 base case is approximately EUR 5.8m, comfortably within a 24-month runway from the Series A.</w:t>
      </w:r>
    </w:p>
    <w:p>
      <w:pPr>
        <w:pStyle w:val="Heading2"/>
        <w:spacing w:after="120" w:before="240"/>
      </w:pPr>
      <w:r>
        <w:rPr>
          <w:rFonts w:ascii="Arial" w:cs="Arial" w:eastAsia="Arial" w:hAnsi="Arial"/>
          <w:b/>
          <w:bCs/>
          <w:color w:val="1F3864"/>
          <w:sz w:val="26"/>
          <w:szCs w:val="26"/>
        </w:rPr>
        <w:t xml:space="preserve">2. Headcount trajectory</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800"/>
        <w:gridCol w:w="1100"/>
        <w:gridCol w:w="1100"/>
        <w:gridCol w:w="1100"/>
        <w:gridCol w:w="1100"/>
        <w:gridCol w:w="1100"/>
        <w:gridCol w:w="1100"/>
      </w:tblGrid>
      <w:tr>
        <w:trPr>
          <w:tblHeader/>
        </w:trPr>
        <w:tc>
          <w:tcPr>
            <w:tcW w:type="dxa" w:w="1800"/>
            <w:tcBorders>
              <w:top w:val="single" w:color="BFBFBF" w:sz="4"/>
              <w:left w:val="single" w:color="BFBFBF" w:sz="4"/>
              <w:bottom w:val="single" w:color="BFBFBF" w:sz="4"/>
              <w:right w:val="single" w:color="BFBFBF" w:sz="4"/>
            </w:tcBorders>
            <w:shd w:fill="D9E2F3" w:color="auto" w:val="clear"/>
            <w:tcMar>
              <w:top w:type="dxa" w:w="70"/>
              <w:left w:type="dxa" w:w="110"/>
              <w:bottom w:type="dxa" w:w="70"/>
              <w:right w:type="dxa" w:w="110"/>
            </w:tcMar>
            <w:vAlign w:val="center"/>
          </w:tcPr>
          <w:p>
            <w:pPr>
              <w:spacing w:after="0"/>
              <w:jc w:val="left"/>
            </w:pPr>
            <w:r>
              <w:rPr>
                <w:rFonts w:ascii="Arial" w:cs="Arial" w:eastAsia="Arial" w:hAnsi="Arial"/>
                <w:b/>
                <w:bCs/>
                <w:sz w:val="18"/>
                <w:szCs w:val="18"/>
              </w:rPr>
              <w:t xml:space="preserve">Function</w:t>
            </w:r>
          </w:p>
        </w:tc>
        <w:tc>
          <w:tcPr>
            <w:tcW w:type="dxa" w:w="1100"/>
            <w:tcBorders>
              <w:top w:val="single" w:color="BFBFBF" w:sz="4"/>
              <w:left w:val="single" w:color="BFBFBF" w:sz="4"/>
              <w:bottom w:val="single" w:color="BFBFBF" w:sz="4"/>
              <w:right w:val="single" w:color="BFBFBF" w:sz="4"/>
            </w:tcBorders>
            <w:shd w:fill="D9E2F3" w:color="auto" w:val="clear"/>
            <w:tcMar>
              <w:top w:type="dxa" w:w="70"/>
              <w:left w:type="dxa" w:w="110"/>
              <w:bottom w:type="dxa" w:w="70"/>
              <w:right w:type="dxa" w:w="110"/>
            </w:tcMar>
            <w:vAlign w:val="center"/>
          </w:tcPr>
          <w:p>
            <w:pPr>
              <w:spacing w:after="0"/>
              <w:jc w:val="left"/>
            </w:pPr>
            <w:r>
              <w:rPr>
                <w:rFonts w:ascii="Arial" w:cs="Arial" w:eastAsia="Arial" w:hAnsi="Arial"/>
                <w:b/>
                <w:bCs/>
                <w:sz w:val="18"/>
                <w:szCs w:val="18"/>
              </w:rPr>
              <w:t xml:space="preserve">Y1</w:t>
            </w:r>
          </w:p>
        </w:tc>
        <w:tc>
          <w:tcPr>
            <w:tcW w:type="dxa" w:w="1100"/>
            <w:tcBorders>
              <w:top w:val="single" w:color="BFBFBF" w:sz="4"/>
              <w:left w:val="single" w:color="BFBFBF" w:sz="4"/>
              <w:bottom w:val="single" w:color="BFBFBF" w:sz="4"/>
              <w:right w:val="single" w:color="BFBFBF" w:sz="4"/>
            </w:tcBorders>
            <w:shd w:fill="D9E2F3" w:color="auto" w:val="clear"/>
            <w:tcMar>
              <w:top w:type="dxa" w:w="70"/>
              <w:left w:type="dxa" w:w="110"/>
              <w:bottom w:type="dxa" w:w="70"/>
              <w:right w:type="dxa" w:w="110"/>
            </w:tcMar>
            <w:vAlign w:val="center"/>
          </w:tcPr>
          <w:p>
            <w:pPr>
              <w:spacing w:after="0"/>
              <w:jc w:val="left"/>
            </w:pPr>
            <w:r>
              <w:rPr>
                <w:rFonts w:ascii="Arial" w:cs="Arial" w:eastAsia="Arial" w:hAnsi="Arial"/>
                <w:b/>
                <w:bCs/>
                <w:sz w:val="18"/>
                <w:szCs w:val="18"/>
              </w:rPr>
              <w:t xml:space="preserve">Y2</w:t>
            </w:r>
          </w:p>
        </w:tc>
        <w:tc>
          <w:tcPr>
            <w:tcW w:type="dxa" w:w="1100"/>
            <w:tcBorders>
              <w:top w:val="single" w:color="BFBFBF" w:sz="4"/>
              <w:left w:val="single" w:color="BFBFBF" w:sz="4"/>
              <w:bottom w:val="single" w:color="BFBFBF" w:sz="4"/>
              <w:right w:val="single" w:color="BFBFBF" w:sz="4"/>
            </w:tcBorders>
            <w:shd w:fill="D9E2F3" w:color="auto" w:val="clear"/>
            <w:tcMar>
              <w:top w:type="dxa" w:w="70"/>
              <w:left w:type="dxa" w:w="110"/>
              <w:bottom w:type="dxa" w:w="70"/>
              <w:right w:type="dxa" w:w="110"/>
            </w:tcMar>
            <w:vAlign w:val="center"/>
          </w:tcPr>
          <w:p>
            <w:pPr>
              <w:spacing w:after="0"/>
              <w:jc w:val="left"/>
            </w:pPr>
            <w:r>
              <w:rPr>
                <w:rFonts w:ascii="Arial" w:cs="Arial" w:eastAsia="Arial" w:hAnsi="Arial"/>
                <w:b/>
                <w:bCs/>
                <w:sz w:val="18"/>
                <w:szCs w:val="18"/>
              </w:rPr>
              <w:t xml:space="preserve">Y3</w:t>
            </w:r>
          </w:p>
        </w:tc>
        <w:tc>
          <w:tcPr>
            <w:tcW w:type="dxa" w:w="1100"/>
            <w:tcBorders>
              <w:top w:val="single" w:color="BFBFBF" w:sz="4"/>
              <w:left w:val="single" w:color="BFBFBF" w:sz="4"/>
              <w:bottom w:val="single" w:color="BFBFBF" w:sz="4"/>
              <w:right w:val="single" w:color="BFBFBF" w:sz="4"/>
            </w:tcBorders>
            <w:shd w:fill="D9E2F3" w:color="auto" w:val="clear"/>
            <w:tcMar>
              <w:top w:type="dxa" w:w="70"/>
              <w:left w:type="dxa" w:w="110"/>
              <w:bottom w:type="dxa" w:w="70"/>
              <w:right w:type="dxa" w:w="110"/>
            </w:tcMar>
            <w:vAlign w:val="center"/>
          </w:tcPr>
          <w:p>
            <w:pPr>
              <w:spacing w:after="0"/>
              <w:jc w:val="left"/>
            </w:pPr>
            <w:r>
              <w:rPr>
                <w:rFonts w:ascii="Arial" w:cs="Arial" w:eastAsia="Arial" w:hAnsi="Arial"/>
                <w:b/>
                <w:bCs/>
                <w:sz w:val="18"/>
                <w:szCs w:val="18"/>
              </w:rPr>
              <w:t xml:space="preserve">Y4</w:t>
            </w:r>
          </w:p>
        </w:tc>
        <w:tc>
          <w:tcPr>
            <w:tcW w:type="dxa" w:w="1100"/>
            <w:tcBorders>
              <w:top w:val="single" w:color="BFBFBF" w:sz="4"/>
              <w:left w:val="single" w:color="BFBFBF" w:sz="4"/>
              <w:bottom w:val="single" w:color="BFBFBF" w:sz="4"/>
              <w:right w:val="single" w:color="BFBFBF" w:sz="4"/>
            </w:tcBorders>
            <w:shd w:fill="D9E2F3" w:color="auto" w:val="clear"/>
            <w:tcMar>
              <w:top w:type="dxa" w:w="70"/>
              <w:left w:type="dxa" w:w="110"/>
              <w:bottom w:type="dxa" w:w="70"/>
              <w:right w:type="dxa" w:w="110"/>
            </w:tcMar>
            <w:vAlign w:val="center"/>
          </w:tcPr>
          <w:p>
            <w:pPr>
              <w:spacing w:after="0"/>
              <w:jc w:val="left"/>
            </w:pPr>
            <w:r>
              <w:rPr>
                <w:rFonts w:ascii="Arial" w:cs="Arial" w:eastAsia="Arial" w:hAnsi="Arial"/>
                <w:b/>
                <w:bCs/>
                <w:sz w:val="18"/>
                <w:szCs w:val="18"/>
              </w:rPr>
              <w:t xml:space="preserve">Y5</w:t>
            </w:r>
          </w:p>
        </w:tc>
        <w:tc>
          <w:tcPr>
            <w:tcW w:type="dxa" w:w="1100"/>
            <w:tcBorders>
              <w:top w:val="single" w:color="BFBFBF" w:sz="4"/>
              <w:left w:val="single" w:color="BFBFBF" w:sz="4"/>
              <w:bottom w:val="single" w:color="BFBFBF" w:sz="4"/>
              <w:right w:val="single" w:color="BFBFBF" w:sz="4"/>
            </w:tcBorders>
            <w:shd w:fill="D9E2F3" w:color="auto" w:val="clear"/>
            <w:tcMar>
              <w:top w:type="dxa" w:w="70"/>
              <w:left w:type="dxa" w:w="110"/>
              <w:bottom w:type="dxa" w:w="70"/>
              <w:right w:type="dxa" w:w="110"/>
            </w:tcMar>
            <w:vAlign w:val="center"/>
          </w:tcPr>
          <w:p>
            <w:pPr>
              <w:spacing w:after="0"/>
              <w:jc w:val="left"/>
            </w:pPr>
            <w:r>
              <w:rPr>
                <w:rFonts w:ascii="Arial" w:cs="Arial" w:eastAsia="Arial" w:hAnsi="Arial"/>
                <w:b/>
                <w:bCs/>
                <w:sz w:val="18"/>
                <w:szCs w:val="18"/>
              </w:rPr>
              <w:t xml:space="preserve">Y5 cost</w:t>
            </w:r>
          </w:p>
        </w:tc>
      </w:tr>
      <w:tr>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jc w:val="left"/>
            </w:pPr>
            <w:r>
              <w:rPr>
                <w:rFonts w:ascii="Arial" w:cs="Arial" w:eastAsia="Arial" w:hAnsi="Arial"/>
                <w:b w:val="false"/>
                <w:bCs w:val="false"/>
                <w:sz w:val="18"/>
                <w:szCs w:val="18"/>
              </w:rPr>
              <w:t xml:space="preserve">Engineering</w:t>
            </w: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jc w:val="left"/>
            </w:pPr>
            <w:r>
              <w:rPr>
                <w:rFonts w:ascii="Arial" w:cs="Arial" w:eastAsia="Arial" w:hAnsi="Arial"/>
                <w:b w:val="false"/>
                <w:bCs w:val="false"/>
                <w:sz w:val="18"/>
                <w:szCs w:val="18"/>
              </w:rPr>
              <w:t xml:space="preserve">6</w:t>
            </w: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jc w:val="left"/>
            </w:pPr>
            <w:r>
              <w:rPr>
                <w:rFonts w:ascii="Arial" w:cs="Arial" w:eastAsia="Arial" w:hAnsi="Arial"/>
                <w:b w:val="false"/>
                <w:bCs w:val="false"/>
                <w:sz w:val="18"/>
                <w:szCs w:val="18"/>
              </w:rPr>
              <w:t xml:space="preserve">10</w:t>
            </w: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jc w:val="left"/>
            </w:pPr>
            <w:r>
              <w:rPr>
                <w:rFonts w:ascii="Arial" w:cs="Arial" w:eastAsia="Arial" w:hAnsi="Arial"/>
                <w:b w:val="false"/>
                <w:bCs w:val="false"/>
                <w:sz w:val="18"/>
                <w:szCs w:val="18"/>
              </w:rPr>
              <w:t xml:space="preserve">16</w:t>
            </w: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jc w:val="left"/>
            </w:pPr>
            <w:r>
              <w:rPr>
                <w:rFonts w:ascii="Arial" w:cs="Arial" w:eastAsia="Arial" w:hAnsi="Arial"/>
                <w:b w:val="false"/>
                <w:bCs w:val="false"/>
                <w:sz w:val="18"/>
                <w:szCs w:val="18"/>
              </w:rPr>
              <w:t xml:space="preserve">22</w:t>
            </w: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jc w:val="left"/>
            </w:pPr>
            <w:r>
              <w:rPr>
                <w:rFonts w:ascii="Arial" w:cs="Arial" w:eastAsia="Arial" w:hAnsi="Arial"/>
                <w:b w:val="false"/>
                <w:bCs w:val="false"/>
                <w:sz w:val="18"/>
                <w:szCs w:val="18"/>
              </w:rPr>
              <w:t xml:space="preserve">28</w:t>
            </w: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jc w:val="left"/>
            </w:pPr>
            <w:r>
              <w:rPr>
                <w:rFonts w:ascii="Arial" w:cs="Arial" w:eastAsia="Arial" w:hAnsi="Arial"/>
                <w:b w:val="false"/>
                <w:bCs w:val="false"/>
                <w:sz w:val="18"/>
                <w:szCs w:val="18"/>
              </w:rPr>
              <w:t xml:space="preserve">€2.1m</w:t>
            </w:r>
          </w:p>
        </w:tc>
      </w:tr>
      <w:tr>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jc w:val="left"/>
            </w:pPr>
            <w:r>
              <w:rPr>
                <w:rFonts w:ascii="Arial" w:cs="Arial" w:eastAsia="Arial" w:hAnsi="Arial"/>
                <w:b w:val="false"/>
                <w:bCs w:val="false"/>
                <w:sz w:val="18"/>
                <w:szCs w:val="18"/>
              </w:rPr>
              <w:t xml:space="preserve">Product / design</w:t>
            </w: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jc w:val="left"/>
            </w:pPr>
            <w:r>
              <w:rPr>
                <w:rFonts w:ascii="Arial" w:cs="Arial" w:eastAsia="Arial" w:hAnsi="Arial"/>
                <w:b w:val="false"/>
                <w:bCs w:val="false"/>
                <w:sz w:val="18"/>
                <w:szCs w:val="18"/>
              </w:rPr>
              <w:t xml:space="preserve">2</w:t>
            </w: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jc w:val="left"/>
            </w:pPr>
            <w:r>
              <w:rPr>
                <w:rFonts w:ascii="Arial" w:cs="Arial" w:eastAsia="Arial" w:hAnsi="Arial"/>
                <w:b w:val="false"/>
                <w:bCs w:val="false"/>
                <w:sz w:val="18"/>
                <w:szCs w:val="18"/>
              </w:rPr>
              <w:t xml:space="preserve">3</w:t>
            </w: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jc w:val="left"/>
            </w:pPr>
            <w:r>
              <w:rPr>
                <w:rFonts w:ascii="Arial" w:cs="Arial" w:eastAsia="Arial" w:hAnsi="Arial"/>
                <w:b w:val="false"/>
                <w:bCs w:val="false"/>
                <w:sz w:val="18"/>
                <w:szCs w:val="18"/>
              </w:rPr>
              <w:t xml:space="preserve">4</w:t>
            </w: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jc w:val="left"/>
            </w:pPr>
            <w:r>
              <w:rPr>
                <w:rFonts w:ascii="Arial" w:cs="Arial" w:eastAsia="Arial" w:hAnsi="Arial"/>
                <w:b w:val="false"/>
                <w:bCs w:val="false"/>
                <w:sz w:val="18"/>
                <w:szCs w:val="18"/>
              </w:rPr>
              <w:t xml:space="preserve">6</w:t>
            </w: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jc w:val="left"/>
            </w:pPr>
            <w:r>
              <w:rPr>
                <w:rFonts w:ascii="Arial" w:cs="Arial" w:eastAsia="Arial" w:hAnsi="Arial"/>
                <w:b w:val="false"/>
                <w:bCs w:val="false"/>
                <w:sz w:val="18"/>
                <w:szCs w:val="18"/>
              </w:rPr>
              <w:t xml:space="preserve">8</w:t>
            </w: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jc w:val="left"/>
            </w:pPr>
            <w:r>
              <w:rPr>
                <w:rFonts w:ascii="Arial" w:cs="Arial" w:eastAsia="Arial" w:hAnsi="Arial"/>
                <w:b w:val="false"/>
                <w:bCs w:val="false"/>
                <w:sz w:val="18"/>
                <w:szCs w:val="18"/>
              </w:rPr>
              <w:t xml:space="preserve">€560k</w:t>
            </w:r>
          </w:p>
        </w:tc>
      </w:tr>
      <w:tr>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jc w:val="left"/>
            </w:pPr>
            <w:r>
              <w:rPr>
                <w:rFonts w:ascii="Arial" w:cs="Arial" w:eastAsia="Arial" w:hAnsi="Arial"/>
                <w:b w:val="false"/>
                <w:bCs w:val="false"/>
                <w:sz w:val="18"/>
                <w:szCs w:val="18"/>
              </w:rPr>
              <w:t xml:space="preserve">Compliance / audit</w:t>
            </w: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jc w:val="left"/>
            </w:pPr>
            <w:r>
              <w:rPr>
                <w:rFonts w:ascii="Arial" w:cs="Arial" w:eastAsia="Arial" w:hAnsi="Arial"/>
                <w:b w:val="false"/>
                <w:bCs w:val="false"/>
                <w:sz w:val="18"/>
                <w:szCs w:val="18"/>
              </w:rPr>
              <w:t xml:space="preserve">1</w:t>
            </w: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jc w:val="left"/>
            </w:pPr>
            <w:r>
              <w:rPr>
                <w:rFonts w:ascii="Arial" w:cs="Arial" w:eastAsia="Arial" w:hAnsi="Arial"/>
                <w:b w:val="false"/>
                <w:bCs w:val="false"/>
                <w:sz w:val="18"/>
                <w:szCs w:val="18"/>
              </w:rPr>
              <w:t xml:space="preserve">2</w:t>
            </w: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jc w:val="left"/>
            </w:pPr>
            <w:r>
              <w:rPr>
                <w:rFonts w:ascii="Arial" w:cs="Arial" w:eastAsia="Arial" w:hAnsi="Arial"/>
                <w:b w:val="false"/>
                <w:bCs w:val="false"/>
                <w:sz w:val="18"/>
                <w:szCs w:val="18"/>
              </w:rPr>
              <w:t xml:space="preserve">4</w:t>
            </w: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jc w:val="left"/>
            </w:pPr>
            <w:r>
              <w:rPr>
                <w:rFonts w:ascii="Arial" w:cs="Arial" w:eastAsia="Arial" w:hAnsi="Arial"/>
                <w:b w:val="false"/>
                <w:bCs w:val="false"/>
                <w:sz w:val="18"/>
                <w:szCs w:val="18"/>
              </w:rPr>
              <w:t xml:space="preserve">7</w:t>
            </w: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jc w:val="left"/>
            </w:pPr>
            <w:r>
              <w:rPr>
                <w:rFonts w:ascii="Arial" w:cs="Arial" w:eastAsia="Arial" w:hAnsi="Arial"/>
                <w:b w:val="false"/>
                <w:bCs w:val="false"/>
                <w:sz w:val="18"/>
                <w:szCs w:val="18"/>
              </w:rPr>
              <w:t xml:space="preserve">10</w:t>
            </w: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jc w:val="left"/>
            </w:pPr>
            <w:r>
              <w:rPr>
                <w:rFonts w:ascii="Arial" w:cs="Arial" w:eastAsia="Arial" w:hAnsi="Arial"/>
                <w:b w:val="false"/>
                <w:bCs w:val="false"/>
                <w:sz w:val="18"/>
                <w:szCs w:val="18"/>
              </w:rPr>
              <w:t xml:space="preserve">€750k</w:t>
            </w:r>
          </w:p>
        </w:tc>
      </w:tr>
      <w:tr>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jc w:val="left"/>
            </w:pPr>
            <w:r>
              <w:rPr>
                <w:rFonts w:ascii="Arial" w:cs="Arial" w:eastAsia="Arial" w:hAnsi="Arial"/>
                <w:b w:val="false"/>
                <w:bCs w:val="false"/>
                <w:sz w:val="18"/>
                <w:szCs w:val="18"/>
              </w:rPr>
              <w:t xml:space="preserve">Sales and partnerships</w:t>
            </w: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jc w:val="left"/>
            </w:pPr>
            <w:r>
              <w:rPr>
                <w:rFonts w:ascii="Arial" w:cs="Arial" w:eastAsia="Arial" w:hAnsi="Arial"/>
                <w:b w:val="false"/>
                <w:bCs w:val="false"/>
                <w:sz w:val="18"/>
                <w:szCs w:val="18"/>
              </w:rPr>
              <w:t xml:space="preserve">1</w:t>
            </w: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jc w:val="left"/>
            </w:pPr>
            <w:r>
              <w:rPr>
                <w:rFonts w:ascii="Arial" w:cs="Arial" w:eastAsia="Arial" w:hAnsi="Arial"/>
                <w:b w:val="false"/>
                <w:bCs w:val="false"/>
                <w:sz w:val="18"/>
                <w:szCs w:val="18"/>
              </w:rPr>
              <w:t xml:space="preserve">3</w:t>
            </w: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jc w:val="left"/>
            </w:pPr>
            <w:r>
              <w:rPr>
                <w:rFonts w:ascii="Arial" w:cs="Arial" w:eastAsia="Arial" w:hAnsi="Arial"/>
                <w:b w:val="false"/>
                <w:bCs w:val="false"/>
                <w:sz w:val="18"/>
                <w:szCs w:val="18"/>
              </w:rPr>
              <w:t xml:space="preserve">6</w:t>
            </w: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jc w:val="left"/>
            </w:pPr>
            <w:r>
              <w:rPr>
                <w:rFonts w:ascii="Arial" w:cs="Arial" w:eastAsia="Arial" w:hAnsi="Arial"/>
                <w:b w:val="false"/>
                <w:bCs w:val="false"/>
                <w:sz w:val="18"/>
                <w:szCs w:val="18"/>
              </w:rPr>
              <w:t xml:space="preserve">12</w:t>
            </w: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jc w:val="left"/>
            </w:pPr>
            <w:r>
              <w:rPr>
                <w:rFonts w:ascii="Arial" w:cs="Arial" w:eastAsia="Arial" w:hAnsi="Arial"/>
                <w:b w:val="false"/>
                <w:bCs w:val="false"/>
                <w:sz w:val="18"/>
                <w:szCs w:val="18"/>
              </w:rPr>
              <w:t xml:space="preserve">18</w:t>
            </w: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jc w:val="left"/>
            </w:pPr>
            <w:r>
              <w:rPr>
                <w:rFonts w:ascii="Arial" w:cs="Arial" w:eastAsia="Arial" w:hAnsi="Arial"/>
                <w:b w:val="false"/>
                <w:bCs w:val="false"/>
                <w:sz w:val="18"/>
                <w:szCs w:val="18"/>
              </w:rPr>
              <w:t xml:space="preserve">€1.35m</w:t>
            </w:r>
          </w:p>
        </w:tc>
      </w:tr>
      <w:tr>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jc w:val="left"/>
            </w:pPr>
            <w:r>
              <w:rPr>
                <w:rFonts w:ascii="Arial" w:cs="Arial" w:eastAsia="Arial" w:hAnsi="Arial"/>
                <w:b w:val="false"/>
                <w:bCs w:val="false"/>
                <w:sz w:val="18"/>
                <w:szCs w:val="18"/>
              </w:rPr>
              <w:t xml:space="preserve">Marketing / communications</w:t>
            </w: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jc w:val="left"/>
            </w:pPr>
            <w:r>
              <w:rPr>
                <w:rFonts w:ascii="Arial" w:cs="Arial" w:eastAsia="Arial" w:hAnsi="Arial"/>
                <w:b w:val="false"/>
                <w:bCs w:val="false"/>
                <w:sz w:val="18"/>
                <w:szCs w:val="18"/>
              </w:rPr>
              <w:t xml:space="preserve">1</w:t>
            </w: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jc w:val="left"/>
            </w:pPr>
            <w:r>
              <w:rPr>
                <w:rFonts w:ascii="Arial" w:cs="Arial" w:eastAsia="Arial" w:hAnsi="Arial"/>
                <w:b w:val="false"/>
                <w:bCs w:val="false"/>
                <w:sz w:val="18"/>
                <w:szCs w:val="18"/>
              </w:rPr>
              <w:t xml:space="preserve">2</w:t>
            </w: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jc w:val="left"/>
            </w:pPr>
            <w:r>
              <w:rPr>
                <w:rFonts w:ascii="Arial" w:cs="Arial" w:eastAsia="Arial" w:hAnsi="Arial"/>
                <w:b w:val="false"/>
                <w:bCs w:val="false"/>
                <w:sz w:val="18"/>
                <w:szCs w:val="18"/>
              </w:rPr>
              <w:t xml:space="preserve">3</w:t>
            </w: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jc w:val="left"/>
            </w:pPr>
            <w:r>
              <w:rPr>
                <w:rFonts w:ascii="Arial" w:cs="Arial" w:eastAsia="Arial" w:hAnsi="Arial"/>
                <w:b w:val="false"/>
                <w:bCs w:val="false"/>
                <w:sz w:val="18"/>
                <w:szCs w:val="18"/>
              </w:rPr>
              <w:t xml:space="preserve">5</w:t>
            </w: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jc w:val="left"/>
            </w:pPr>
            <w:r>
              <w:rPr>
                <w:rFonts w:ascii="Arial" w:cs="Arial" w:eastAsia="Arial" w:hAnsi="Arial"/>
                <w:b w:val="false"/>
                <w:bCs w:val="false"/>
                <w:sz w:val="18"/>
                <w:szCs w:val="18"/>
              </w:rPr>
              <w:t xml:space="preserve">7</w:t>
            </w: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jc w:val="left"/>
            </w:pPr>
            <w:r>
              <w:rPr>
                <w:rFonts w:ascii="Arial" w:cs="Arial" w:eastAsia="Arial" w:hAnsi="Arial"/>
                <w:b w:val="false"/>
                <w:bCs w:val="false"/>
                <w:sz w:val="18"/>
                <w:szCs w:val="18"/>
              </w:rPr>
              <w:t xml:space="preserve">€490k</w:t>
            </w:r>
          </w:p>
        </w:tc>
      </w:tr>
      <w:tr>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jc w:val="left"/>
            </w:pPr>
            <w:r>
              <w:rPr>
                <w:rFonts w:ascii="Arial" w:cs="Arial" w:eastAsia="Arial" w:hAnsi="Arial"/>
                <w:b w:val="false"/>
                <w:bCs w:val="false"/>
                <w:sz w:val="18"/>
                <w:szCs w:val="18"/>
              </w:rPr>
              <w:t xml:space="preserve">G&amp;A</w:t>
            </w: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jc w:val="left"/>
            </w:pPr>
            <w:r>
              <w:rPr>
                <w:rFonts w:ascii="Arial" w:cs="Arial" w:eastAsia="Arial" w:hAnsi="Arial"/>
                <w:b w:val="false"/>
                <w:bCs w:val="false"/>
                <w:sz w:val="18"/>
                <w:szCs w:val="18"/>
              </w:rPr>
              <w:t xml:space="preserve">2</w:t>
            </w: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jc w:val="left"/>
            </w:pPr>
            <w:r>
              <w:rPr>
                <w:rFonts w:ascii="Arial" w:cs="Arial" w:eastAsia="Arial" w:hAnsi="Arial"/>
                <w:b w:val="false"/>
                <w:bCs w:val="false"/>
                <w:sz w:val="18"/>
                <w:szCs w:val="18"/>
              </w:rPr>
              <w:t xml:space="preserve">3</w:t>
            </w: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jc w:val="left"/>
            </w:pPr>
            <w:r>
              <w:rPr>
                <w:rFonts w:ascii="Arial" w:cs="Arial" w:eastAsia="Arial" w:hAnsi="Arial"/>
                <w:b w:val="false"/>
                <w:bCs w:val="false"/>
                <w:sz w:val="18"/>
                <w:szCs w:val="18"/>
              </w:rPr>
              <w:t xml:space="preserve">4</w:t>
            </w: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jc w:val="left"/>
            </w:pPr>
            <w:r>
              <w:rPr>
                <w:rFonts w:ascii="Arial" w:cs="Arial" w:eastAsia="Arial" w:hAnsi="Arial"/>
                <w:b w:val="false"/>
                <w:bCs w:val="false"/>
                <w:sz w:val="18"/>
                <w:szCs w:val="18"/>
              </w:rPr>
              <w:t xml:space="preserve">6</w:t>
            </w: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jc w:val="left"/>
            </w:pPr>
            <w:r>
              <w:rPr>
                <w:rFonts w:ascii="Arial" w:cs="Arial" w:eastAsia="Arial" w:hAnsi="Arial"/>
                <w:b w:val="false"/>
                <w:bCs w:val="false"/>
                <w:sz w:val="18"/>
                <w:szCs w:val="18"/>
              </w:rPr>
              <w:t xml:space="preserve">8</w:t>
            </w: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jc w:val="left"/>
            </w:pPr>
            <w:r>
              <w:rPr>
                <w:rFonts w:ascii="Arial" w:cs="Arial" w:eastAsia="Arial" w:hAnsi="Arial"/>
                <w:b w:val="false"/>
                <w:bCs w:val="false"/>
                <w:sz w:val="18"/>
                <w:szCs w:val="18"/>
              </w:rPr>
              <w:t xml:space="preserve">€560k</w:t>
            </w:r>
          </w:p>
        </w:tc>
      </w:tr>
      <w:tr>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jc w:val="left"/>
            </w:pPr>
            <w:r>
              <w:rPr>
                <w:rFonts w:ascii="Arial" w:cs="Arial" w:eastAsia="Arial" w:hAnsi="Arial"/>
                <w:b w:val="false"/>
                <w:bCs w:val="false"/>
                <w:sz w:val="18"/>
                <w:szCs w:val="18"/>
              </w:rPr>
              <w:t xml:space="preserve">TOTAL</w:t>
            </w: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jc w:val="left"/>
            </w:pPr>
            <w:r>
              <w:rPr>
                <w:rFonts w:ascii="Arial" w:cs="Arial" w:eastAsia="Arial" w:hAnsi="Arial"/>
                <w:b w:val="false"/>
                <w:bCs w:val="false"/>
                <w:sz w:val="18"/>
                <w:szCs w:val="18"/>
              </w:rPr>
              <w:t xml:space="preserve">13</w:t>
            </w: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jc w:val="left"/>
            </w:pPr>
            <w:r>
              <w:rPr>
                <w:rFonts w:ascii="Arial" w:cs="Arial" w:eastAsia="Arial" w:hAnsi="Arial"/>
                <w:b w:val="false"/>
                <w:bCs w:val="false"/>
                <w:sz w:val="18"/>
                <w:szCs w:val="18"/>
              </w:rPr>
              <w:t xml:space="preserve">23</w:t>
            </w: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jc w:val="left"/>
            </w:pPr>
            <w:r>
              <w:rPr>
                <w:rFonts w:ascii="Arial" w:cs="Arial" w:eastAsia="Arial" w:hAnsi="Arial"/>
                <w:b w:val="false"/>
                <w:bCs w:val="false"/>
                <w:sz w:val="18"/>
                <w:szCs w:val="18"/>
              </w:rPr>
              <w:t xml:space="preserve">37</w:t>
            </w: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jc w:val="left"/>
            </w:pPr>
            <w:r>
              <w:rPr>
                <w:rFonts w:ascii="Arial" w:cs="Arial" w:eastAsia="Arial" w:hAnsi="Arial"/>
                <w:b w:val="false"/>
                <w:bCs w:val="false"/>
                <w:sz w:val="18"/>
                <w:szCs w:val="18"/>
              </w:rPr>
              <w:t xml:space="preserve">58</w:t>
            </w: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jc w:val="left"/>
            </w:pPr>
            <w:r>
              <w:rPr>
                <w:rFonts w:ascii="Arial" w:cs="Arial" w:eastAsia="Arial" w:hAnsi="Arial"/>
                <w:b w:val="false"/>
                <w:bCs w:val="false"/>
                <w:sz w:val="18"/>
                <w:szCs w:val="18"/>
              </w:rPr>
              <w:t xml:space="preserve">79</w:t>
            </w: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jc w:val="left"/>
            </w:pPr>
            <w:r>
              <w:rPr>
                <w:rFonts w:ascii="Arial" w:cs="Arial" w:eastAsia="Arial" w:hAnsi="Arial"/>
                <w:b w:val="false"/>
                <w:bCs w:val="false"/>
                <w:sz w:val="18"/>
                <w:szCs w:val="18"/>
              </w:rPr>
              <w:t xml:space="preserve">€5.8m</w:t>
            </w:r>
          </w:p>
        </w:tc>
      </w:tr>
    </w:tbl>
    <w:p>
      <w:pPr>
        <w:spacing w:after="120"/>
      </w:pPr>
      <w:r>
        <w:t xml:space="preserve"/>
      </w:r>
    </w:p>
    <w:p>
      <w:pPr>
        <w:pStyle w:val="Heading2"/>
        <w:spacing w:after="120" w:before="240"/>
      </w:pPr>
      <w:r>
        <w:rPr>
          <w:rFonts w:ascii="Arial" w:cs="Arial" w:eastAsia="Arial" w:hAnsi="Arial"/>
          <w:b/>
          <w:bCs/>
          <w:color w:val="1F3864"/>
          <w:sz w:val="26"/>
          <w:szCs w:val="26"/>
        </w:rPr>
        <w:t xml:space="preserve">3. Profitability horizon</w:t>
      </w:r>
    </w:p>
    <w:p>
      <w:pPr>
        <w:spacing w:after="120" w:line="300"/>
        <w:jc w:val="left"/>
      </w:pPr>
      <w:r>
        <w:rPr>
          <w:rFonts w:ascii="Arial" w:cs="Arial" w:eastAsia="Arial" w:hAnsi="Arial"/>
          <w:b w:val="false"/>
          <w:bCs w:val="false"/>
          <w:i w:val="false"/>
          <w:iCs w:val="false"/>
          <w:sz w:val="22"/>
          <w:szCs w:val="22"/>
        </w:rPr>
        <w:t xml:space="preserve">Under the base case, DajSrce turns EBITDA-positive in the second half of Year 5 at approximately 5–8% EBITDA margin, rising toward 20–25% at steady state (a SaaS-like outcome) assuming disciplined hiring in Y4–Y5. The bull case accelerates EBITDA breakeven to Y4; the bear case pushes it to Y6–Y7 and implies a bridge or down-round at the end of Y5 runway.</w:t>
      </w:r>
    </w:p>
    <w:p>
      <w:r>
        <w:br w:type="page"/>
      </w:r>
    </w:p>
    <w:p>
      <w:pPr>
        <w:pStyle w:val="Heading1"/>
        <w:spacing w:after="180" w:before="300"/>
      </w:pPr>
      <w:r>
        <w:rPr>
          <w:rFonts w:ascii="Arial" w:cs="Arial" w:eastAsia="Arial" w:hAnsi="Arial"/>
          <w:b/>
          <w:bCs/>
          <w:color w:val="1F3864"/>
          <w:sz w:val="32"/>
          <w:szCs w:val="32"/>
        </w:rPr>
        <w:t xml:space="preserve">Appendix A — Sources and references</w:t>
      </w:r>
    </w:p>
    <w:p>
      <w:pPr>
        <w:spacing w:after="120" w:line="300"/>
        <w:jc w:val="left"/>
      </w:pPr>
      <w:r>
        <w:rPr>
          <w:rFonts w:ascii="Arial" w:cs="Arial" w:eastAsia="Arial" w:hAnsi="Arial"/>
          <w:b w:val="false"/>
          <w:bCs w:val="false"/>
          <w:i w:val="false"/>
          <w:iCs w:val="false"/>
          <w:sz w:val="22"/>
          <w:szCs w:val="22"/>
        </w:rPr>
        <w:t xml:space="preserve">Croatian market:</w:t>
      </w:r>
    </w:p>
    <w:p>
      <w:pPr>
        <w:pStyle w:val="ListParagraph"/>
        <w:numPr>
          <w:ilvl w:val="0"/>
          <w:numId w:val="2"/>
        </w:numPr>
        <w:spacing w:after="80"/>
      </w:pPr>
      <w:hyperlink w:history="1" r:id="rId3a9jlofuwraahskeaorjt">
        <w:r>
          <w:rPr>
            <w:rFonts w:ascii="Arial" w:cs="Arial" w:eastAsia="Arial" w:hAnsi="Arial"/>
            <w:color w:val="2F5496"/>
            <w:sz w:val="20"/>
            <w:szCs w:val="20"/>
            <w:u w:val="single" w:color="2F5496"/>
          </w:rPr>
          <w:t xml:space="preserve">Registar udruga (Ministry of Justice, associations register)</w:t>
        </w:r>
      </w:hyperlink>
    </w:p>
    <w:p>
      <w:pPr>
        <w:pStyle w:val="ListParagraph"/>
        <w:numPr>
          <w:ilvl w:val="0"/>
          <w:numId w:val="2"/>
        </w:numPr>
        <w:spacing w:after="80"/>
      </w:pPr>
      <w:hyperlink w:history="1" r:id="rId1nxww7j9itesuam9qbajr">
        <w:r>
          <w:rPr>
            <w:rFonts w:ascii="Arial" w:cs="Arial" w:eastAsia="Arial" w:hAnsi="Arial"/>
            <w:color w:val="2F5496"/>
            <w:sz w:val="20"/>
            <w:szCs w:val="20"/>
            <w:u w:val="single" w:color="2F5496"/>
          </w:rPr>
          <w:t xml:space="preserve">Registar neprofitnih organizacija (Ministry of Finance, non-profit register)</w:t>
        </w:r>
      </w:hyperlink>
    </w:p>
    <w:p>
      <w:pPr>
        <w:pStyle w:val="ListParagraph"/>
        <w:numPr>
          <w:ilvl w:val="0"/>
          <w:numId w:val="2"/>
        </w:numPr>
        <w:spacing w:after="80"/>
      </w:pPr>
      <w:hyperlink w:history="1" r:id="rIdmgtgccscsshjcu1pzybes">
        <w:r>
          <w:rPr>
            <w:rFonts w:ascii="Arial" w:cs="Arial" w:eastAsia="Arial" w:hAnsi="Arial"/>
            <w:color w:val="2F5496"/>
            <w:sz w:val="20"/>
            <w:szCs w:val="20"/>
            <w:u w:val="single" w:color="2F5496"/>
          </w:rPr>
          <w:t xml:space="preserve">Registar zaklada i fundacija (foundations register)</w:t>
        </w:r>
      </w:hyperlink>
    </w:p>
    <w:p>
      <w:pPr>
        <w:pStyle w:val="ListParagraph"/>
        <w:numPr>
          <w:ilvl w:val="0"/>
          <w:numId w:val="2"/>
        </w:numPr>
        <w:spacing w:after="80"/>
      </w:pPr>
      <w:hyperlink w:history="1" r:id="rIdeolvmz5j38ehn8rpkyma9">
        <w:r>
          <w:rPr>
            <w:rFonts w:ascii="Arial" w:cs="Arial" w:eastAsia="Arial" w:hAnsi="Arial"/>
            <w:color w:val="2F5496"/>
            <w:sz w:val="20"/>
            <w:szCs w:val="20"/>
            <w:u w:val="single" w:color="2F5496"/>
          </w:rPr>
          <w:t xml:space="preserve">Nacionalna zaklada za razvoj civilnoga društva — Annual report</w:t>
        </w:r>
      </w:hyperlink>
    </w:p>
    <w:p>
      <w:pPr>
        <w:pStyle w:val="ListParagraph"/>
        <w:numPr>
          <w:ilvl w:val="0"/>
          <w:numId w:val="2"/>
        </w:numPr>
        <w:spacing w:after="80"/>
      </w:pPr>
      <w:hyperlink w:history="1" r:id="rIdnncfen73m7kdga9lg3s6s">
        <w:r>
          <w:rPr>
            <w:rFonts w:ascii="Arial" w:cs="Arial" w:eastAsia="Arial" w:hAnsi="Arial"/>
            <w:color w:val="2F5496"/>
            <w:sz w:val="20"/>
            <w:szCs w:val="20"/>
            <w:u w:val="single" w:color="2F5496"/>
          </w:rPr>
          <w:t xml:space="preserve">FINA — Nefinancijski podaci neprofitnih organizacija</w:t>
        </w:r>
      </w:hyperlink>
    </w:p>
    <w:p>
      <w:pPr>
        <w:pStyle w:val="ListParagraph"/>
        <w:numPr>
          <w:ilvl w:val="0"/>
          <w:numId w:val="2"/>
        </w:numPr>
        <w:spacing w:after="80"/>
      </w:pPr>
      <w:hyperlink w:history="1" r:id="rIdczn1lnnnzc8tz3kq66wzg">
        <w:r>
          <w:rPr>
            <w:rFonts w:ascii="Arial" w:cs="Arial" w:eastAsia="Arial" w:hAnsi="Arial"/>
            <w:color w:val="2F5496"/>
            <w:sz w:val="20"/>
            <w:szCs w:val="20"/>
            <w:u w:val="single" w:color="2F5496"/>
          </w:rPr>
          <w:t xml:space="preserve">Zakon.hr — Zakon o porezu na dobit (Corporate Profit Tax Act)</w:t>
        </w:r>
      </w:hyperlink>
    </w:p>
    <w:p>
      <w:pPr>
        <w:pStyle w:val="ListParagraph"/>
        <w:numPr>
          <w:ilvl w:val="0"/>
          <w:numId w:val="2"/>
        </w:numPr>
        <w:spacing w:after="80"/>
      </w:pPr>
      <w:hyperlink w:history="1" r:id="rIdlnqtaang5fyte9qc3bula">
        <w:r>
          <w:rPr>
            <w:rFonts w:ascii="Arial" w:cs="Arial" w:eastAsia="Arial" w:hAnsi="Arial"/>
            <w:color w:val="2F5496"/>
            <w:sz w:val="20"/>
            <w:szCs w:val="20"/>
            <w:u w:val="single" w:color="2F5496"/>
          </w:rPr>
          <w:t xml:space="preserve">Zakon.hr — Zakon o udrugama (Associations Act)</w:t>
        </w:r>
      </w:hyperlink>
    </w:p>
    <w:p>
      <w:pPr>
        <w:pStyle w:val="ListParagraph"/>
        <w:numPr>
          <w:ilvl w:val="0"/>
          <w:numId w:val="2"/>
        </w:numPr>
        <w:spacing w:after="80"/>
      </w:pPr>
      <w:hyperlink w:history="1" r:id="rId6t4q9ng_mrwn3a8pkgzkc">
        <w:r>
          <w:rPr>
            <w:rFonts w:ascii="Arial" w:cs="Arial" w:eastAsia="Arial" w:hAnsi="Arial"/>
            <w:color w:val="2F5496"/>
            <w:sz w:val="20"/>
            <w:szCs w:val="20"/>
            <w:u w:val="single" w:color="2F5496"/>
          </w:rPr>
          <w:t xml:space="preserve">Zakon.hr — Zakon o zakladama (Foundations Act)</w:t>
        </w:r>
      </w:hyperlink>
    </w:p>
    <w:p>
      <w:pPr>
        <w:spacing w:after="120" w:line="300"/>
        <w:jc w:val="left"/>
      </w:pPr>
      <w:r>
        <w:rPr>
          <w:rFonts w:ascii="Arial" w:cs="Arial" w:eastAsia="Arial" w:hAnsi="Arial"/>
          <w:b w:val="false"/>
          <w:bCs w:val="false"/>
          <w:i w:val="false"/>
          <w:iCs w:val="false"/>
          <w:sz w:val="22"/>
          <w:szCs w:val="22"/>
        </w:rPr>
        <w:t xml:space="preserve">EU market:</w:t>
      </w:r>
    </w:p>
    <w:p>
      <w:pPr>
        <w:pStyle w:val="ListParagraph"/>
        <w:numPr>
          <w:ilvl w:val="0"/>
          <w:numId w:val="2"/>
        </w:numPr>
        <w:spacing w:after="80"/>
      </w:pPr>
      <w:hyperlink w:history="1" r:id="rIdlbt3ieepwhronhehbytz9">
        <w:r>
          <w:rPr>
            <w:rFonts w:ascii="Arial" w:cs="Arial" w:eastAsia="Arial" w:hAnsi="Arial"/>
            <w:color w:val="2F5496"/>
            <w:sz w:val="20"/>
            <w:szCs w:val="20"/>
            <w:u w:val="single" w:color="2F5496"/>
          </w:rPr>
          <w:t xml:space="preserve">CIVICUS — State of Civil Society Report</w:t>
        </w:r>
      </w:hyperlink>
    </w:p>
    <w:p>
      <w:pPr>
        <w:pStyle w:val="ListParagraph"/>
        <w:numPr>
          <w:ilvl w:val="0"/>
          <w:numId w:val="2"/>
        </w:numPr>
        <w:spacing w:after="80"/>
      </w:pPr>
      <w:hyperlink w:history="1" r:id="rId9jelody34xn8k_o1z_piw">
        <w:r>
          <w:rPr>
            <w:rFonts w:ascii="Arial" w:cs="Arial" w:eastAsia="Arial" w:hAnsi="Arial"/>
            <w:color w:val="2F5496"/>
            <w:sz w:val="20"/>
            <w:szCs w:val="20"/>
            <w:u w:val="single" w:color="2F5496"/>
          </w:rPr>
          <w:t xml:space="preserve">Philea (European Foundation Centre) — Foundation Sector Report 2024</w:t>
        </w:r>
      </w:hyperlink>
    </w:p>
    <w:p>
      <w:pPr>
        <w:pStyle w:val="ListParagraph"/>
        <w:numPr>
          <w:ilvl w:val="0"/>
          <w:numId w:val="2"/>
        </w:numPr>
        <w:spacing w:after="80"/>
      </w:pPr>
      <w:hyperlink w:history="1" r:id="rIdmjauhrliyw84tg46zxkpx">
        <w:r>
          <w:rPr>
            <w:rFonts w:ascii="Arial" w:cs="Arial" w:eastAsia="Arial" w:hAnsi="Arial"/>
            <w:color w:val="2F5496"/>
            <w:sz w:val="20"/>
            <w:szCs w:val="20"/>
            <w:u w:val="single" w:color="2F5496"/>
          </w:rPr>
          <w:t xml:space="preserve">Eurostat — Non-profit institutions satellite accounts</w:t>
        </w:r>
      </w:hyperlink>
    </w:p>
    <w:p>
      <w:pPr>
        <w:pStyle w:val="ListParagraph"/>
        <w:numPr>
          <w:ilvl w:val="0"/>
          <w:numId w:val="2"/>
        </w:numPr>
        <w:spacing w:after="80"/>
      </w:pPr>
      <w:hyperlink w:history="1" r:id="rId2ckcbblpndopzug5cofem">
        <w:r>
          <w:rPr>
            <w:rFonts w:ascii="Arial" w:cs="Arial" w:eastAsia="Arial" w:hAnsi="Arial"/>
            <w:color w:val="2F5496"/>
            <w:sz w:val="20"/>
            <w:szCs w:val="20"/>
            <w:u w:val="single" w:color="2F5496"/>
          </w:rPr>
          <w:t xml:space="preserve">ERNOP — European Research Network on Philanthropy country chapters</w:t>
        </w:r>
      </w:hyperlink>
    </w:p>
    <w:p>
      <w:pPr>
        <w:pStyle w:val="ListParagraph"/>
        <w:numPr>
          <w:ilvl w:val="0"/>
          <w:numId w:val="2"/>
        </w:numPr>
        <w:spacing w:after="80"/>
      </w:pPr>
      <w:hyperlink w:history="1" r:id="rIddy_pyz-yc5nq7uyhdmmvk">
        <w:r>
          <w:rPr>
            <w:rFonts w:ascii="Arial" w:cs="Arial" w:eastAsia="Arial" w:hAnsi="Arial"/>
            <w:color w:val="2F5496"/>
            <w:sz w:val="20"/>
            <w:szCs w:val="20"/>
            <w:u w:val="single" w:color="2F5496"/>
          </w:rPr>
          <w:t xml:space="preserve">CAF — World Giving Index</w:t>
        </w:r>
      </w:hyperlink>
    </w:p>
    <w:p>
      <w:pPr>
        <w:pStyle w:val="ListParagraph"/>
        <w:numPr>
          <w:ilvl w:val="0"/>
          <w:numId w:val="2"/>
        </w:numPr>
        <w:spacing w:after="80"/>
      </w:pPr>
      <w:hyperlink w:history="1" r:id="rIdvt9higbnnhpq7dzljqjx9">
        <w:r>
          <w:rPr>
            <w:rFonts w:ascii="Arial" w:cs="Arial" w:eastAsia="Arial" w:hAnsi="Arial"/>
            <w:color w:val="2F5496"/>
            <w:sz w:val="20"/>
            <w:szCs w:val="20"/>
            <w:u w:val="single" w:color="2F5496"/>
          </w:rPr>
          <w:t xml:space="preserve">European Commission — Social Economy Action Plan</w:t>
        </w:r>
      </w:hyperlink>
    </w:p>
    <w:p>
      <w:pPr>
        <w:spacing w:after="120" w:line="300"/>
        <w:jc w:val="left"/>
      </w:pPr>
      <w:r>
        <w:rPr>
          <w:rFonts w:ascii="Arial" w:cs="Arial" w:eastAsia="Arial" w:hAnsi="Arial"/>
          <w:b w:val="false"/>
          <w:bCs w:val="false"/>
          <w:i w:val="false"/>
          <w:iCs w:val="false"/>
          <w:sz w:val="22"/>
          <w:szCs w:val="22"/>
        </w:rPr>
        <w:t xml:space="preserve">Charity verification benchmarks:</w:t>
      </w:r>
    </w:p>
    <w:p>
      <w:pPr>
        <w:pStyle w:val="ListParagraph"/>
        <w:numPr>
          <w:ilvl w:val="0"/>
          <w:numId w:val="2"/>
        </w:numPr>
        <w:spacing w:after="80"/>
      </w:pPr>
      <w:hyperlink w:history="1" r:id="rIdsavdtgcwnnydfdf60zn25">
        <w:r>
          <w:rPr>
            <w:rFonts w:ascii="Arial" w:cs="Arial" w:eastAsia="Arial" w:hAnsi="Arial"/>
            <w:color w:val="2F5496"/>
            <w:sz w:val="20"/>
            <w:szCs w:val="20"/>
            <w:u w:val="single" w:color="2F5496"/>
          </w:rPr>
          <w:t xml:space="preserve">ZEWO — Gütesiegel Schweiz (Swiss charity seal)</w:t>
        </w:r>
      </w:hyperlink>
    </w:p>
    <w:p>
      <w:pPr>
        <w:pStyle w:val="ListParagraph"/>
        <w:numPr>
          <w:ilvl w:val="0"/>
          <w:numId w:val="2"/>
        </w:numPr>
        <w:spacing w:after="80"/>
      </w:pPr>
      <w:hyperlink w:history="1" r:id="rIdyel4yep5uvlbsjqfhwlal">
        <w:r>
          <w:rPr>
            <w:rFonts w:ascii="Arial" w:cs="Arial" w:eastAsia="Arial" w:hAnsi="Arial"/>
            <w:color w:val="2F5496"/>
            <w:sz w:val="20"/>
            <w:szCs w:val="20"/>
            <w:u w:val="single" w:color="2F5496"/>
          </w:rPr>
          <w:t xml:space="preserve">DZI — Deutsches Zentralinstitut für soziale Fragen, Spenden-Siegel</w:t>
        </w:r>
      </w:hyperlink>
    </w:p>
    <w:p>
      <w:pPr>
        <w:pStyle w:val="ListParagraph"/>
        <w:numPr>
          <w:ilvl w:val="0"/>
          <w:numId w:val="2"/>
        </w:numPr>
        <w:spacing w:after="80"/>
      </w:pPr>
      <w:hyperlink w:history="1" r:id="rIdoqe-aizprtznwakbyeyiy">
        <w:r>
          <w:rPr>
            <w:rFonts w:ascii="Arial" w:cs="Arial" w:eastAsia="Arial" w:hAnsi="Arial"/>
            <w:color w:val="2F5496"/>
            <w:sz w:val="20"/>
            <w:szCs w:val="20"/>
            <w:u w:val="single" w:color="2F5496"/>
          </w:rPr>
          <w:t xml:space="preserve">Candid / GuideStar — Transparency seals</w:t>
        </w:r>
      </w:hyperlink>
    </w:p>
    <w:p>
      <w:pPr>
        <w:pStyle w:val="ListParagraph"/>
        <w:numPr>
          <w:ilvl w:val="0"/>
          <w:numId w:val="2"/>
        </w:numPr>
        <w:spacing w:after="80"/>
      </w:pPr>
      <w:hyperlink w:history="1" r:id="rIddkqzqgiqpcgjy_6ikds-j">
        <w:r>
          <w:rPr>
            <w:rFonts w:ascii="Arial" w:cs="Arial" w:eastAsia="Arial" w:hAnsi="Arial"/>
            <w:color w:val="2F5496"/>
            <w:sz w:val="20"/>
            <w:szCs w:val="20"/>
            <w:u w:val="single" w:color="2F5496"/>
          </w:rPr>
          <w:t xml:space="preserve">Charity Navigator — Rating methodology</w:t>
        </w:r>
      </w:hyperlink>
    </w:p>
    <w:p>
      <w:pPr>
        <w:pStyle w:val="ListParagraph"/>
        <w:numPr>
          <w:ilvl w:val="0"/>
          <w:numId w:val="2"/>
        </w:numPr>
        <w:spacing w:after="80"/>
      </w:pPr>
      <w:hyperlink w:history="1" r:id="rIdyr4clqdrqyygckuxebtqi">
        <w:r>
          <w:rPr>
            <w:rFonts w:ascii="Arial" w:cs="Arial" w:eastAsia="Arial" w:hAnsi="Arial"/>
            <w:color w:val="2F5496"/>
            <w:sz w:val="20"/>
            <w:szCs w:val="20"/>
            <w:u w:val="single" w:color="2F5496"/>
          </w:rPr>
          <w:t xml:space="preserve">BBB Wise Giving Alliance — 20 Standards for Charity Accountability</w:t>
        </w:r>
      </w:hyperlink>
    </w:p>
    <w:p>
      <w:pPr>
        <w:pStyle w:val="ListParagraph"/>
        <w:numPr>
          <w:ilvl w:val="0"/>
          <w:numId w:val="2"/>
        </w:numPr>
        <w:spacing w:after="80"/>
      </w:pPr>
      <w:hyperlink w:history="1" r:id="rIdbqtrzxtred471n5kjd1ha">
        <w:r>
          <w:rPr>
            <w:rFonts w:ascii="Arial" w:cs="Arial" w:eastAsia="Arial" w:hAnsi="Arial"/>
            <w:color w:val="2F5496"/>
            <w:sz w:val="20"/>
            <w:szCs w:val="20"/>
            <w:u w:val="single" w:color="2F5496"/>
          </w:rPr>
          <w:t xml:space="preserve">ICFO — International Committee on Fundraising Organizations (members list)</w:t>
        </w:r>
      </w:hyperlink>
    </w:p>
    <w:p>
      <w:pPr>
        <w:spacing w:after="120" w:line="300"/>
        <w:jc w:val="left"/>
      </w:pPr>
      <w:r>
        <w:rPr>
          <w:rFonts w:ascii="Arial" w:cs="Arial" w:eastAsia="Arial" w:hAnsi="Arial"/>
          <w:b w:val="false"/>
          <w:bCs w:val="false"/>
          <w:i w:val="false"/>
          <w:iCs w:val="false"/>
          <w:sz w:val="22"/>
          <w:szCs w:val="22"/>
        </w:rPr>
        <w:t xml:space="preserve">Employer branding and certification benchmarks:</w:t>
      </w:r>
    </w:p>
    <w:p>
      <w:pPr>
        <w:pStyle w:val="ListParagraph"/>
        <w:numPr>
          <w:ilvl w:val="0"/>
          <w:numId w:val="2"/>
        </w:numPr>
        <w:spacing w:after="80"/>
      </w:pPr>
      <w:hyperlink w:history="1" r:id="rIdlfpmolqbcg6ajqio22aza">
        <w:r>
          <w:rPr>
            <w:rFonts w:ascii="Arial" w:cs="Arial" w:eastAsia="Arial" w:hAnsi="Arial"/>
            <w:color w:val="2F5496"/>
            <w:sz w:val="20"/>
            <w:szCs w:val="20"/>
            <w:u w:val="single" w:color="2F5496"/>
          </w:rPr>
          <w:t xml:space="preserve">Top Employers Institute — Certification overview</w:t>
        </w:r>
      </w:hyperlink>
    </w:p>
    <w:p>
      <w:pPr>
        <w:pStyle w:val="ListParagraph"/>
        <w:numPr>
          <w:ilvl w:val="0"/>
          <w:numId w:val="2"/>
        </w:numPr>
        <w:spacing w:after="80"/>
      </w:pPr>
      <w:hyperlink w:history="1" r:id="rIdibxgelslrdcmv4tnr53gx">
        <w:r>
          <w:rPr>
            <w:rFonts w:ascii="Arial" w:cs="Arial" w:eastAsia="Arial" w:hAnsi="Arial"/>
            <w:color w:val="2F5496"/>
            <w:sz w:val="20"/>
            <w:szCs w:val="20"/>
            <w:u w:val="single" w:color="2F5496"/>
          </w:rPr>
          <w:t xml:space="preserve">Great Place to Work — Certification methodology</w:t>
        </w:r>
      </w:hyperlink>
    </w:p>
    <w:p>
      <w:pPr>
        <w:pStyle w:val="ListParagraph"/>
        <w:numPr>
          <w:ilvl w:val="0"/>
          <w:numId w:val="2"/>
        </w:numPr>
        <w:spacing w:after="80"/>
      </w:pPr>
      <w:hyperlink w:history="1" r:id="rIdyyjzgsvysjfieset7b2ru">
        <w:r>
          <w:rPr>
            <w:rFonts w:ascii="Arial" w:cs="Arial" w:eastAsia="Arial" w:hAnsi="Arial"/>
            <w:color w:val="2F5496"/>
            <w:sz w:val="20"/>
            <w:szCs w:val="20"/>
            <w:u w:val="single" w:color="2F5496"/>
          </w:rPr>
          <w:t xml:space="preserve">Kununu — Top Company and Fair Company seals</w:t>
        </w:r>
      </w:hyperlink>
    </w:p>
    <w:p>
      <w:pPr>
        <w:pStyle w:val="ListParagraph"/>
        <w:numPr>
          <w:ilvl w:val="0"/>
          <w:numId w:val="2"/>
        </w:numPr>
        <w:spacing w:after="80"/>
      </w:pPr>
      <w:hyperlink w:history="1" r:id="rIdrwvaermnnx52sgvoubktp">
        <w:r>
          <w:rPr>
            <w:rFonts w:ascii="Arial" w:cs="Arial" w:eastAsia="Arial" w:hAnsi="Arial"/>
            <w:color w:val="2F5496"/>
            <w:sz w:val="20"/>
            <w:szCs w:val="20"/>
            <w:u w:val="single" w:color="2F5496"/>
          </w:rPr>
          <w:t xml:space="preserve">EcoVadis — Methodology and Medals</w:t>
        </w:r>
      </w:hyperlink>
    </w:p>
    <w:p>
      <w:pPr>
        <w:pStyle w:val="ListParagraph"/>
        <w:numPr>
          <w:ilvl w:val="0"/>
          <w:numId w:val="2"/>
        </w:numPr>
        <w:spacing w:after="80"/>
      </w:pPr>
      <w:hyperlink w:history="1" r:id="rId0vnrqvorw2j1hak8z3d7x">
        <w:r>
          <w:rPr>
            <w:rFonts w:ascii="Arial" w:cs="Arial" w:eastAsia="Arial" w:hAnsi="Arial"/>
            <w:color w:val="2F5496"/>
            <w:sz w:val="20"/>
            <w:szCs w:val="20"/>
            <w:u w:val="single" w:color="2F5496"/>
          </w:rPr>
          <w:t xml:space="preserve">B Lab — B Corp Certification</w:t>
        </w:r>
      </w:hyperlink>
    </w:p>
    <w:p>
      <w:pPr>
        <w:spacing w:after="120" w:line="300"/>
        <w:jc w:val="left"/>
      </w:pPr>
      <w:r>
        <w:rPr>
          <w:rFonts w:ascii="Arial" w:cs="Arial" w:eastAsia="Arial" w:hAnsi="Arial"/>
          <w:b w:val="false"/>
          <w:bCs w:val="false"/>
          <w:i w:val="false"/>
          <w:iCs w:val="false"/>
          <w:sz w:val="22"/>
          <w:szCs w:val="22"/>
        </w:rPr>
        <w:t xml:space="preserve">CSRD and VSME (regulatory anchor):</w:t>
      </w:r>
    </w:p>
    <w:p>
      <w:pPr>
        <w:pStyle w:val="ListParagraph"/>
        <w:numPr>
          <w:ilvl w:val="0"/>
          <w:numId w:val="2"/>
        </w:numPr>
        <w:spacing w:after="80"/>
      </w:pPr>
      <w:hyperlink w:history="1" r:id="rId5oqwpzi6uzmgipgnmi7vg">
        <w:r>
          <w:rPr>
            <w:rFonts w:ascii="Arial" w:cs="Arial" w:eastAsia="Arial" w:hAnsi="Arial"/>
            <w:color w:val="2F5496"/>
            <w:sz w:val="20"/>
            <w:szCs w:val="20"/>
            <w:u w:val="single" w:color="2F5496"/>
          </w:rPr>
          <w:t xml:space="preserve">European Commission — Corporate sustainability reporting</w:t>
        </w:r>
      </w:hyperlink>
    </w:p>
    <w:p>
      <w:pPr>
        <w:pStyle w:val="ListParagraph"/>
        <w:numPr>
          <w:ilvl w:val="0"/>
          <w:numId w:val="2"/>
        </w:numPr>
        <w:spacing w:after="80"/>
      </w:pPr>
      <w:hyperlink w:history="1" r:id="rId5mrob4eue8tqrnz58my_r">
        <w:r>
          <w:rPr>
            <w:rFonts w:ascii="Arial" w:cs="Arial" w:eastAsia="Arial" w:hAnsi="Arial"/>
            <w:color w:val="2F5496"/>
            <w:sz w:val="20"/>
            <w:szCs w:val="20"/>
            <w:u w:val="single" w:color="2F5496"/>
          </w:rPr>
          <w:t xml:space="preserve">EFRAG — VSME Voluntary Standard</w:t>
        </w:r>
      </w:hyperlink>
    </w:p>
    <w:p>
      <w:pPr>
        <w:pStyle w:val="ListParagraph"/>
        <w:numPr>
          <w:ilvl w:val="0"/>
          <w:numId w:val="2"/>
        </w:numPr>
        <w:spacing w:after="80"/>
      </w:pPr>
      <w:hyperlink w:history="1" r:id="rIdhudzt64fuyxze6hbkvjq5">
        <w:r>
          <w:rPr>
            <w:rFonts w:ascii="Arial" w:cs="Arial" w:eastAsia="Arial" w:hAnsi="Arial"/>
            <w:color w:val="2F5496"/>
            <w:sz w:val="20"/>
            <w:szCs w:val="20"/>
            <w:u w:val="single" w:color="2F5496"/>
          </w:rPr>
          <w:t xml:space="preserve">HANFA — CSRD transposed into Croatian legislation</w:t>
        </w:r>
      </w:hyperlink>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Arial" w:cs="Arial" w:eastAsia="Arial" w:hAnsi="Arial"/>
        <w:color w:val="808080"/>
        <w:sz w:val="18"/>
        <w:szCs w:val="18"/>
      </w:rPr>
      <w:t xml:space="preserve">Prepared 17 Apr 2026 · Confidential</w:t>
    </w:r>
    <w:r>
      <w:rPr>
        <w:rFonts w:ascii="Arial" w:cs="Arial" w:eastAsia="Arial" w:hAnsi="Arial"/>
        <w:sz w:val="18"/>
        <w:szCs w:val="18"/>
      </w:rPr>
      <w:t xml:space="preserve">	</w:t>
    </w:r>
    <w:r>
      <w:rPr>
        <w:rFonts w:ascii="Arial" w:cs="Arial" w:eastAsia="Arial" w:hAnsi="Arial"/>
        <w:color w:val="808080"/>
        <w:sz w:val="18"/>
        <w:szCs w:val="18"/>
      </w:rPr>
      <w:t xml:space="preserve">Page </w:t>
    </w:r>
    <w:r>
      <w:rPr>
        <w:rFonts w:ascii="Arial" w:cs="Arial" w:eastAsia="Arial" w:hAnsi="Arial"/>
        <w:color w:val="808080"/>
        <w:sz w:val="18"/>
        <w:szCs w:val="18"/>
      </w:rPr>
      <w:fldChar w:fldCharType="begin"/>
      <w:instrText xml:space="preserve">PAGE</w:instrText>
      <w:fldChar w:fldCharType="separate"/>
      <w:fldChar w:fldCharType="end"/>
    </w:r>
    <w:r>
      <w:rPr>
        <w:rFonts w:ascii="Arial" w:cs="Arial" w:eastAsia="Arial" w:hAnsi="Arial"/>
        <w:color w:val="808080"/>
        <w:sz w:val="18"/>
        <w:szCs w:val="18"/>
      </w:rPr>
      <w:t xml:space="preserve"> of </w:t>
    </w:r>
    <w:r>
      <w:rPr>
        <w:rFonts w:ascii="Arial" w:cs="Arial" w:eastAsia="Arial" w:hAnsi="Arial"/>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08080"/>
        <w:sz w:val="18"/>
        <w:szCs w:val="18"/>
      </w:rPr>
      <w:t xml:space="preserve">DajSrce — Monetisation Scenarios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abstractNum w:abstractNumId="3" w15:restartNumberingAfterBreak="0">
    <w:multiLevelType w:val="hybridMultilevel"/>
    <w:lvl w:ilvl="0" w15:tentative="1">
      <w:start w:val="1"/>
      <w:numFmt w:val="decimal"/>
      <w:lvlText w:val="%1."/>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0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F3864"/>
      <w:sz w:val="26"/>
      <w:szCs w:val="26"/>
    </w:rPr>
  </w:style>
  <w:style w:type="paragraph" w:styleId="Heading3">
    <w:name w:val="Heading 3"/>
    <w:basedOn w:val="Normal"/>
    <w:next w:val="Normal"/>
    <w:qFormat/>
    <w:pPr>
      <w:spacing w:after="80" w:before="180"/>
      <w:outlineLvl w:val="2"/>
    </w:pPr>
    <w:rPr>
      <w:rFonts w:ascii="Arial" w:cs="Arial" w:eastAsia="Arial" w:hAnsi="Arial"/>
      <w:b/>
      <w:bCs/>
      <w:color w:val="2F5496"/>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3a9jlofuwraahskeaorjt" Type="http://schemas.openxmlformats.org/officeDocument/2006/relationships/hyperlink" Target="https://registri.uprava.hr/#!udruge" TargetMode="External"/><Relationship Id="rId1nxww7j9itesuam9qbajr" Type="http://schemas.openxmlformats.org/officeDocument/2006/relationships/hyperlink" Target="https://www.mfin.hr/hr/registar-neprofitnih-organizacija" TargetMode="External"/><Relationship Id="rIdmgtgccscsshjcu1pzybes" Type="http://schemas.openxmlformats.org/officeDocument/2006/relationships/hyperlink" Target="https://registri.uprava.hr/#!zaklade-fundacije" TargetMode="External"/><Relationship Id="rIdeolvmz5j38ehn8rpkyma9" Type="http://schemas.openxmlformats.org/officeDocument/2006/relationships/hyperlink" Target="https://zaklada.civilnodrustvo.hr/" TargetMode="External"/><Relationship Id="rIdnncfen73m7kdga9lg3s6s" Type="http://schemas.openxmlformats.org/officeDocument/2006/relationships/hyperlink" Target="https://www.fina.hr/" TargetMode="External"/><Relationship Id="rIdczn1lnnnzc8tz3kq66wzg" Type="http://schemas.openxmlformats.org/officeDocument/2006/relationships/hyperlink" Target="https://www.zakon.hr/z/99/zakon-o-porezu-na-dobit" TargetMode="External"/><Relationship Id="rIdlnqtaang5fyte9qc3bula" Type="http://schemas.openxmlformats.org/officeDocument/2006/relationships/hyperlink" Target="https://www.zakon.hr/z/64/zakon-o-udrugama" TargetMode="External"/><Relationship Id="rId6t4q9ng_mrwn3a8pkgzkc" Type="http://schemas.openxmlformats.org/officeDocument/2006/relationships/hyperlink" Target="https://www.zakon.hr/z/116/zakon-o-zakladama" TargetMode="External"/><Relationship Id="rIdlbt3ieepwhronhehbytz9" Type="http://schemas.openxmlformats.org/officeDocument/2006/relationships/hyperlink" Target="https://www.civicus.org/index.php/state-of-civil-society-report-2024" TargetMode="External"/><Relationship Id="rId9jelody34xn8k_o1z_piw" Type="http://schemas.openxmlformats.org/officeDocument/2006/relationships/hyperlink" Target="https://philea.eu/" TargetMode="External"/><Relationship Id="rIdmjauhrliyw84tg46zxkpx" Type="http://schemas.openxmlformats.org/officeDocument/2006/relationships/hyperlink" Target="https://ec.europa.eu/eurostat/web/non-profit-institutions" TargetMode="External"/><Relationship Id="rId2ckcbblpndopzug5cofem" Type="http://schemas.openxmlformats.org/officeDocument/2006/relationships/hyperlink" Target="https://ernop.eu/" TargetMode="External"/><Relationship Id="rIddy_pyz-yc5nq7uyhdmmvk" Type="http://schemas.openxmlformats.org/officeDocument/2006/relationships/hyperlink" Target="https://www.cafonline.org/about-us/publications/2024-publications/world-giving-index-2024" TargetMode="External"/><Relationship Id="rIdvt9higbnnhpq7dzljqjx9" Type="http://schemas.openxmlformats.org/officeDocument/2006/relationships/hyperlink" Target="https://ec.europa.eu/social/main.jsp?catId=1537" TargetMode="External"/><Relationship Id="rIdsavdtgcwnnydfdf60zn25" Type="http://schemas.openxmlformats.org/officeDocument/2006/relationships/hyperlink" Target="https://zewo.ch/en/" TargetMode="External"/><Relationship Id="rIdyel4yep5uvlbsjqfhwlal" Type="http://schemas.openxmlformats.org/officeDocument/2006/relationships/hyperlink" Target="https://www.dzi.de/spenderberatung/das-spenden-siegel/" TargetMode="External"/><Relationship Id="rIdoqe-aizprtznwakbyeyiy" Type="http://schemas.openxmlformats.org/officeDocument/2006/relationships/hyperlink" Target="https://candid.org/" TargetMode="External"/><Relationship Id="rIddkqzqgiqpcgjy_6ikds-j" Type="http://schemas.openxmlformats.org/officeDocument/2006/relationships/hyperlink" Target="https://www.charitynavigator.org/" TargetMode="External"/><Relationship Id="rIdyr4clqdrqyygckuxebtqi" Type="http://schemas.openxmlformats.org/officeDocument/2006/relationships/hyperlink" Target="https://www.give.org/" TargetMode="External"/><Relationship Id="rIdbqtrzxtred471n5kjd1ha" Type="http://schemas.openxmlformats.org/officeDocument/2006/relationships/hyperlink" Target="https://icfo.org/" TargetMode="External"/><Relationship Id="rIdlfpmolqbcg6ajqio22aza" Type="http://schemas.openxmlformats.org/officeDocument/2006/relationships/hyperlink" Target="https://www.top-employers.com/" TargetMode="External"/><Relationship Id="rIdibxgelslrdcmv4tnr53gx" Type="http://schemas.openxmlformats.org/officeDocument/2006/relationships/hyperlink" Target="https://www.greatplacetowork.com/certified-company" TargetMode="External"/><Relationship Id="rIdyyjzgsvysjfieset7b2ru" Type="http://schemas.openxmlformats.org/officeDocument/2006/relationships/hyperlink" Target="https://www.kununu.com/de/info/top-company" TargetMode="External"/><Relationship Id="rIdrwvaermnnx52sgvoubktp" Type="http://schemas.openxmlformats.org/officeDocument/2006/relationships/hyperlink" Target="https://ecovadis.com/solutions/ratings/" TargetMode="External"/><Relationship Id="rId0vnrqvorw2j1hak8z3d7x" Type="http://schemas.openxmlformats.org/officeDocument/2006/relationships/hyperlink" Target="https://www.bcorporation.net/en-us/certification/" TargetMode="External"/><Relationship Id="rId5oqwpzi6uzmgipgnmi7vg" Type="http://schemas.openxmlformats.org/officeDocument/2006/relationships/hyperlink" Target="https://finance.ec.europa.eu/capital-markets-union-and-financial-markets/company-reporting-and-auditing/company-reporting/corporate-sustainability-reporting_en" TargetMode="External"/><Relationship Id="rId5mrob4eue8tqrnz58my_r" Type="http://schemas.openxmlformats.org/officeDocument/2006/relationships/hyperlink" Target="https://www.efrag.org/en/projects/voluntary-reporting-standard-for-smes-vsme/concluded" TargetMode="External"/><Relationship Id="rIdhudzt64fuyxze6hbkvjq5" Type="http://schemas.openxmlformats.org/officeDocument/2006/relationships/hyperlink" Target="https://hanfa.hr/news/hanfa-council-csrd-transposed-into-croatian-legislation/" TargetMode="External"/><Relationship Id="rId3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DajSrce — Monetisation Scenarios (TAM·SAM·SOM)</dc:title>
  <dc:creator>DajSrce</dc:creator>
  <cp:lastModifiedBy>Un-named</cp:lastModifiedBy>
  <cp:revision>1</cp:revision>
  <dcterms:created xsi:type="dcterms:W3CDTF">2026-04-17T10:31:49.214Z</dcterms:created>
  <dcterms:modified xsi:type="dcterms:W3CDTF">2026-04-17T10:31:49.215Z</dcterms:modified>
</cp:coreProperties>
</file>

<file path=docProps/custom.xml><?xml version="1.0" encoding="utf-8"?>
<Properties xmlns="http://schemas.openxmlformats.org/officeDocument/2006/custom-properties" xmlns:vt="http://schemas.openxmlformats.org/officeDocument/2006/docPropsVTypes"/>
</file>