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Calibri" w:cs="Calibri" w:eastAsia="Calibri" w:hAnsi="Calibri"/>
          <w:b/>
          <w:bCs/>
          <w:color w:val="8A6D1F"/>
          <w:spacing w:val="30"/>
          <w:sz w:val="16"/>
          <w:szCs w:val="16"/>
        </w:rPr>
        <w:t xml:space="preserve">ECN 511 · ECONOMICS FOR MANAGERS · GROUP 8</w:t>
      </w:r>
    </w:p>
    <w:p>
      <w:pPr>
        <w:spacing w:after="80"/>
      </w:pPr>
      <w:r>
        <w:rPr>
          <w:rFonts w:ascii="Calibri" w:cs="Calibri" w:eastAsia="Calibri" w:hAnsi="Calibri"/>
          <w:b/>
          <w:bCs/>
          <w:color w:val="1C1F26"/>
          <w:sz w:val="48"/>
          <w:szCs w:val="48"/>
        </w:rPr>
        <w:t xml:space="preserve">Building stadiums, building capability</w:t>
      </w:r>
    </w:p>
    <w:p>
      <w:pPr>
        <w:spacing w:after="320"/>
      </w:pPr>
      <w:r>
        <w:rPr>
          <w:rFonts w:ascii="Calibri" w:cs="Calibri" w:eastAsia="Calibri" w:hAnsi="Calibri"/>
          <w:color w:val="5B6472"/>
          <w:sz w:val="24"/>
          <w:szCs w:val="24"/>
        </w:rPr>
        <w:t xml:space="preserve">Use stadium procurement to leave the Kingdom with qualified people and suppliers.</w:t>
      </w:r>
    </w:p>
    <w:p>
      <w:pPr>
        <w:spacing w:after="120" w:before="0"/>
      </w:pPr>
      <w:r>
        <w:rPr>
          <w:rFonts w:ascii="Calibri" w:cs="Calibri" w:eastAsia="Calibri" w:hAnsi="Calibri"/>
          <w:color w:val="1C1F26"/>
          <w:sz w:val="21"/>
          <w:szCs w:val="21"/>
        </w:rPr>
        <w:t xml:space="preserve">King Salman Stadium, Riyadh — a planned FIFA World Cup 2034 venue.</w:t>
      </w:r>
    </w:p>
    <w:p>
      <w:pPr>
        <w:spacing w:after="300" w:before="0"/>
      </w:pPr>
      <w:r>
        <w:rPr>
          <w:rFonts w:ascii="Calibri" w:cs="Calibri" w:eastAsia="Calibri" w:hAnsi="Calibri"/>
          <w:color w:val="1C1F26"/>
          <w:sz w:val="21"/>
          <w:szCs w:val="21"/>
        </w:rPr>
        <w:t xml:space="preserve">Sector 8, Construction and Infrastructure · Topic B, the multiplier effect of public capital spending and where the money leaks.</w:t>
      </w:r>
    </w:p>
    <w:p>
      <w:pPr>
        <w:spacing w:after="60" w:before="0"/>
      </w:pPr>
      <w:r>
        <w:rPr>
          <w:rFonts w:ascii="Calibri" w:cs="Calibri" w:eastAsia="Calibri" w:hAnsi="Calibri"/>
          <w:color w:val="5B6472"/>
          <w:sz w:val="20"/>
          <w:szCs w:val="20"/>
        </w:rPr>
        <w:t xml:space="preserve">Presented </w:t>
      </w:r>
      <w:r>
        <w:rPr>
          <w:rFonts w:ascii="Calibri" w:cs="Calibri" w:eastAsia="Calibri" w:hAnsi="Calibri"/>
          <w:b/>
          <w:bCs/>
          <w:color w:val="1C1F26"/>
          <w:sz w:val="20"/>
          <w:szCs w:val="20"/>
        </w:rPr>
        <w:t xml:space="preserve">7 November 2026</w:t>
      </w:r>
      <w:r>
        <w:rPr>
          <w:rFonts w:ascii="Calibri" w:cs="Calibri" w:eastAsia="Calibri" w:hAnsi="Calibri"/>
          <w:color w:val="5B6472"/>
          <w:sz w:val="20"/>
          <w:szCs w:val="20"/>
        </w:rPr>
        <w:t xml:space="preserve">  ·  Prepared for Dr Rhea Elizabeth George, MBSC</w:t>
      </w:r>
    </w:p>
    <w:p>
      <w:pPr>
        <w:spacing w:after="420" w:before="0"/>
      </w:pPr>
      <w:r>
        <w:rPr>
          <w:rFonts w:ascii="Calibri" w:cs="Calibri" w:eastAsia="Calibri" w:hAnsi="Calibri"/>
          <w:color w:val="5B6472"/>
          <w:sz w:val="20"/>
          <w:szCs w:val="20"/>
        </w:rPr>
        <w:t xml:space="preserve">Group 8: </w:t>
      </w:r>
      <w:r>
        <w:rPr>
          <w:rFonts w:ascii="Calibri" w:cs="Calibri" w:eastAsia="Calibri" w:hAnsi="Calibri"/>
          <w:color w:val="1C1F26"/>
          <w:sz w:val="20"/>
          <w:szCs w:val="20"/>
        </w:rPr>
        <w:t xml:space="preserve">Salman · Abdulaziz · Nada · Mohammed · Haifa · Abdulmajed · Abdulrahman</w:t>
      </w:r>
    </w:p>
    <w:p>
      <w:pPr>
        <w:pBdr>
          <w:top w:val="single" w:color="D7DBE0" w:sz="6" w:space="10"/>
        </w:pBdr>
        <w:spacing w:after="120"/>
      </w:pPr>
    </w:p>
    <w:p>
      <w:pPr>
        <w:spacing w:after="120" w:before="0"/>
      </w:pPr>
      <w:r>
        <w:rPr>
          <w:rFonts w:ascii="Calibri" w:cs="Calibri" w:eastAsia="Calibri" w:hAnsi="Calibri"/>
          <w:i/>
          <w:iCs/>
          <w:color w:val="5B6472"/>
          <w:sz w:val="19"/>
          <w:szCs w:val="19"/>
        </w:rPr>
        <w:t xml:space="preserve">This document reproduces the content of the group’s presentation — every heading, figure and source line — without the three‑dimensional staging. The charts are the ones used on screen.</w:t>
      </w:r>
    </w:p>
    <w:p>
      <w:pPr>
        <w:pStyle w:val="Heading1"/>
        <w:pageBreakBefore/>
        <w:spacing w:after="180" w:before="0"/>
      </w:pPr>
      <w:r>
        <w:rPr>
          <w:rFonts w:ascii="Calibri" w:cs="Calibri" w:eastAsia="Calibri" w:hAnsi="Calibri"/>
          <w:b/>
          <w:bCs/>
          <w:color w:val="1C1F26"/>
          <w:sz w:val="34"/>
          <w:szCs w:val="34"/>
        </w:rPr>
        <w:t xml:space="preserve">Part 1 · The sector</w:t>
      </w:r>
    </w:p>
    <w:p>
      <w:pPr>
        <w:spacing w:after="200" w:before="0"/>
      </w:pPr>
      <w:r>
        <w:rPr>
          <w:rFonts w:ascii="Calibri" w:cs="Calibri" w:eastAsia="Calibri" w:hAnsi="Calibri"/>
          <w:i/>
          <w:iCs/>
          <w:color w:val="5B6472"/>
          <w:sz w:val="18"/>
          <w:szCs w:val="18"/>
        </w:rPr>
        <w:t xml:space="preserve">Planned speaking time: about 1 minute 15 seconds</w:t>
      </w:r>
    </w:p>
    <w:p>
      <w:pPr>
        <w:keepNext/>
        <w:keepLines/>
        <w:spacing w:after="40" w:before="260"/>
      </w:pPr>
      <w:r>
        <w:rPr>
          <w:rFonts w:ascii="Calibri" w:cs="Calibri" w:eastAsia="Calibri" w:hAnsi="Calibri"/>
          <w:b/>
          <w:bCs/>
          <w:color w:val="8A6D1F"/>
          <w:spacing w:val="24"/>
          <w:sz w:val="15"/>
          <w:szCs w:val="15"/>
        </w:rPr>
        <w:t xml:space="preserve">PART 1 · THE SECTOR</w:t>
      </w:r>
    </w:p>
    <w:p>
      <w:pPr>
        <w:pStyle w:val="Heading2"/>
        <w:keepNext/>
        <w:keepLines/>
        <w:spacing w:after="140" w:before="40"/>
      </w:pPr>
      <w:r>
        <w:rPr>
          <w:rFonts w:ascii="Calibri" w:cs="Calibri" w:eastAsia="Calibri" w:hAnsi="Calibri"/>
          <w:b/>
          <w:bCs/>
          <w:color w:val="00471B"/>
          <w:sz w:val="27"/>
          <w:szCs w:val="27"/>
        </w:rPr>
        <w:t xml:space="preserve">A construction programme, read as an economic decision</w:t>
      </w:r>
    </w:p>
    <w:tbl>
      <w:tblPr>
        <w:tblW w:type="auto" w:w="100"/>
        <w:tblBorders>
          <w:top w:val="single" w:color="D7DBE0" w:sz="4"/>
          <w:left w:val="none"/>
          <w:bottom w:val="single" w:color="D7DBE0" w:sz="4"/>
          <w:right w:val="none"/>
          <w:insideH w:val="none"/>
          <w:insideV w:val="single" w:color="D7DBE0" w:sz="4"/>
        </w:tblBorders>
      </w:tblPr>
      <w:tblGrid>
        <w:gridCol w:w="3120"/>
        <w:gridCol w:w="3120"/>
        <w:gridCol w:w="3120"/>
      </w:tblGrid>
      <w:tr>
        <w:tc>
          <w:tcPr>
            <w:tcW w:type="dxa" w:w="3120"/>
            <w:tcMar>
              <w:top w:type="dxa" w:w="120"/>
              <w:left w:type="dxa" w:w="120"/>
              <w:bottom w:type="dxa" w:w="120"/>
              <w:right w:type="dxa" w:w="120"/>
            </w:tcMar>
          </w:tcPr>
          <w:p>
            <w:pPr>
              <w:spacing w:after="20"/>
            </w:pPr>
            <w:r>
              <w:rPr>
                <w:rFonts w:ascii="Calibri" w:cs="Calibri" w:eastAsia="Calibri" w:hAnsi="Calibri"/>
                <w:b/>
                <w:bCs/>
                <w:color w:val="00471B"/>
                <w:sz w:val="34"/>
                <w:szCs w:val="34"/>
              </w:rPr>
              <w:t xml:space="preserve">92,760</w:t>
            </w:r>
          </w:p>
          <w:p>
            <w:pPr>
              <w:spacing w:after="20"/>
            </w:pPr>
            <w:r>
              <w:rPr>
                <w:rFonts w:ascii="Calibri" w:cs="Calibri" w:eastAsia="Calibri" w:hAnsi="Calibri"/>
                <w:color w:val="1C1F26"/>
                <w:sz w:val="17"/>
                <w:szCs w:val="17"/>
              </w:rPr>
              <w:t xml:space="preserve">planned gross capacity, King Salman Stadium</w:t>
            </w:r>
          </w:p>
          <w:p>
            <w:r>
              <w:rPr>
                <w:rFonts w:ascii="Calibri" w:cs="Calibri" w:eastAsia="Calibri" w:hAnsi="Calibri"/>
                <w:i/>
                <w:iCs/>
                <w:color w:val="5B6472"/>
                <w:sz w:val="14"/>
                <w:szCs w:val="14"/>
              </w:rPr>
              <w:t xml:space="preserve">Verified [R01]</w:t>
            </w:r>
          </w:p>
        </w:tc>
        <w:tc>
          <w:tcPr>
            <w:tcW w:type="dxa" w:w="3120"/>
            <w:tcMar>
              <w:top w:type="dxa" w:w="120"/>
              <w:left w:type="dxa" w:w="120"/>
              <w:bottom w:type="dxa" w:w="120"/>
              <w:right w:type="dxa" w:w="120"/>
            </w:tcMar>
          </w:tcPr>
          <w:p>
            <w:pPr>
              <w:spacing w:after="20"/>
            </w:pPr>
            <w:r>
              <w:rPr>
                <w:rFonts w:ascii="Calibri" w:cs="Calibri" w:eastAsia="Calibri" w:hAnsi="Calibri"/>
                <w:b/>
                <w:bCs/>
                <w:color w:val="00471B"/>
                <w:sz w:val="34"/>
                <w:szCs w:val="34"/>
              </w:rPr>
              <w:t xml:space="preserve">7.5%</w:t>
            </w:r>
          </w:p>
          <w:p>
            <w:pPr>
              <w:spacing w:after="20"/>
            </w:pPr>
            <w:r>
              <w:rPr>
                <w:rFonts w:ascii="Calibri" w:cs="Calibri" w:eastAsia="Calibri" w:hAnsi="Calibri"/>
                <w:color w:val="1C1F26"/>
                <w:sz w:val="17"/>
                <w:szCs w:val="17"/>
              </w:rPr>
              <w:t xml:space="preserve">construction share of nominal GDP, Q2 2026</w:t>
            </w:r>
          </w:p>
          <w:p>
            <w:r>
              <w:rPr>
                <w:rFonts w:ascii="Calibri" w:cs="Calibri" w:eastAsia="Calibri" w:hAnsi="Calibri"/>
                <w:i/>
                <w:iCs/>
                <w:color w:val="5B6472"/>
                <w:sz w:val="14"/>
                <w:szCs w:val="14"/>
              </w:rPr>
              <w:t xml:space="preserve">Verified [R04]</w:t>
            </w:r>
          </w:p>
        </w:tc>
        <w:tc>
          <w:tcPr>
            <w:tcW w:type="dxa" w:w="3120"/>
            <w:tcMar>
              <w:top w:type="dxa" w:w="120"/>
              <w:left w:type="dxa" w:w="120"/>
              <w:bottom w:type="dxa" w:w="120"/>
              <w:right w:type="dxa" w:w="120"/>
            </w:tcMar>
          </w:tcPr>
          <w:p>
            <w:pPr>
              <w:spacing w:after="20"/>
            </w:pPr>
            <w:r>
              <w:rPr>
                <w:rFonts w:ascii="Calibri" w:cs="Calibri" w:eastAsia="Calibri" w:hAnsi="Calibri"/>
                <w:b/>
                <w:bCs/>
                <w:color w:val="00471B"/>
                <w:sz w:val="34"/>
                <w:szCs w:val="34"/>
              </w:rPr>
              <w:t xml:space="preserve">15</w:t>
            </w:r>
          </w:p>
          <w:p>
            <w:pPr>
              <w:spacing w:after="20"/>
            </w:pPr>
            <w:r>
              <w:rPr>
                <w:rFonts w:ascii="Calibri" w:cs="Calibri" w:eastAsia="Calibri" w:hAnsi="Calibri"/>
                <w:color w:val="1C1F26"/>
                <w:sz w:val="17"/>
                <w:szCs w:val="17"/>
              </w:rPr>
              <w:t xml:space="preserve">venues proposed across five cities</w:t>
            </w:r>
          </w:p>
          <w:p>
            <w:r>
              <w:rPr>
                <w:rFonts w:ascii="Calibri" w:cs="Calibri" w:eastAsia="Calibri" w:hAnsi="Calibri"/>
                <w:i/>
                <w:iCs/>
                <w:color w:val="5B6472"/>
                <w:sz w:val="14"/>
                <w:szCs w:val="14"/>
              </w:rPr>
              <w:t xml:space="preserve">Verified [R01]</w:t>
            </w:r>
          </w:p>
        </w:tc>
      </w:tr>
    </w:tbl>
    <w:p>
      <w:pPr>
        <w:spacing w:after="80" w:before="0"/>
      </w:pPr>
      <w:r>
        <w:rPr>
          <w:rFonts w:ascii="Calibri" w:cs="Calibri" w:eastAsia="Calibri" w:hAnsi="Calibri"/>
          <w:color w:val="1C1F26"/>
          <w:sz w:val="8"/>
          <w:szCs w:val="8"/>
        </w:rPr>
        <w:t xml:space="preserve"/>
      </w:r>
    </w:p>
    <w:p>
      <w:pPr>
        <w:spacing w:after="110" w:before="0"/>
      </w:pPr>
      <w:r>
        <w:rPr>
          <w:rFonts w:ascii="Calibri" w:cs="Calibri" w:eastAsia="Calibri" w:hAnsi="Calibri"/>
          <w:color w:val="1C1F26"/>
          <w:sz w:val="21"/>
          <w:szCs w:val="21"/>
        </w:rPr>
        <w:t xml:space="preserve">Our focus is where imports concentrate: electrical systems, ventilation and controls.</w:t>
      </w:r>
    </w:p>
    <w:p>
      <w:pPr>
        <w:pBdr>
          <w:top w:val="single" w:color="D7DBE0" w:sz="4" w:space="6"/>
        </w:pBdr>
        <w:spacing w:after="200" w:before="60"/>
      </w:pPr>
      <w:r>
        <w:rPr>
          <w:rFonts w:ascii="Calibri" w:cs="Calibri" w:eastAsia="Calibri" w:hAnsi="Calibri"/>
          <w:i/>
          <w:iCs/>
          <w:color w:val="5B6472"/>
          <w:sz w:val="16"/>
          <w:szCs w:val="16"/>
        </w:rPr>
        <w:t xml:space="preserve">FIFA, Bid Evaluation Report, 29 November 2024, pp. 46–51 [R01] — the 2024 evaluated bid, not a 2026 delivery census. GASTAT, Quarterly GDP, Q2 2026, sheet 1.3 [R04] — provisional, current prices.</w:t>
      </w:r>
    </w:p>
    <w:p>
      <w:pPr>
        <w:keepNext/>
        <w:keepLines/>
        <w:spacing w:after="40" w:before="260"/>
      </w:pPr>
      <w:r>
        <w:rPr>
          <w:rFonts w:ascii="Calibri" w:cs="Calibri" w:eastAsia="Calibri" w:hAnsi="Calibri"/>
          <w:b/>
          <w:bCs/>
          <w:color w:val="8A6D1F"/>
          <w:spacing w:val="24"/>
          <w:sz w:val="15"/>
          <w:szCs w:val="15"/>
        </w:rPr>
        <w:t xml:space="preserve">PART 1 · WHO BUYS AND WHO SUPPLIES</w:t>
      </w:r>
    </w:p>
    <w:p>
      <w:pPr>
        <w:pStyle w:val="Heading2"/>
        <w:keepNext/>
        <w:keepLines/>
        <w:spacing w:after="140" w:before="40"/>
      </w:pPr>
      <w:r>
        <w:rPr>
          <w:rFonts w:ascii="Calibri" w:cs="Calibri" w:eastAsia="Calibri" w:hAnsi="Calibri"/>
          <w:b/>
          <w:bCs/>
          <w:color w:val="00471B"/>
          <w:sz w:val="27"/>
          <w:szCs w:val="27"/>
        </w:rPr>
        <w:t xml:space="preserve">Public owners, an international delivery chain</w:t>
      </w:r>
    </w:p>
    <w:p>
      <w:pPr>
        <w:spacing w:after="120" w:before="160"/>
        <w:jc w:val="center"/>
      </w:pPr>
      <w:r>
        <w:drawing>
          <wp:inline distT="0" distB="0" distL="0" distR="0">
            <wp:extent cx="6096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838450"/>
                    </a:xfrm>
                    <a:prstGeom prst="rect">
                      <a:avLst/>
                    </a:prstGeom>
                  </pic:spPr>
                </pic:pic>
              </a:graphicData>
            </a:graphic>
          </wp:inline>
        </w:drawing>
      </w:r>
    </w:p>
    <w:p>
      <w:pPr>
        <w:pBdr>
          <w:top w:val="single" w:color="D7DBE0" w:sz="4" w:space="6"/>
        </w:pBdr>
        <w:spacing w:after="200" w:before="60"/>
      </w:pPr>
      <w:r>
        <w:rPr>
          <w:rFonts w:ascii="Calibri" w:cs="Calibri" w:eastAsia="Calibri" w:hAnsi="Calibri"/>
          <w:i/>
          <w:iCs/>
          <w:color w:val="5B6472"/>
          <w:sz w:val="16"/>
          <w:szCs w:val="16"/>
        </w:rPr>
        <w:t xml:space="preserve">Ministry of Sport prequalification invitations: main works 25 November 2025 [R02], preliminary works 7 April 2026 [R03]. Documented evidence of procurement stage — not of award, value or construction start. Designer identity: Populous, 18 November 2024 [S06].</w:t>
      </w:r>
    </w:p>
    <w:p>
      <w:pPr>
        <w:keepNext/>
        <w:keepLines/>
        <w:spacing w:after="40" w:before="260"/>
      </w:pPr>
      <w:r>
        <w:rPr>
          <w:rFonts w:ascii="Calibri" w:cs="Calibri" w:eastAsia="Calibri" w:hAnsi="Calibri"/>
          <w:b/>
          <w:bCs/>
          <w:color w:val="8A6D1F"/>
          <w:spacing w:val="24"/>
          <w:sz w:val="15"/>
          <w:szCs w:val="15"/>
        </w:rPr>
        <w:t xml:space="preserve">PART 1 · HOW IMPORT-DEPENDENT IT IS</w:t>
      </w:r>
    </w:p>
    <w:p>
      <w:pPr>
        <w:pStyle w:val="Heading2"/>
        <w:keepNext/>
        <w:keepLines/>
        <w:spacing w:after="140" w:before="40"/>
      </w:pPr>
      <w:r>
        <w:rPr>
          <w:rFonts w:ascii="Calibri" w:cs="Calibri" w:eastAsia="Calibri" w:hAnsi="Calibri"/>
          <w:b/>
          <w:bCs/>
          <w:color w:val="00471B"/>
          <w:sz w:val="27"/>
          <w:szCs w:val="27"/>
        </w:rPr>
        <w:t xml:space="preserve">The inputs a stadium needs most are the ones the Kingdom imports most</w:t>
      </w:r>
    </w:p>
    <w:p>
      <w:pPr>
        <w:spacing w:after="120" w:before="160"/>
        <w:jc w:val="center"/>
      </w:pPr>
      <w:r>
        <w:drawing>
          <wp:inline distT="0" distB="0" distL="0" distR="0">
            <wp:extent cx="6096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114800"/>
                    </a:xfrm>
                    <a:prstGeom prst="rect">
                      <a:avLst/>
                    </a:prstGeom>
                  </pic:spPr>
                </pic:pic>
              </a:graphicData>
            </a:graphic>
          </wp:inline>
        </w:drawing>
      </w:r>
    </w:p>
    <w:p>
      <w:pPr>
        <w:spacing w:after="110" w:before="0"/>
      </w:pPr>
      <w:r>
        <w:rPr>
          <w:rFonts w:ascii="Calibri" w:cs="Calibri" w:eastAsia="Calibri" w:hAnsi="Calibri"/>
          <w:color w:val="1C1F26"/>
          <w:sz w:val="21"/>
          <w:szCs w:val="21"/>
        </w:rPr>
        <w:t xml:space="preserve">GASTAT Supply and Use tables, 2023, sheet 6.1 (cells AA/AB). National ratios — they cannot be treated as construction or stadium import shares.</w:t>
      </w:r>
    </w:p>
    <w:p>
      <w:pPr>
        <w:pBdr>
          <w:top w:val="single" w:color="D7DBE0" w:sz="4" w:space="6"/>
        </w:pBdr>
        <w:spacing w:after="200" w:before="60"/>
      </w:pPr>
      <w:r>
        <w:rPr>
          <w:rFonts w:ascii="Calibri" w:cs="Calibri" w:eastAsia="Calibri" w:hAnsi="Calibri"/>
          <w:i/>
          <w:iCs/>
          <w:color w:val="5B6472"/>
          <w:sz w:val="16"/>
          <w:szCs w:val="16"/>
        </w:rPr>
        <w:t xml:space="preserve">GASTAT, Supply and Use / Input–Output tables by sections, 2023, sheet 6.1 [R05]. Imports as a share of national supply — a screen for where to ask for contract data, not a measurement of this project.</w:t>
      </w:r>
    </w:p>
    <w:p>
      <w:pPr>
        <w:pStyle w:val="Heading1"/>
        <w:pageBreakBefore/>
        <w:spacing w:after="180" w:before="0"/>
      </w:pPr>
      <w:r>
        <w:rPr>
          <w:rFonts w:ascii="Calibri" w:cs="Calibri" w:eastAsia="Calibri" w:hAnsi="Calibri"/>
          <w:b/>
          <w:bCs/>
          <w:color w:val="1C1F26"/>
          <w:sz w:val="34"/>
          <w:szCs w:val="34"/>
        </w:rPr>
        <w:t xml:space="preserve">Part 2 · The economics topic</w:t>
      </w:r>
    </w:p>
    <w:p>
      <w:pPr>
        <w:spacing w:after="200" w:before="0"/>
      </w:pPr>
      <w:r>
        <w:rPr>
          <w:rFonts w:ascii="Calibri" w:cs="Calibri" w:eastAsia="Calibri" w:hAnsi="Calibri"/>
          <w:i/>
          <w:iCs/>
          <w:color w:val="5B6472"/>
          <w:sz w:val="18"/>
          <w:szCs w:val="18"/>
        </w:rPr>
        <w:t xml:space="preserve">Planned speaking time: about 3 minutes</w:t>
      </w:r>
    </w:p>
    <w:p>
      <w:pPr>
        <w:keepNext/>
        <w:keepLines/>
        <w:spacing w:after="40" w:before="260"/>
      </w:pPr>
      <w:r>
        <w:rPr>
          <w:rFonts w:ascii="Calibri" w:cs="Calibri" w:eastAsia="Calibri" w:hAnsi="Calibri"/>
          <w:b/>
          <w:bCs/>
          <w:color w:val="8A6D1F"/>
          <w:spacing w:val="24"/>
          <w:sz w:val="15"/>
          <w:szCs w:val="15"/>
        </w:rPr>
        <w:t xml:space="preserve">PART 2 · THE ECONOMICS TOPIC</w:t>
      </w:r>
    </w:p>
    <w:p>
      <w:pPr>
        <w:pStyle w:val="Heading2"/>
        <w:keepNext/>
        <w:keepLines/>
        <w:spacing w:after="140" w:before="40"/>
      </w:pPr>
      <w:r>
        <w:rPr>
          <w:rFonts w:ascii="Calibri" w:cs="Calibri" w:eastAsia="Calibri" w:hAnsi="Calibri"/>
          <w:b/>
          <w:bCs/>
          <w:color w:val="00471B"/>
          <w:sz w:val="27"/>
          <w:szCs w:val="27"/>
        </w:rPr>
        <w:t xml:space="preserve">In 2034 the stadium is finished. Our question starts earlier.</w:t>
      </w:r>
    </w:p>
    <w:p>
      <w:pPr>
        <w:spacing w:after="140" w:before="0"/>
      </w:pPr>
      <w:r>
        <w:rPr>
          <w:rFonts w:ascii="Calibri" w:cs="Calibri" w:eastAsia="Calibri" w:hAnsi="Calibri"/>
          <w:color w:val="1C1F26"/>
          <w:sz w:val="24"/>
          <w:szCs w:val="24"/>
        </w:rPr>
        <w:t xml:space="preserve">When the Kingdom pays to build it, how much production happens inside the Kingdom — and what capability remains?</w:t>
      </w:r>
    </w:p>
    <w:p>
      <w:pPr>
        <w:spacing w:after="110" w:before="0"/>
      </w:pPr>
      <w:r>
        <w:rPr>
          <w:rFonts w:ascii="Calibri" w:cs="Calibri" w:eastAsia="Calibri" w:hAnsi="Calibri"/>
          <w:i/>
          <w:iCs/>
          <w:color w:val="5B6472"/>
          <w:sz w:val="17"/>
          <w:szCs w:val="17"/>
        </w:rPr>
        <w:t xml:space="preserve">Topic B · the spending multiplier and where it leaks</w:t>
      </w:r>
    </w:p>
    <w:p>
      <w:pPr>
        <w:keepNext/>
        <w:keepLines/>
        <w:spacing w:after="40" w:before="260"/>
      </w:pPr>
      <w:r>
        <w:rPr>
          <w:rFonts w:ascii="Calibri" w:cs="Calibri" w:eastAsia="Calibri" w:hAnsi="Calibri"/>
          <w:b/>
          <w:bCs/>
          <w:color w:val="8A6D1F"/>
          <w:spacing w:val="24"/>
          <w:sz w:val="15"/>
          <w:szCs w:val="15"/>
        </w:rPr>
        <w:t xml:space="preserve">PART 2 · WHAT THE KINGDOM KEEPS TODAY</w:t>
      </w:r>
    </w:p>
    <w:p>
      <w:pPr>
        <w:pStyle w:val="Heading2"/>
        <w:keepNext/>
        <w:keepLines/>
        <w:spacing w:after="140" w:before="40"/>
      </w:pPr>
      <w:r>
        <w:rPr>
          <w:rFonts w:ascii="Calibri" w:cs="Calibri" w:eastAsia="Calibri" w:hAnsi="Calibri"/>
          <w:b/>
          <w:bCs/>
          <w:color w:val="00471B"/>
          <w:sz w:val="27"/>
          <w:szCs w:val="27"/>
        </w:rPr>
        <w:t xml:space="preserve">Measured, not assumed: just over half of construction output is Saudi value added</w:t>
      </w:r>
    </w:p>
    <w:p>
      <w:pPr>
        <w:keepNext/>
        <w:spacing w:after="20" w:before="140"/>
      </w:pPr>
      <w:r>
        <w:rPr>
          <w:rFonts w:ascii="Calibri" w:cs="Calibri" w:eastAsia="Calibri" w:hAnsi="Calibri"/>
          <w:b/>
          <w:bCs/>
          <w:color w:val="1C1F26"/>
          <w:sz w:val="18"/>
          <w:szCs w:val="18"/>
        </w:rPr>
        <w:t xml:space="preserve">Saudi construction, 2023 — output, bought-in inputs, value added</w:t>
      </w:r>
      <w:r>
        <w:rPr>
          <w:rFonts w:ascii="Calibri" w:cs="Calibri" w:eastAsia="Calibri" w:hAnsi="Calibri"/>
          <w:i/>
          <w:iCs/>
          <w:color w:val="5B6472"/>
          <w:sz w:val="15"/>
          <w:szCs w:val="15"/>
        </w:rPr>
        <w:t xml:space="preserve">   Verified [R05]</w:t>
      </w:r>
    </w:p>
    <w:p>
      <w:pPr>
        <w:spacing w:after="120" w:before="160"/>
        <w:jc w:val="center"/>
      </w:pPr>
      <w:r>
        <w:drawing>
          <wp:inline distT="0" distB="0" distL="0" distR="0">
            <wp:extent cx="6096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200400"/>
                    </a:xfrm>
                    <a:prstGeom prst="rect">
                      <a:avLst/>
                    </a:prstGeom>
                  </pic:spPr>
                </pic:pic>
              </a:graphicData>
            </a:graphic>
          </wp:inline>
        </w:drawing>
      </w:r>
    </w:p>
    <w:p>
      <w:pPr>
        <w:spacing w:after="110" w:before="0"/>
      </w:pPr>
      <w:r>
        <w:rPr>
          <w:rFonts w:ascii="Calibri" w:cs="Calibri" w:eastAsia="Calibri" w:hAnsi="Calibri"/>
          <w:color w:val="1C1F26"/>
          <w:sz w:val="21"/>
          <w:szCs w:val="21"/>
        </w:rPr>
        <w:t xml:space="preserve">GASTAT Supply &amp; Use / Input–Output tables by sections, 2023. An accounting share, not a multiplier and not an LCGPA local-content score.</w:t>
      </w:r>
    </w:p>
    <w:p>
      <w:pPr>
        <w:spacing w:after="110" w:before="0"/>
      </w:pPr>
      <w:r>
        <w:rPr>
          <w:rFonts w:ascii="Calibri" w:cs="Calibri" w:eastAsia="Calibri" w:hAnsi="Calibri"/>
          <w:color w:val="1C1F26"/>
          <w:sz w:val="21"/>
          <w:szCs w:val="21"/>
        </w:rPr>
        <w:t xml:space="preserve">Of every SAR 100 the sector produces, SAR 52.40 is value created here and SAR 47.60 buys inputs. That is the baseline the multiplier works on — and the share procurement can move.</w:t>
      </w:r>
    </w:p>
    <w:p>
      <w:pPr>
        <w:pBdr>
          <w:top w:val="single" w:color="D7DBE0" w:sz="4" w:space="6"/>
        </w:pBdr>
        <w:spacing w:after="200" w:before="60"/>
      </w:pPr>
      <w:r>
        <w:rPr>
          <w:rFonts w:ascii="Calibri" w:cs="Calibri" w:eastAsia="Calibri" w:hAnsi="Calibri"/>
          <w:i/>
          <w:iCs/>
          <w:color w:val="5B6472"/>
          <w:sz w:val="16"/>
          <w:szCs w:val="16"/>
        </w:rPr>
        <w:t xml:space="preserve">GASTAT, Supply and Use / Input–Output tables by sections, 2023 [R05]. SAR billion.</w:t>
      </w:r>
    </w:p>
    <w:p>
      <w:pPr>
        <w:keepNext/>
        <w:keepLines/>
        <w:spacing w:after="40" w:before="260"/>
      </w:pPr>
      <w:r>
        <w:rPr>
          <w:rFonts w:ascii="Calibri" w:cs="Calibri" w:eastAsia="Calibri" w:hAnsi="Calibri"/>
          <w:b/>
          <w:bCs/>
          <w:color w:val="8A6D1F"/>
          <w:spacing w:val="24"/>
          <w:sz w:val="15"/>
          <w:szCs w:val="15"/>
        </w:rPr>
        <w:t xml:space="preserve">PART 2 · FOLLOW THE MONEY</w:t>
      </w:r>
    </w:p>
    <w:p>
      <w:pPr>
        <w:pStyle w:val="Heading2"/>
        <w:keepNext/>
        <w:keepLines/>
        <w:spacing w:after="140" w:before="40"/>
      </w:pPr>
      <w:r>
        <w:rPr>
          <w:rFonts w:ascii="Calibri" w:cs="Calibri" w:eastAsia="Calibri" w:hAnsi="Calibri"/>
          <w:b/>
          <w:bCs/>
          <w:color w:val="00471B"/>
          <w:sz w:val="27"/>
          <w:szCs w:val="27"/>
        </w:rPr>
        <w:t xml:space="preserve">One payment, then round after round</w:t>
      </w:r>
    </w:p>
    <w:p>
      <w:pPr>
        <w:spacing w:after="120" w:before="160"/>
        <w:jc w:val="center"/>
      </w:pPr>
      <w:r>
        <w:drawing>
          <wp:inline distT="0" distB="0" distL="0" distR="0">
            <wp:extent cx="6096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009900"/>
                    </a:xfrm>
                    <a:prstGeom prst="rect">
                      <a:avLst/>
                    </a:prstGeom>
                  </pic:spPr>
                </pic:pic>
              </a:graphicData>
            </a:graphic>
          </wp:inline>
        </w:drawing>
      </w:r>
    </w:p>
    <w:p>
      <w:pPr>
        <w:pBdr>
          <w:top w:val="single" w:color="D7DBE0" w:sz="4" w:space="6"/>
        </w:pBdr>
        <w:spacing w:after="200" w:before="60"/>
      </w:pPr>
      <w:r>
        <w:rPr>
          <w:rFonts w:ascii="Calibri" w:cs="Calibri" w:eastAsia="Calibri" w:hAnsi="Calibri"/>
          <w:i/>
          <w:iCs/>
          <w:color w:val="5B6472"/>
          <w:sz w:val="16"/>
          <w:szCs w:val="16"/>
        </w:rPr>
        <w:t xml:space="preserve">Illustrative spending model — group assumptions. Not a measured Saudi or stadium multiplier.</w:t>
      </w:r>
    </w:p>
    <w:p>
      <w:pPr>
        <w:keepNext/>
        <w:keepLines/>
        <w:spacing w:after="40" w:before="260"/>
      </w:pPr>
      <w:r>
        <w:rPr>
          <w:rFonts w:ascii="Calibri" w:cs="Calibri" w:eastAsia="Calibri" w:hAnsi="Calibri"/>
          <w:b/>
          <w:bCs/>
          <w:color w:val="8A6D1F"/>
          <w:spacing w:val="24"/>
          <w:sz w:val="15"/>
          <w:szCs w:val="15"/>
        </w:rPr>
        <w:t xml:space="preserve">PART 2 · THE LEAKS</w:t>
      </w:r>
    </w:p>
    <w:p>
      <w:pPr>
        <w:pStyle w:val="Heading2"/>
        <w:keepNext/>
        <w:keepLines/>
        <w:spacing w:after="140" w:before="40"/>
      </w:pPr>
      <w:r>
        <w:rPr>
          <w:rFonts w:ascii="Calibri" w:cs="Calibri" w:eastAsia="Calibri" w:hAnsi="Calibri"/>
          <w:b/>
          <w:bCs/>
          <w:color w:val="00471B"/>
          <w:sz w:val="27"/>
          <w:szCs w:val="27"/>
        </w:rPr>
        <w:t xml:space="preserve">Every leak makes the next round smaller</w:t>
      </w:r>
    </w:p>
    <w:p>
      <w:pPr>
        <w:spacing w:after="70" w:before="0"/>
        <w:ind w:left="260"/>
      </w:pPr>
      <w:r>
        <w:rPr>
          <w:rFonts w:ascii="Calibri" w:cs="Calibri" w:eastAsia="Calibri" w:hAnsi="Calibri"/>
          <w:b/>
          <w:bCs/>
          <w:color w:val="1C1F26"/>
          <w:sz w:val="21"/>
          <w:szCs w:val="21"/>
        </w:rPr>
        <w:t xml:space="preserve">Leak 1 — Imports: </w:t>
      </w:r>
      <w:r>
        <w:rPr>
          <w:rFonts w:ascii="Calibri" w:cs="Calibri" w:eastAsia="Calibri" w:hAnsi="Calibri"/>
          <w:color w:val="1C1F26"/>
          <w:sz w:val="21"/>
          <w:szCs w:val="21"/>
        </w:rPr>
        <w:t xml:space="preserve">The payment buys production abroad.</w:t>
      </w:r>
    </w:p>
    <w:p>
      <w:pPr>
        <w:spacing w:after="70" w:before="0"/>
        <w:ind w:left="260"/>
      </w:pPr>
      <w:r>
        <w:rPr>
          <w:rFonts w:ascii="Calibri" w:cs="Calibri" w:eastAsia="Calibri" w:hAnsi="Calibri"/>
          <w:b/>
          <w:bCs/>
          <w:color w:val="1C1F26"/>
          <w:sz w:val="21"/>
          <w:szCs w:val="21"/>
        </w:rPr>
        <w:t xml:space="preserve">Leak 2 — Saving: </w:t>
      </w:r>
      <w:r>
        <w:rPr>
          <w:rFonts w:ascii="Calibri" w:cs="Calibri" w:eastAsia="Calibri" w:hAnsi="Calibri"/>
          <w:color w:val="1C1F26"/>
          <w:sz w:val="21"/>
          <w:szCs w:val="21"/>
        </w:rPr>
        <w:t xml:space="preserve">Income not spent again this round.</w:t>
      </w:r>
    </w:p>
    <w:p>
      <w:pPr>
        <w:spacing w:after="70" w:before="0"/>
        <w:ind w:left="260"/>
      </w:pPr>
      <w:r>
        <w:rPr>
          <w:rFonts w:ascii="Calibri" w:cs="Calibri" w:eastAsia="Calibri" w:hAnsi="Calibri"/>
          <w:b/>
          <w:bCs/>
          <w:color w:val="1C1F26"/>
          <w:sz w:val="21"/>
          <w:szCs w:val="21"/>
        </w:rPr>
        <w:t xml:space="preserve">Leak 3 — Taxes and fees: </w:t>
      </w:r>
      <w:r>
        <w:rPr>
          <w:rFonts w:ascii="Calibri" w:cs="Calibri" w:eastAsia="Calibri" w:hAnsi="Calibri"/>
          <w:color w:val="1C1F26"/>
          <w:sz w:val="21"/>
          <w:szCs w:val="21"/>
        </w:rPr>
        <w:t xml:space="preserve">Withdrawn before the next round.</w:t>
      </w:r>
    </w:p>
    <w:p>
      <w:pPr>
        <w:spacing w:after="60" w:before="0"/>
      </w:pPr>
      <w:r>
        <w:rPr>
          <w:rFonts w:ascii="Calibri" w:cs="Calibri" w:eastAsia="Calibri" w:hAnsi="Calibri"/>
          <w:color w:val="1C1F26"/>
          <w:sz w:val="8"/>
          <w:szCs w:val="8"/>
        </w:rPr>
        <w:t xml:space="preserve"/>
      </w:r>
    </w:p>
    <w:p>
      <w:pPr>
        <w:spacing w:after="110" w:before="0"/>
      </w:pPr>
      <w:r>
        <w:rPr>
          <w:rFonts w:ascii="Calibri" w:cs="Calibri" w:eastAsia="Calibri" w:hAnsi="Calibri"/>
          <w:color w:val="1C1F26"/>
          <w:sz w:val="21"/>
          <w:szCs w:val="21"/>
        </w:rPr>
        <w:t xml:space="preserve">Returning to domestic production each round: r = 0.4725 · effect per riyal of domestic impulse 1.90.</w:t>
      </w:r>
    </w:p>
    <w:p>
      <w:pPr>
        <w:spacing w:after="110" w:before="0"/>
      </w:pPr>
      <w:r>
        <w:rPr>
          <w:rFonts w:ascii="Calibri" w:cs="Calibri" w:eastAsia="Calibri" w:hAnsi="Calibri"/>
          <w:i/>
          <w:iCs/>
          <w:color w:val="5B6472"/>
          <w:sz w:val="17"/>
          <w:szCs w:val="17"/>
        </w:rPr>
        <w:t xml:space="preserve">Illustrative · teaching assumptions</w:t>
      </w:r>
    </w:p>
    <w:p>
      <w:pPr>
        <w:keepNext/>
        <w:keepLines/>
        <w:spacing w:after="40" w:before="260"/>
      </w:pPr>
      <w:r>
        <w:rPr>
          <w:rFonts w:ascii="Calibri" w:cs="Calibri" w:eastAsia="Calibri" w:hAnsi="Calibri"/>
          <w:b/>
          <w:bCs/>
          <w:color w:val="8A6D1F"/>
          <w:spacing w:val="24"/>
          <w:sz w:val="15"/>
          <w:szCs w:val="15"/>
        </w:rPr>
        <w:t xml:space="preserve">PART 2 · ROUND BY ROUND</w:t>
      </w:r>
    </w:p>
    <w:p>
      <w:pPr>
        <w:pStyle w:val="Heading2"/>
        <w:keepNext/>
        <w:keepLines/>
        <w:spacing w:after="140" w:before="40"/>
      </w:pPr>
      <w:r>
        <w:rPr>
          <w:rFonts w:ascii="Calibri" w:cs="Calibri" w:eastAsia="Calibri" w:hAnsi="Calibri"/>
          <w:b/>
          <w:bCs/>
          <w:color w:val="00471B"/>
          <w:sz w:val="27"/>
          <w:szCs w:val="27"/>
        </w:rPr>
        <w:t xml:space="preserve">The first round is the one procurement controls</w:t>
      </w:r>
    </w:p>
    <w:p>
      <w:pPr>
        <w:spacing w:after="120" w:before="160"/>
        <w:jc w:val="center"/>
      </w:pPr>
      <w:r>
        <w:drawing>
          <wp:inline distT="0" distB="0" distL="0" distR="0">
            <wp:extent cx="6096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390900"/>
                    </a:xfrm>
                    <a:prstGeom prst="rect">
                      <a:avLst/>
                    </a:prstGeom>
                  </pic:spPr>
                </pic:pic>
              </a:graphicData>
            </a:graphic>
          </wp:inline>
        </w:drawing>
      </w:r>
    </w:p>
    <w:p>
      <w:pPr>
        <w:spacing w:after="110" w:before="0"/>
      </w:pPr>
      <w:r>
        <w:rPr>
          <w:rFonts w:ascii="Calibri" w:cs="Calibri" w:eastAsia="Calibri" w:hAnsi="Calibri"/>
          <w:color w:val="1C1F26"/>
          <w:sz w:val="21"/>
          <w:szCs w:val="21"/>
        </w:rPr>
        <w:t xml:space="preserve">Group calculation. Round 1 = local share × SAR 1,000m; each later round = previous × r, r = 0.75 × 0.90 × 0.70 = 0.4725. Illustrative teaching assumptions, not measured parameters.</w:t>
      </w:r>
    </w:p>
    <w:p>
      <w:pPr>
        <w:spacing w:after="110" w:before="0"/>
      </w:pPr>
      <w:r>
        <w:rPr>
          <w:rFonts w:ascii="Calibri" w:cs="Calibri" w:eastAsia="Calibri" w:hAnsi="Calibri"/>
          <w:color w:val="1C1F26"/>
          <w:sz w:val="21"/>
          <w:szCs w:val="21"/>
        </w:rPr>
        <w:t xml:space="preserve">Totals converge to SAR 1,137m and SAR 1,327m per SAR 1bn of spending.</w:t>
      </w:r>
    </w:p>
    <w:p>
      <w:pPr>
        <w:pBdr>
          <w:top w:val="single" w:color="D7DBE0" w:sz="4" w:space="6"/>
        </w:pBdr>
        <w:spacing w:after="200" w:before="60"/>
      </w:pPr>
      <w:r>
        <w:rPr>
          <w:rFonts w:ascii="Calibri" w:cs="Calibri" w:eastAsia="Calibri" w:hAnsi="Calibri"/>
          <w:i/>
          <w:iCs/>
          <w:color w:val="5B6472"/>
          <w:sz w:val="16"/>
          <w:szCs w:val="16"/>
        </w:rPr>
        <w:t xml:space="preserve">group calculation, illustrative.</w:t>
      </w:r>
    </w:p>
    <w:p>
      <w:pPr>
        <w:keepNext/>
        <w:keepLines/>
        <w:spacing w:after="40" w:before="260"/>
      </w:pPr>
      <w:r>
        <w:rPr>
          <w:rFonts w:ascii="Calibri" w:cs="Calibri" w:eastAsia="Calibri" w:hAnsi="Calibri"/>
          <w:b/>
          <w:bCs/>
          <w:color w:val="8A6D1F"/>
          <w:spacing w:val="24"/>
          <w:sz w:val="15"/>
          <w:szCs w:val="15"/>
        </w:rPr>
        <w:t xml:space="preserve">PART 2 · MOVE TEN POINTS, HOLD EVERYTHING ELSE</w:t>
      </w:r>
    </w:p>
    <w:p>
      <w:pPr>
        <w:pStyle w:val="Heading2"/>
        <w:keepNext/>
        <w:keepLines/>
        <w:spacing w:after="140" w:before="40"/>
      </w:pPr>
      <w:r>
        <w:rPr>
          <w:rFonts w:ascii="Calibri" w:cs="Calibri" w:eastAsia="Calibri" w:hAnsi="Calibri"/>
          <w:b/>
          <w:bCs/>
          <w:color w:val="00471B"/>
          <w:sz w:val="27"/>
          <w:szCs w:val="27"/>
        </w:rPr>
        <w:t xml:space="preserve">Where an illustrative SAR 1 billion goes</w:t>
      </w:r>
    </w:p>
    <w:p>
      <w:pPr>
        <w:spacing w:after="120" w:before="160"/>
        <w:jc w:val="center"/>
      </w:pPr>
      <w:r>
        <w:drawing>
          <wp:inline distT="0" distB="0" distL="0" distR="0">
            <wp:extent cx="6096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733675"/>
                    </a:xfrm>
                    <a:prstGeom prst="rect">
                      <a:avLst/>
                    </a:prstGeom>
                  </pic:spPr>
                </pic:pic>
              </a:graphicData>
            </a:graphic>
          </wp:inline>
        </w:drawing>
      </w:r>
    </w:p>
    <w:p>
      <w:pPr>
        <w:spacing w:after="110" w:before="0"/>
      </w:pPr>
      <w:r>
        <w:rPr>
          <w:rFonts w:ascii="Calibri" w:cs="Calibri" w:eastAsia="Calibri" w:hAnsi="Calibri"/>
          <w:color w:val="1C1F26"/>
          <w:sz w:val="21"/>
          <w:szCs w:val="21"/>
        </w:rPr>
        <w:t xml:space="preserve">Group assumptions. Illustrative shares, not King Salman Stadium procurement data.</w:t>
      </w:r>
    </w:p>
    <w:p>
      <w:pPr>
        <w:pBdr>
          <w:top w:val="single" w:color="D7DBE0" w:sz="4" w:space="6"/>
        </w:pBdr>
        <w:spacing w:after="200" w:before="60"/>
      </w:pPr>
      <w:r>
        <w:rPr>
          <w:rFonts w:ascii="Calibri" w:cs="Calibri" w:eastAsia="Calibri" w:hAnsi="Calibri"/>
          <w:i/>
          <w:iCs/>
          <w:color w:val="5B6472"/>
          <w:sz w:val="16"/>
          <w:szCs w:val="16"/>
        </w:rPr>
        <w:t xml:space="preserve">group assumptions, illustrative.</w:t>
      </w:r>
    </w:p>
    <w:p>
      <w:pPr>
        <w:keepNext/>
        <w:keepLines/>
        <w:spacing w:after="40" w:before="260"/>
      </w:pPr>
      <w:r>
        <w:rPr>
          <w:rFonts w:ascii="Calibri" w:cs="Calibri" w:eastAsia="Calibri" w:hAnsi="Calibri"/>
          <w:b/>
          <w:bCs/>
          <w:color w:val="8A6D1F"/>
          <w:spacing w:val="24"/>
          <w:sz w:val="15"/>
          <w:szCs w:val="15"/>
        </w:rPr>
        <w:t xml:space="preserve">PART 2 · THE RESULT</w:t>
      </w:r>
    </w:p>
    <w:p>
      <w:pPr>
        <w:pStyle w:val="Heading2"/>
        <w:keepNext/>
        <w:keepLines/>
        <w:spacing w:after="140" w:before="40"/>
      </w:pPr>
      <w:r>
        <w:rPr>
          <w:rFonts w:ascii="Calibri" w:cs="Calibri" w:eastAsia="Calibri" w:hAnsi="Calibri"/>
          <w:b/>
          <w:bCs/>
          <w:color w:val="00471B"/>
          <w:sz w:val="27"/>
          <w:szCs w:val="27"/>
        </w:rPr>
        <w:t xml:space="preserve">+SAR 190m</w:t>
      </w:r>
    </w:p>
    <w:p>
      <w:pPr>
        <w:spacing w:after="140" w:before="0"/>
      </w:pPr>
      <w:r>
        <w:rPr>
          <w:rFonts w:ascii="Calibri" w:cs="Calibri" w:eastAsia="Calibri" w:hAnsi="Calibri"/>
          <w:color w:val="1C1F26"/>
          <w:sz w:val="23"/>
          <w:szCs w:val="23"/>
        </w:rPr>
        <w:t xml:space="preserve">of extra domestic output per SAR 1bn, from ten percentage points more local share in the first round.</w:t>
      </w:r>
    </w:p>
    <w:p>
      <w:pPr>
        <w:spacing w:after="110" w:before="0"/>
      </w:pPr>
      <w:r>
        <w:rPr>
          <w:rFonts w:ascii="Calibri" w:cs="Calibri" w:eastAsia="Calibri" w:hAnsi="Calibri"/>
          <w:color w:val="1C1F26"/>
          <w:sz w:val="21"/>
          <w:szCs w:val="21"/>
        </w:rPr>
        <w:t xml:space="preserve">SAR 1,137m → SAR 1,327m. The size depends on real procurement, capacity and cost. This is the lever, not a forecast.</w:t>
      </w:r>
    </w:p>
    <w:p>
      <w:pPr>
        <w:keepNext/>
        <w:keepLines/>
        <w:spacing w:after="40" w:before="260"/>
      </w:pPr>
      <w:r>
        <w:rPr>
          <w:rFonts w:ascii="Calibri" w:cs="Calibri" w:eastAsia="Calibri" w:hAnsi="Calibri"/>
          <w:b/>
          <w:bCs/>
          <w:color w:val="8A6D1F"/>
          <w:spacing w:val="24"/>
          <w:sz w:val="15"/>
          <w:szCs w:val="15"/>
        </w:rPr>
        <w:t xml:space="preserve">PART 2 · THE REALITY CHECK</w:t>
      </w:r>
    </w:p>
    <w:p>
      <w:pPr>
        <w:pStyle w:val="Heading2"/>
        <w:keepNext/>
        <w:keepLines/>
        <w:spacing w:after="140" w:before="40"/>
      </w:pPr>
      <w:r>
        <w:rPr>
          <w:rFonts w:ascii="Calibri" w:cs="Calibri" w:eastAsia="Calibri" w:hAnsi="Calibri"/>
          <w:b/>
          <w:bCs/>
          <w:color w:val="00471B"/>
          <w:sz w:val="27"/>
          <w:szCs w:val="27"/>
        </w:rPr>
        <w:t xml:space="preserve">Spending alone is a weak lever — which is exactly our argument</w:t>
      </w:r>
    </w:p>
    <w:p>
      <w:pPr>
        <w:keepNext/>
        <w:spacing w:after="20" w:before="140"/>
      </w:pPr>
      <w:r>
        <w:rPr>
          <w:rFonts w:ascii="Calibri" w:cs="Calibri" w:eastAsia="Calibri" w:hAnsi="Calibri"/>
          <w:b/>
          <w:bCs/>
          <w:color w:val="1C1F26"/>
          <w:sz w:val="18"/>
          <w:szCs w:val="18"/>
        </w:rPr>
        <w:t xml:space="preserve">Saudi capital-spending multiplier on non-oil growth</w:t>
      </w:r>
      <w:r>
        <w:rPr>
          <w:rFonts w:ascii="Calibri" w:cs="Calibri" w:eastAsia="Calibri" w:hAnsi="Calibri"/>
          <w:i/>
          <w:iCs/>
          <w:color w:val="5B6472"/>
          <w:sz w:val="15"/>
          <w:szCs w:val="15"/>
        </w:rPr>
        <w:t xml:space="preserve">   Verified [R08]</w:t>
      </w:r>
    </w:p>
    <w:p>
      <w:pPr>
        <w:spacing w:after="120" w:before="160"/>
        <w:jc w:val="center"/>
      </w:pPr>
      <w:r>
        <w:drawing>
          <wp:inline distT="0" distB="0" distL="0" distR="0">
            <wp:extent cx="6096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514600"/>
                    </a:xfrm>
                    <a:prstGeom prst="rect">
                      <a:avLst/>
                    </a:prstGeom>
                  </pic:spPr>
                </pic:pic>
              </a:graphicData>
            </a:graphic>
          </wp:inline>
        </w:drawing>
      </w:r>
    </w:p>
    <w:p>
      <w:pPr>
        <w:spacing w:after="110" w:before="0"/>
      </w:pPr>
      <w:r>
        <w:rPr>
          <w:rFonts w:ascii="Calibri" w:cs="Calibri" w:eastAsia="Calibri" w:hAnsi="Calibri"/>
          <w:color w:val="1C1F26"/>
          <w:sz w:val="21"/>
          <w:szCs w:val="21"/>
        </w:rPr>
        <w:t xml:space="preserve">IMF, Saudi Arabia Article IV (2024), Box 1 — average of reviewed estimates. Not a stadium forecast.</w:t>
      </w:r>
    </w:p>
    <w:p>
      <w:pPr>
        <w:spacing w:after="110" w:before="0"/>
      </w:pPr>
      <w:r>
        <w:rPr>
          <w:rFonts w:ascii="Calibri" w:cs="Calibri" w:eastAsia="Calibri" w:hAnsi="Calibri"/>
          <w:color w:val="1C1F26"/>
          <w:sz w:val="21"/>
          <w:szCs w:val="21"/>
        </w:rPr>
        <w:t xml:space="preserve">The IMF puts the average at 0.2 in the short run and 0.6 at peak. When capacity is tight, extra riyals bid up prices instead of adding output. So the lever is not how much is spent — it is how much of it can be produced here. That is a capability question, and it is what the EPP is for.</w:t>
      </w:r>
    </w:p>
    <w:p>
      <w:pPr>
        <w:pBdr>
          <w:top w:val="single" w:color="D7DBE0" w:sz="4" w:space="6"/>
        </w:pBdr>
        <w:spacing w:after="200" w:before="60"/>
      </w:pPr>
      <w:r>
        <w:rPr>
          <w:rFonts w:ascii="Calibri" w:cs="Calibri" w:eastAsia="Calibri" w:hAnsi="Calibri"/>
          <w:i/>
          <w:iCs/>
          <w:color w:val="5B6472"/>
          <w:sz w:val="16"/>
          <w:szCs w:val="16"/>
        </w:rPr>
        <w:t xml:space="preserve">IMF, Saudi Arabia 2024 Article IV, Country Report 24/280, Box 1, printed p. 10 [R08]. An average of reviewed estimates — not a stadium forecast, and not a calibration of our illustration.</w:t>
      </w:r>
    </w:p>
    <w:p>
      <w:pPr>
        <w:pStyle w:val="Heading1"/>
        <w:pageBreakBefore/>
        <w:spacing w:after="180" w:before="0"/>
      </w:pPr>
      <w:r>
        <w:rPr>
          <w:rFonts w:ascii="Calibri" w:cs="Calibri" w:eastAsia="Calibri" w:hAnsi="Calibri"/>
          <w:b/>
          <w:bCs/>
          <w:color w:val="1C1F26"/>
          <w:sz w:val="34"/>
          <w:szCs w:val="34"/>
        </w:rPr>
        <w:t xml:space="preserve">Part 3 · The EPP and localisation</w:t>
      </w:r>
    </w:p>
    <w:p>
      <w:pPr>
        <w:spacing w:after="200" w:before="0"/>
      </w:pPr>
      <w:r>
        <w:rPr>
          <w:rFonts w:ascii="Calibri" w:cs="Calibri" w:eastAsia="Calibri" w:hAnsi="Calibri"/>
          <w:i/>
          <w:iCs/>
          <w:color w:val="5B6472"/>
          <w:sz w:val="18"/>
          <w:szCs w:val="18"/>
        </w:rPr>
        <w:t xml:space="preserve">Planned speaking time: about 2 minutes 30 seconds</w:t>
      </w:r>
    </w:p>
    <w:p>
      <w:pPr>
        <w:keepNext/>
        <w:keepLines/>
        <w:spacing w:after="40" w:before="260"/>
      </w:pPr>
      <w:r>
        <w:rPr>
          <w:rFonts w:ascii="Calibri" w:cs="Calibri" w:eastAsia="Calibri" w:hAnsi="Calibri"/>
          <w:b/>
          <w:bCs/>
          <w:color w:val="8A6D1F"/>
          <w:spacing w:val="24"/>
          <w:sz w:val="15"/>
          <w:szCs w:val="15"/>
        </w:rPr>
        <w:t xml:space="preserve">PART 3 · THE CURRENT SITUATION</w:t>
      </w:r>
    </w:p>
    <w:p>
      <w:pPr>
        <w:pStyle w:val="Heading2"/>
        <w:keepNext/>
        <w:keepLines/>
        <w:spacing w:after="140" w:before="40"/>
      </w:pPr>
      <w:r>
        <w:rPr>
          <w:rFonts w:ascii="Calibri" w:cs="Calibri" w:eastAsia="Calibri" w:hAnsi="Calibri"/>
          <w:b/>
          <w:bCs/>
          <w:color w:val="00471B"/>
          <w:sz w:val="27"/>
          <w:szCs w:val="27"/>
        </w:rPr>
        <w:t xml:space="preserve">The policy exists. Its use on a stadium is not on the public record.</w:t>
      </w:r>
    </w:p>
    <w:p>
      <w:pPr>
        <w:spacing w:after="70" w:before="0"/>
        <w:ind w:left="260"/>
      </w:pPr>
      <w:r>
        <w:rPr>
          <w:rFonts w:ascii="Calibri" w:cs="Calibri" w:eastAsia="Calibri" w:hAnsi="Calibri"/>
          <w:b/>
          <w:bCs/>
          <w:color w:val="1C1F26"/>
          <w:sz w:val="21"/>
          <w:szCs w:val="21"/>
        </w:rPr>
        <w:t xml:space="preserve">The policy — Published: </w:t>
      </w:r>
      <w:r>
        <w:rPr>
          <w:rFonts w:ascii="Calibri" w:cs="Calibri" w:eastAsia="Calibri" w:hAnsi="Calibri"/>
          <w:color w:val="1C1F26"/>
          <w:sz w:val="21"/>
          <w:szCs w:val="21"/>
        </w:rPr>
        <w:t xml:space="preserve">A SAR 100m imported-value gate and a 35% obligation, with seven credit categories [R09].</w:t>
      </w:r>
    </w:p>
    <w:p>
      <w:pPr>
        <w:spacing w:after="70" w:before="0"/>
        <w:ind w:left="260"/>
      </w:pPr>
      <w:r>
        <w:rPr>
          <w:rFonts w:ascii="Calibri" w:cs="Calibri" w:eastAsia="Calibri" w:hAnsi="Calibri"/>
          <w:b/>
          <w:bCs/>
          <w:color w:val="1C1F26"/>
          <w:sz w:val="21"/>
          <w:szCs w:val="21"/>
        </w:rPr>
        <w:t xml:space="preserve">This sector — No evidence found: </w:t>
      </w:r>
      <w:r>
        <w:rPr>
          <w:rFonts w:ascii="Calibri" w:cs="Calibri" w:eastAsia="Calibri" w:hAnsi="Calibri"/>
          <w:color w:val="1C1F26"/>
          <w:sz w:val="21"/>
          <w:szCs w:val="21"/>
        </w:rPr>
        <w:t xml:space="preserve">No EP agreement, credit factor or imported-value figure is published for any Saudi stadium.</w:t>
      </w:r>
    </w:p>
    <w:p>
      <w:pPr>
        <w:spacing w:after="70" w:before="0"/>
        <w:ind w:left="260"/>
      </w:pPr>
      <w:r>
        <w:rPr>
          <w:rFonts w:ascii="Calibri" w:cs="Calibri" w:eastAsia="Calibri" w:hAnsi="Calibri"/>
          <w:b/>
          <w:bCs/>
          <w:color w:val="1C1F26"/>
          <w:sz w:val="21"/>
          <w:szCs w:val="21"/>
        </w:rPr>
        <w:t xml:space="preserve">The project — Notices only: </w:t>
      </w:r>
      <w:r>
        <w:rPr>
          <w:rFonts w:ascii="Calibri" w:cs="Calibri" w:eastAsia="Calibri" w:hAnsi="Calibri"/>
          <w:color w:val="1C1F26"/>
          <w:sz w:val="21"/>
          <w:szCs w:val="21"/>
        </w:rPr>
        <w:t xml:space="preserve">Main works invited 25 November 2025, preliminary works 7 April 2026 [R02][R03].</w:t>
      </w:r>
    </w:p>
    <w:p>
      <w:pPr>
        <w:spacing w:after="60" w:before="0"/>
      </w:pPr>
      <w:r>
        <w:rPr>
          <w:rFonts w:ascii="Calibri" w:cs="Calibri" w:eastAsia="Calibri" w:hAnsi="Calibri"/>
          <w:color w:val="1C1F26"/>
          <w:sz w:val="8"/>
          <w:szCs w:val="8"/>
        </w:rPr>
        <w:t xml:space="preserve"/>
      </w:r>
    </w:p>
    <w:p>
      <w:pPr>
        <w:spacing w:after="110" w:before="0"/>
      </w:pPr>
      <w:r>
        <w:rPr>
          <w:rFonts w:ascii="Calibri" w:cs="Calibri" w:eastAsia="Calibri" w:hAnsi="Calibri"/>
          <w:color w:val="1C1F26"/>
          <w:sz w:val="21"/>
          <w:szCs w:val="21"/>
        </w:rPr>
        <w:t xml:space="preserve">Where the dependence sits. In the equipment — basic metals and electrical machinery are 54.5% and 50.3% imported as a share of national supply [R05] — and in the people who commission it. Testing, controls set-up and fault diagnosis are routinely flown in.</w:t>
      </w:r>
    </w:p>
    <w:p>
      <w:pPr>
        <w:pBdr>
          <w:top w:val="single" w:color="D7DBE0" w:sz="4" w:space="6"/>
        </w:pBdr>
        <w:spacing w:after="200" w:before="60"/>
      </w:pPr>
      <w:r>
        <w:rPr>
          <w:rFonts w:ascii="Calibri" w:cs="Calibri" w:eastAsia="Calibri" w:hAnsi="Calibri"/>
          <w:i/>
          <w:iCs/>
          <w:color w:val="5B6472"/>
          <w:sz w:val="16"/>
          <w:szCs w:val="16"/>
        </w:rPr>
        <w:t xml:space="preserve">Searched 13–22 October 2026: LCGPA's training material and portal [R09], the April 2026 consultation notice [R11], Ministry of Sport notices and the main-contractor questionnaire [R02][R03], FIFA's bid evaluation [R01]. Absence from the public record is not proof that no agreement exists — it is the limit of what we could verify.</w:t>
      </w:r>
    </w:p>
    <w:p>
      <w:pPr>
        <w:keepNext/>
        <w:keepLines/>
        <w:spacing w:after="40" w:before="260"/>
      </w:pPr>
      <w:r>
        <w:rPr>
          <w:rFonts w:ascii="Calibri" w:cs="Calibri" w:eastAsia="Calibri" w:hAnsi="Calibri"/>
          <w:b/>
          <w:bCs/>
          <w:color w:val="8A6D1F"/>
          <w:spacing w:val="24"/>
          <w:sz w:val="15"/>
          <w:szCs w:val="15"/>
        </w:rPr>
        <w:t xml:space="preserve">PART 3 · THE EPP AND LOCALISATION IN OUR SECTOR</w:t>
      </w:r>
    </w:p>
    <w:p>
      <w:pPr>
        <w:pStyle w:val="Heading2"/>
        <w:keepNext/>
        <w:keepLines/>
        <w:spacing w:after="140" w:before="40"/>
      </w:pPr>
      <w:r>
        <w:rPr>
          <w:rFonts w:ascii="Calibri" w:cs="Calibri" w:eastAsia="Calibri" w:hAnsi="Calibri"/>
          <w:b/>
          <w:bCs/>
          <w:color w:val="00471B"/>
          <w:sz w:val="27"/>
          <w:szCs w:val="27"/>
        </w:rPr>
        <w:t xml:space="preserve">The gate: SAR 100m of imported goods and services</w:t>
      </w:r>
    </w:p>
    <w:p>
      <w:pPr>
        <w:spacing w:after="120" w:before="160"/>
        <w:jc w:val="center"/>
      </w:pPr>
      <w:r>
        <w:drawing>
          <wp:inline distT="0" distB="0" distL="0" distR="0">
            <wp:extent cx="6096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019300"/>
                    </a:xfrm>
                    <a:prstGeom prst="rect">
                      <a:avLst/>
                    </a:prstGeom>
                  </pic:spPr>
                </pic:pic>
              </a:graphicData>
            </a:graphic>
          </wp:inline>
        </w:drawing>
      </w:r>
    </w:p>
    <w:p>
      <w:pPr>
        <w:pBdr>
          <w:top w:val="single" w:color="D7DBE0" w:sz="4" w:space="6"/>
        </w:pBdr>
        <w:spacing w:after="200" w:before="60"/>
      </w:pPr>
      <w:r>
        <w:rPr>
          <w:rFonts w:ascii="Calibri" w:cs="Calibri" w:eastAsia="Calibri" w:hAnsi="Calibri"/>
          <w:i/>
          <w:iCs/>
          <w:color w:val="5B6472"/>
          <w:sz w:val="16"/>
          <w:szCs w:val="16"/>
        </w:rPr>
        <w:t xml:space="preserve">LCGPA, Economic Participation Policy, Unit 7 training document, printed pp. 4–5 and 12 [R09]. Published training baseline — legal commencement not established.</w:t>
      </w:r>
    </w:p>
    <w:p>
      <w:pPr>
        <w:keepNext/>
        <w:keepLines/>
        <w:spacing w:after="40" w:before="260"/>
      </w:pPr>
      <w:r>
        <w:rPr>
          <w:rFonts w:ascii="Calibri" w:cs="Calibri" w:eastAsia="Calibri" w:hAnsi="Calibri"/>
          <w:b/>
          <w:bCs/>
          <w:color w:val="8A6D1F"/>
          <w:spacing w:val="24"/>
          <w:sz w:val="15"/>
          <w:szCs w:val="15"/>
        </w:rPr>
        <w:t xml:space="preserve">PART 3 · WHAT THE OBLIGATION IS WORTH</w:t>
      </w:r>
    </w:p>
    <w:p>
      <w:pPr>
        <w:pStyle w:val="Heading2"/>
        <w:keepNext/>
        <w:keepLines/>
        <w:spacing w:after="140" w:before="40"/>
      </w:pPr>
      <w:r>
        <w:rPr>
          <w:rFonts w:ascii="Calibri" w:cs="Calibri" w:eastAsia="Calibri" w:hAnsi="Calibri"/>
          <w:b/>
          <w:bCs/>
          <w:color w:val="00471B"/>
          <w:sz w:val="27"/>
          <w:szCs w:val="27"/>
        </w:rPr>
        <w:t xml:space="preserve">35% of eligible import value</w:t>
      </w:r>
    </w:p>
    <w:p>
      <w:pPr>
        <w:spacing w:after="120" w:before="160"/>
        <w:jc w:val="center"/>
      </w:pPr>
      <w:r>
        <w:drawing>
          <wp:inline distT="0" distB="0" distL="0" distR="0">
            <wp:extent cx="6096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228850"/>
                    </a:xfrm>
                    <a:prstGeom prst="rect">
                      <a:avLst/>
                    </a:prstGeom>
                  </pic:spPr>
                </pic:pic>
              </a:graphicData>
            </a:graphic>
          </wp:inline>
        </w:drawing>
      </w:r>
    </w:p>
    <w:p>
      <w:pPr>
        <w:pBdr>
          <w:top w:val="single" w:color="D7DBE0" w:sz="4" w:space="6"/>
        </w:pBdr>
        <w:spacing w:after="200" w:before="60"/>
      </w:pPr>
      <w:r>
        <w:rPr>
          <w:rFonts w:ascii="Calibri" w:cs="Calibri" w:eastAsia="Calibri" w:hAnsi="Calibri"/>
          <w:i/>
          <w:iCs/>
          <w:color w:val="5B6472"/>
          <w:sz w:val="16"/>
          <w:szCs w:val="16"/>
        </w:rPr>
        <w:t xml:space="preserve">LCGPA, Economic Participation Policy, Unit 7, pp. 4–5 and 12 [R09]. The 35% applies to eligible imported value, never to whole contract value; the SAR 400m package is illustrative.</w:t>
      </w:r>
    </w:p>
    <w:p>
      <w:pPr>
        <w:keepNext/>
        <w:keepLines/>
        <w:spacing w:after="40" w:before="260"/>
      </w:pPr>
      <w:r>
        <w:rPr>
          <w:rFonts w:ascii="Calibri" w:cs="Calibri" w:eastAsia="Calibri" w:hAnsi="Calibri"/>
          <w:b/>
          <w:bCs/>
          <w:color w:val="8A6D1F"/>
          <w:spacing w:val="24"/>
          <w:sz w:val="15"/>
          <w:szCs w:val="15"/>
        </w:rPr>
        <w:t xml:space="preserve">PART 3 · WHICH EP CATEGORIES AND MULTIPLIERS MATTER</w:t>
      </w:r>
    </w:p>
    <w:p>
      <w:pPr>
        <w:pStyle w:val="Heading2"/>
        <w:keepNext/>
        <w:keepLines/>
        <w:spacing w:after="140" w:before="40"/>
      </w:pPr>
      <w:r>
        <w:rPr>
          <w:rFonts w:ascii="Calibri" w:cs="Calibri" w:eastAsia="Calibri" w:hAnsi="Calibri"/>
          <w:b/>
          <w:bCs/>
          <w:color w:val="00471B"/>
          <w:sz w:val="27"/>
          <w:szCs w:val="27"/>
        </w:rPr>
        <w:t xml:space="preserve">Seven categories, and the multiplier decides what a riyal of effort is worth</w:t>
      </w:r>
    </w:p>
    <w:p>
      <w:pPr>
        <w:spacing w:after="70" w:before="0"/>
        <w:ind w:left="260"/>
      </w:pPr>
      <w:r>
        <w:rPr>
          <w:rFonts w:ascii="Calibri" w:cs="Calibri" w:eastAsia="Calibri" w:hAnsi="Calibri"/>
          <w:b/>
          <w:bCs/>
          <w:color w:val="1C1F26"/>
          <w:sz w:val="21"/>
          <w:szCs w:val="21"/>
        </w:rPr>
        <w:t xml:space="preserve">Fits our pilot — Knowledge transfer: </w:t>
      </w:r>
      <w:r>
        <w:rPr>
          <w:rFonts w:ascii="Calibri" w:cs="Calibri" w:eastAsia="Calibri" w:hAnsi="Calibri"/>
          <w:color w:val="1C1F26"/>
          <w:sz w:val="21"/>
          <w:szCs w:val="21"/>
        </w:rPr>
        <w:t xml:space="preserve">×0.5–2</w:t>
      </w:r>
    </w:p>
    <w:p>
      <w:pPr>
        <w:spacing w:after="70" w:before="0"/>
        <w:ind w:left="260"/>
      </w:pPr>
      <w:r>
        <w:rPr>
          <w:rFonts w:ascii="Calibri" w:cs="Calibri" w:eastAsia="Calibri" w:hAnsi="Calibri"/>
          <w:b/>
          <w:bCs/>
          <w:color w:val="1C1F26"/>
          <w:sz w:val="21"/>
          <w:szCs w:val="21"/>
        </w:rPr>
        <w:t xml:space="preserve">Fits our pilot — Localisation of industry or services: </w:t>
      </w:r>
      <w:r>
        <w:rPr>
          <w:rFonts w:ascii="Calibri" w:cs="Calibri" w:eastAsia="Calibri" w:hAnsi="Calibri"/>
          <w:color w:val="1C1F26"/>
          <w:sz w:val="21"/>
          <w:szCs w:val="21"/>
        </w:rPr>
        <w:t xml:space="preserve">×0.5–2</w:t>
      </w:r>
    </w:p>
    <w:p>
      <w:pPr>
        <w:spacing w:after="70" w:before="0"/>
        <w:ind w:left="260"/>
      </w:pPr>
      <w:r>
        <w:rPr>
          <w:rFonts w:ascii="Calibri" w:cs="Calibri" w:eastAsia="Calibri" w:hAnsi="Calibri"/>
          <w:b/>
          <w:bCs/>
          <w:color w:val="1C1F26"/>
          <w:sz w:val="21"/>
          <w:szCs w:val="21"/>
        </w:rPr>
        <w:t xml:space="preserve">Phase two — Technology transfer: </w:t>
      </w:r>
      <w:r>
        <w:rPr>
          <w:rFonts w:ascii="Calibri" w:cs="Calibri" w:eastAsia="Calibri" w:hAnsi="Calibri"/>
          <w:color w:val="1C1F26"/>
          <w:sz w:val="21"/>
          <w:szCs w:val="21"/>
        </w:rPr>
        <w:t xml:space="preserve">×0.5–3</w:t>
      </w:r>
    </w:p>
    <w:p>
      <w:pPr>
        <w:spacing w:after="70" w:before="0"/>
        <w:ind w:left="260"/>
      </w:pPr>
      <w:r>
        <w:rPr>
          <w:rFonts w:ascii="Calibri" w:cs="Calibri" w:eastAsia="Calibri" w:hAnsi="Calibri"/>
          <w:b/>
          <w:bCs/>
          <w:color w:val="1C1F26"/>
          <w:sz w:val="21"/>
          <w:szCs w:val="21"/>
        </w:rPr>
        <w:t xml:space="preserve">Highest value — Research and development: </w:t>
      </w:r>
      <w:r>
        <w:rPr>
          <w:rFonts w:ascii="Calibri" w:cs="Calibri" w:eastAsia="Calibri" w:hAnsi="Calibri"/>
          <w:color w:val="1C1F26"/>
          <w:sz w:val="21"/>
          <w:szCs w:val="21"/>
        </w:rPr>
        <w:t xml:space="preserve">×3</w:t>
      </w:r>
    </w:p>
    <w:p>
      <w:pPr>
        <w:spacing w:after="70" w:before="0"/>
        <w:ind w:left="260"/>
      </w:pPr>
      <w:r>
        <w:rPr>
          <w:rFonts w:ascii="Calibri" w:cs="Calibri" w:eastAsia="Calibri" w:hAnsi="Calibri"/>
          <w:b/>
          <w:bCs/>
          <w:color w:val="1C1F26"/>
          <w:sz w:val="21"/>
          <w:szCs w:val="21"/>
        </w:rPr>
        <w:t xml:space="preserve">Highest value — Export promotion: </w:t>
      </w:r>
      <w:r>
        <w:rPr>
          <w:rFonts w:ascii="Calibri" w:cs="Calibri" w:eastAsia="Calibri" w:hAnsi="Calibri"/>
          <w:color w:val="1C1F26"/>
          <w:sz w:val="21"/>
          <w:szCs w:val="21"/>
        </w:rPr>
        <w:t xml:space="preserve">×0.5–3</w:t>
      </w:r>
    </w:p>
    <w:p>
      <w:pPr>
        <w:spacing w:after="70" w:before="0"/>
        <w:ind w:left="260"/>
      </w:pPr>
      <w:r>
        <w:rPr>
          <w:rFonts w:ascii="Calibri" w:cs="Calibri" w:eastAsia="Calibri" w:hAnsi="Calibri"/>
          <w:b/>
          <w:bCs/>
          <w:color w:val="1C1F26"/>
          <w:sz w:val="21"/>
          <w:szCs w:val="21"/>
        </w:rPr>
        <w:t xml:space="preserve">Capital — Investment: </w:t>
      </w:r>
      <w:r>
        <w:rPr>
          <w:rFonts w:ascii="Calibri" w:cs="Calibri" w:eastAsia="Calibri" w:hAnsi="Calibri"/>
          <w:color w:val="1C1F26"/>
          <w:sz w:val="21"/>
          <w:szCs w:val="21"/>
        </w:rPr>
        <w:t xml:space="preserve">×1–3</w:t>
      </w:r>
    </w:p>
    <w:p>
      <w:pPr>
        <w:spacing w:after="70" w:before="0"/>
        <w:ind w:left="260"/>
      </w:pPr>
      <w:r>
        <w:rPr>
          <w:rFonts w:ascii="Calibri" w:cs="Calibri" w:eastAsia="Calibri" w:hAnsi="Calibri"/>
          <w:b/>
          <w:bCs/>
          <w:color w:val="1C1F26"/>
          <w:sz w:val="21"/>
          <w:szCs w:val="21"/>
        </w:rPr>
        <w:t xml:space="preserve">Lowest value — Subcontracting: </w:t>
      </w:r>
      <w:r>
        <w:rPr>
          <w:rFonts w:ascii="Calibri" w:cs="Calibri" w:eastAsia="Calibri" w:hAnsi="Calibri"/>
          <w:color w:val="1C1F26"/>
          <w:sz w:val="21"/>
          <w:szCs w:val="21"/>
        </w:rPr>
        <w:t xml:space="preserve">×1</w:t>
      </w:r>
    </w:p>
    <w:p>
      <w:pPr>
        <w:spacing w:after="60" w:before="0"/>
      </w:pPr>
      <w:r>
        <w:rPr>
          <w:rFonts w:ascii="Calibri" w:cs="Calibri" w:eastAsia="Calibri" w:hAnsi="Calibri"/>
          <w:color w:val="1C1F26"/>
          <w:sz w:val="8"/>
          <w:szCs w:val="8"/>
        </w:rPr>
        <w:t xml:space="preserve"/>
      </w:r>
    </w:p>
    <w:p>
      <w:pPr>
        <w:spacing w:after="110" w:before="0"/>
      </w:pPr>
      <w:r>
        <w:rPr>
          <w:rFonts w:ascii="Calibri" w:cs="Calibri" w:eastAsia="Calibri" w:hAnsi="Calibri"/>
          <w:color w:val="1C1F26"/>
          <w:sz w:val="21"/>
          <w:szCs w:val="21"/>
        </w:rPr>
        <w:t xml:space="preserve">Buying from a local firm earns the floor. Teaching people and moving capability earn more. That is why our pilot is built as knowledge transfer and service localisation, not as a purchase order.</w:t>
      </w:r>
    </w:p>
    <w:p>
      <w:pPr>
        <w:pBdr>
          <w:top w:val="single" w:color="D7DBE0" w:sz="4" w:space="6"/>
        </w:pBdr>
        <w:spacing w:after="200" w:before="60"/>
      </w:pPr>
      <w:r>
        <w:rPr>
          <w:rFonts w:ascii="Calibri" w:cs="Calibri" w:eastAsia="Calibri" w:hAnsi="Calibri"/>
          <w:i/>
          <w:iCs/>
          <w:color w:val="5B6472"/>
          <w:sz w:val="16"/>
          <w:szCs w:val="16"/>
        </w:rPr>
        <w:t xml:space="preserve">LCGPA, Economic Participation Policy, Unit 7, pp. 14–15 [R09] — the seven categories and their multiplier ranges are stated there verbatim. The policy says a multiplier is “determined by the value added to the national economy” (p. 21), but publishes no criteria for where inside a range a project lands — a gap the April 2026 draft does not close [S11].</w:t>
      </w:r>
    </w:p>
    <w:p>
      <w:pPr>
        <w:keepNext/>
        <w:keepLines/>
        <w:spacing w:after="40" w:before="260"/>
      </w:pPr>
      <w:r>
        <w:rPr>
          <w:rFonts w:ascii="Calibri" w:cs="Calibri" w:eastAsia="Calibri" w:hAnsi="Calibri"/>
          <w:b/>
          <w:bCs/>
          <w:color w:val="8A6D1F"/>
          <w:spacing w:val="24"/>
          <w:sz w:val="15"/>
          <w:szCs w:val="15"/>
        </w:rPr>
        <w:t xml:space="preserve">PART 3 · WHERE VALUE LEAKS OUT, HERE</w:t>
      </w:r>
    </w:p>
    <w:p>
      <w:pPr>
        <w:pStyle w:val="Heading2"/>
        <w:keepNext/>
        <w:keepLines/>
        <w:spacing w:after="140" w:before="40"/>
      </w:pPr>
      <w:r>
        <w:rPr>
          <w:rFonts w:ascii="Calibri" w:cs="Calibri" w:eastAsia="Calibri" w:hAnsi="Calibri"/>
          <w:b/>
          <w:bCs/>
          <w:color w:val="00471B"/>
          <w:sz w:val="27"/>
          <w:szCs w:val="27"/>
        </w:rPr>
        <w:t xml:space="preserve">Ventilation and controls — the package we would pilot</w:t>
      </w:r>
    </w:p>
    <w:p>
      <w:pPr>
        <w:spacing w:after="70" w:before="0"/>
        <w:ind w:left="260"/>
      </w:pPr>
      <w:r>
        <w:rPr>
          <w:rFonts w:ascii="Calibri" w:cs="Calibri" w:eastAsia="Calibri" w:hAnsi="Calibri"/>
          <w:b/>
          <w:bCs/>
          <w:color w:val="1C1F26"/>
          <w:sz w:val="21"/>
          <w:szCs w:val="21"/>
        </w:rPr>
        <w:t xml:space="preserve">Proposed first — Ventilation and controls: </w:t>
      </w:r>
      <w:r>
        <w:rPr>
          <w:rFonts w:ascii="Calibri" w:cs="Calibri" w:eastAsia="Calibri" w:hAnsi="Calibri"/>
          <w:color w:val="1C1F26"/>
          <w:sz w:val="21"/>
          <w:szCs w:val="21"/>
        </w:rPr>
        <w:t xml:space="preserve">Skills transfer to many building types, not only stadiums.</w:t>
      </w:r>
    </w:p>
    <w:p>
      <w:pPr>
        <w:spacing w:after="70" w:before="0"/>
        <w:ind w:left="260"/>
      </w:pPr>
      <w:r>
        <w:rPr>
          <w:rFonts w:ascii="Calibri" w:cs="Calibri" w:eastAsia="Calibri" w:hAnsi="Calibri"/>
          <w:b/>
          <w:bCs/>
          <w:color w:val="1C1F26"/>
          <w:sz w:val="21"/>
          <w:szCs w:val="21"/>
        </w:rPr>
        <w:t xml:space="preserve">Candidate — Pumps and panels: </w:t>
      </w:r>
      <w:r>
        <w:rPr>
          <w:rFonts w:ascii="Calibri" w:cs="Calibri" w:eastAsia="Calibri" w:hAnsi="Calibri"/>
          <w:color w:val="1C1F26"/>
          <w:sz w:val="21"/>
          <w:szCs w:val="21"/>
        </w:rPr>
        <w:t xml:space="preserve">Recurring demand, heavier manufacturing step.</w:t>
      </w:r>
    </w:p>
    <w:p>
      <w:pPr>
        <w:spacing w:after="70" w:before="0"/>
        <w:ind w:left="260"/>
      </w:pPr>
      <w:r>
        <w:rPr>
          <w:rFonts w:ascii="Calibri" w:cs="Calibri" w:eastAsia="Calibri" w:hAnsi="Calibri"/>
          <w:b/>
          <w:bCs/>
          <w:color w:val="1C1F26"/>
          <w:sz w:val="21"/>
          <w:szCs w:val="21"/>
        </w:rPr>
        <w:t xml:space="preserve">Candidate — Testing before handover: </w:t>
      </w:r>
      <w:r>
        <w:rPr>
          <w:rFonts w:ascii="Calibri" w:cs="Calibri" w:eastAsia="Calibri" w:hAnsi="Calibri"/>
          <w:color w:val="1C1F26"/>
          <w:sz w:val="21"/>
          <w:szCs w:val="21"/>
        </w:rPr>
        <w:t xml:space="preserve">Service work that is currently flown in.</w:t>
      </w:r>
    </w:p>
    <w:p>
      <w:pPr>
        <w:spacing w:after="60" w:before="0"/>
      </w:pPr>
      <w:r>
        <w:rPr>
          <w:rFonts w:ascii="Calibri" w:cs="Calibri" w:eastAsia="Calibri" w:hAnsi="Calibri"/>
          <w:color w:val="1C1F26"/>
          <w:sz w:val="8"/>
          <w:szCs w:val="8"/>
        </w:rPr>
        <w:t xml:space="preserve"/>
      </w:r>
    </w:p>
    <w:p>
      <w:pPr>
        <w:spacing w:after="110" w:before="0"/>
      </w:pPr>
      <w:r>
        <w:rPr>
          <w:rFonts w:ascii="Calibri" w:cs="Calibri" w:eastAsia="Calibri" w:hAnsi="Calibri"/>
          <w:color w:val="1C1F26"/>
          <w:sz w:val="21"/>
          <w:szCs w:val="21"/>
        </w:rPr>
        <w:t xml:space="preserve">Do the work here first — testing, installation, fault diagnosis — then components. A Saudi reseller invoice is not Saudi production.</w:t>
      </w:r>
    </w:p>
    <w:p>
      <w:pPr>
        <w:spacing w:after="110" w:before="0"/>
      </w:pPr>
      <w:r>
        <w:rPr>
          <w:rFonts w:ascii="Calibri" w:cs="Calibri" w:eastAsia="Calibri" w:hAnsi="Calibri"/>
          <w:color w:val="1C1F26"/>
          <w:sz w:val="21"/>
          <w:szCs w:val="21"/>
        </w:rPr>
        <w:t xml:space="preserve">What localisation would change: it lifts the first-round local share — the lever worth +SAR 190m per SAR 1bn in Part 2 — and, unlike a one-off purchase, leaves people and suppliers who can serve the next venue.</w:t>
      </w:r>
    </w:p>
    <w:p>
      <w:pPr>
        <w:keepNext/>
        <w:keepLines/>
        <w:spacing w:after="40" w:before="260"/>
      </w:pPr>
      <w:r>
        <w:rPr>
          <w:rFonts w:ascii="Calibri" w:cs="Calibri" w:eastAsia="Calibri" w:hAnsi="Calibri"/>
          <w:b/>
          <w:bCs/>
          <w:color w:val="8A6D1F"/>
          <w:spacing w:val="24"/>
          <w:sz w:val="15"/>
          <w:szCs w:val="15"/>
        </w:rPr>
        <w:t xml:space="preserve">PART 3 · THE TRAP IN THE WORD "MULTIPLIER"</w:t>
      </w:r>
    </w:p>
    <w:p>
      <w:pPr>
        <w:pStyle w:val="Heading2"/>
        <w:keepNext/>
        <w:keepLines/>
        <w:spacing w:after="140" w:before="40"/>
      </w:pPr>
      <w:r>
        <w:rPr>
          <w:rFonts w:ascii="Calibri" w:cs="Calibri" w:eastAsia="Calibri" w:hAnsi="Calibri"/>
          <w:b/>
          <w:bCs/>
          <w:color w:val="00471B"/>
          <w:sz w:val="27"/>
          <w:szCs w:val="27"/>
        </w:rPr>
        <w:t xml:space="preserve">A credit factor is not the spending multiplier</w:t>
      </w:r>
    </w:p>
    <w:p>
      <w:pPr>
        <w:spacing w:after="120" w:before="160"/>
        <w:jc w:val="center"/>
      </w:pPr>
      <w:r>
        <w:drawing>
          <wp:inline distT="0" distB="0" distL="0" distR="0">
            <wp:extent cx="6096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438400"/>
                    </a:xfrm>
                    <a:prstGeom prst="rect">
                      <a:avLst/>
                    </a:prstGeom>
                  </pic:spPr>
                </pic:pic>
              </a:graphicData>
            </a:graphic>
          </wp:inline>
        </w:drawing>
      </w:r>
    </w:p>
    <w:p>
      <w:pPr>
        <w:pBdr>
          <w:top w:val="single" w:color="D7DBE0" w:sz="4" w:space="6"/>
        </w:pBdr>
        <w:spacing w:after="200" w:before="60"/>
      </w:pPr>
      <w:r>
        <w:rPr>
          <w:rFonts w:ascii="Calibri" w:cs="Calibri" w:eastAsia="Calibri" w:hAnsi="Calibri"/>
          <w:i/>
          <w:iCs/>
          <w:color w:val="5B6472"/>
          <w:sz w:val="16"/>
          <w:szCs w:val="16"/>
        </w:rPr>
        <w:t xml:space="preserve">Group illustration of the credit mechanism [R09][S11]. Credits are a compliance measure — neither cash nor GDP.</w:t>
      </w:r>
    </w:p>
    <w:p>
      <w:pPr>
        <w:keepNext/>
        <w:keepLines/>
        <w:spacing w:after="40" w:before="260"/>
      </w:pPr>
      <w:r>
        <w:rPr>
          <w:rFonts w:ascii="Calibri" w:cs="Calibri" w:eastAsia="Calibri" w:hAnsi="Calibri"/>
          <w:b/>
          <w:bCs/>
          <w:color w:val="8A6D1F"/>
          <w:spacing w:val="24"/>
          <w:sz w:val="15"/>
          <w:szCs w:val="15"/>
        </w:rPr>
        <w:t xml:space="preserve">PART 3 · BENCHMARK</w:t>
      </w:r>
    </w:p>
    <w:p>
      <w:pPr>
        <w:pStyle w:val="Heading2"/>
        <w:keepNext/>
        <w:keepLines/>
        <w:spacing w:after="140" w:before="40"/>
      </w:pPr>
      <w:r>
        <w:rPr>
          <w:rFonts w:ascii="Calibri" w:cs="Calibri" w:eastAsia="Calibri" w:hAnsi="Calibri"/>
          <w:b/>
          <w:bCs/>
          <w:color w:val="00471B"/>
          <w:sz w:val="27"/>
          <w:szCs w:val="27"/>
        </w:rPr>
        <w:t xml:space="preserve">London 2012 tied skills to real venue construction — and under-enforced it</w:t>
      </w:r>
    </w:p>
    <w:tbl>
      <w:tblPr>
        <w:tblW w:type="auto" w:w="100"/>
        <w:tblBorders>
          <w:top w:val="single" w:color="D7DBE0" w:sz="4"/>
          <w:left w:val="none"/>
          <w:bottom w:val="single" w:color="D7DBE0" w:sz="4"/>
          <w:right w:val="none"/>
          <w:insideH w:val="none"/>
          <w:insideV w:val="single" w:color="D7DBE0" w:sz="4"/>
        </w:tblBorders>
      </w:tblPr>
      <w:tblGrid>
        <w:gridCol w:w="4680"/>
        <w:gridCol w:w="4680"/>
      </w:tblGrid>
      <w:tr>
        <w:tc>
          <w:tcPr>
            <w:tcW w:type="dxa" w:w="4680"/>
            <w:tcMar>
              <w:top w:type="dxa" w:w="120"/>
              <w:left w:type="dxa" w:w="120"/>
              <w:bottom w:type="dxa" w:w="120"/>
              <w:right w:type="dxa" w:w="120"/>
            </w:tcMar>
          </w:tcPr>
          <w:p>
            <w:pPr>
              <w:spacing w:after="20"/>
            </w:pPr>
            <w:r>
              <w:rPr>
                <w:rFonts w:ascii="Calibri" w:cs="Calibri" w:eastAsia="Calibri" w:hAnsi="Calibri"/>
                <w:b/>
                <w:bCs/>
                <w:color w:val="00471B"/>
                <w:sz w:val="34"/>
                <w:szCs w:val="34"/>
              </w:rPr>
              <w:t xml:space="preserve">3,000+</w:t>
            </w:r>
          </w:p>
          <w:p>
            <w:pPr>
              <w:spacing w:after="20"/>
            </w:pPr>
            <w:r>
              <w:rPr>
                <w:rFonts w:ascii="Calibri" w:cs="Calibri" w:eastAsia="Calibri" w:hAnsi="Calibri"/>
                <w:color w:val="1C1F26"/>
                <w:sz w:val="17"/>
                <w:szCs w:val="17"/>
              </w:rPr>
              <w:t xml:space="preserve">training places for work on the Olympic Park and other construction sites</w:t>
            </w:r>
          </w:p>
          <w:p>
            <w:r>
              <w:rPr>
                <w:rFonts w:ascii="Calibri" w:cs="Calibri" w:eastAsia="Calibri" w:hAnsi="Calibri"/>
                <w:i/>
                <w:iCs/>
                <w:color w:val="5B6472"/>
                <w:sz w:val="14"/>
                <w:szCs w:val="14"/>
              </w:rPr>
              <w:t xml:space="preserve">Verified [R12]</w:t>
            </w:r>
          </w:p>
        </w:tc>
        <w:tc>
          <w:tcPr>
            <w:tcW w:type="dxa" w:w="4680"/>
            <w:tcMar>
              <w:top w:type="dxa" w:w="120"/>
              <w:left w:type="dxa" w:w="120"/>
              <w:bottom w:type="dxa" w:w="120"/>
              <w:right w:type="dxa" w:w="120"/>
            </w:tcMar>
          </w:tcPr>
          <w:p>
            <w:pPr>
              <w:spacing w:after="20"/>
            </w:pPr>
            <w:r>
              <w:rPr>
                <w:rFonts w:ascii="Calibri" w:cs="Calibri" w:eastAsia="Calibri" w:hAnsi="Calibri"/>
                <w:b/>
                <w:bCs/>
                <w:color w:val="00471B"/>
                <w:sz w:val="34"/>
                <w:szCs w:val="34"/>
              </w:rPr>
              <w:t xml:space="preserve">408</w:t>
            </w:r>
          </w:p>
          <w:p>
            <w:pPr>
              <w:spacing w:after="20"/>
            </w:pPr>
            <w:r>
              <w:rPr>
                <w:rFonts w:ascii="Calibri" w:cs="Calibri" w:eastAsia="Calibri" w:hAnsi="Calibri"/>
                <w:color w:val="1C1F26"/>
                <w:sz w:val="17"/>
                <w:szCs w:val="17"/>
              </w:rPr>
              <w:t xml:space="preserve">apprentices enabled to work on the project</w:t>
            </w:r>
          </w:p>
          <w:p>
            <w:r>
              <w:rPr>
                <w:rFonts w:ascii="Calibri" w:cs="Calibri" w:eastAsia="Calibri" w:hAnsi="Calibri"/>
                <w:i/>
                <w:iCs/>
                <w:color w:val="5B6472"/>
                <w:sz w:val="14"/>
                <w:szCs w:val="14"/>
              </w:rPr>
              <w:t xml:space="preserve">A separate measure — do not add</w:t>
            </w:r>
          </w:p>
        </w:tc>
      </w:tr>
    </w:tbl>
    <w:p>
      <w:pPr>
        <w:spacing w:after="80" w:before="0"/>
      </w:pPr>
      <w:r>
        <w:rPr>
          <w:rFonts w:ascii="Calibri" w:cs="Calibri" w:eastAsia="Calibri" w:hAnsi="Calibri"/>
          <w:color w:val="1C1F26"/>
          <w:sz w:val="8"/>
          <w:szCs w:val="8"/>
        </w:rPr>
        <w:t xml:space="preserve"/>
      </w:r>
    </w:p>
    <w:p>
      <w:pPr>
        <w:spacing w:after="70" w:before="0"/>
        <w:ind w:left="260"/>
      </w:pPr>
      <w:r>
        <w:rPr>
          <w:rFonts w:ascii="Calibri" w:cs="Calibri" w:eastAsia="Calibri" w:hAnsi="Calibri"/>
          <w:b/>
          <w:bCs/>
          <w:color w:val="1C1F26"/>
          <w:sz w:val="21"/>
          <w:szCs w:val="21"/>
        </w:rPr>
        <w:t xml:space="preserve">✓ Worked: </w:t>
      </w:r>
      <w:r>
        <w:rPr>
          <w:rFonts w:ascii="Calibri" w:cs="Calibri" w:eastAsia="Calibri" w:hAnsi="Calibri"/>
          <w:color w:val="1C1F26"/>
          <w:sz w:val="21"/>
          <w:szCs w:val="21"/>
        </w:rPr>
        <w:t xml:space="preserve">Skills tied to real site work before a fixed deadline.</w:t>
      </w:r>
    </w:p>
    <w:p>
      <w:pPr>
        <w:spacing w:after="70" w:before="0"/>
        <w:ind w:left="260"/>
      </w:pPr>
      <w:r>
        <w:rPr>
          <w:rFonts w:ascii="Calibri" w:cs="Calibri" w:eastAsia="Calibri" w:hAnsi="Calibri"/>
          <w:b/>
          <w:bCs/>
          <w:color w:val="1C1F26"/>
          <w:sz w:val="21"/>
          <w:szCs w:val="21"/>
        </w:rPr>
        <w:t xml:space="preserve">▲ Weaker: </w:t>
      </w:r>
      <w:r>
        <w:rPr>
          <w:rFonts w:ascii="Calibri" w:cs="Calibri" w:eastAsia="Calibri" w:hAnsi="Calibri"/>
          <w:color w:val="1C1F26"/>
          <w:sz w:val="21"/>
          <w:szCs w:val="21"/>
        </w:rPr>
        <w:t xml:space="preserve">Targets were encouraged, not binding [R13, §§1.2 and 5.1].</w:t>
      </w:r>
    </w:p>
    <w:p>
      <w:pPr>
        <w:spacing w:after="60" w:before="0"/>
      </w:pPr>
      <w:r>
        <w:rPr>
          <w:rFonts w:ascii="Calibri" w:cs="Calibri" w:eastAsia="Calibri" w:hAnsi="Calibri"/>
          <w:color w:val="1C1F26"/>
          <w:sz w:val="8"/>
          <w:szCs w:val="8"/>
        </w:rPr>
        <w:t xml:space="preserve"/>
      </w:r>
    </w:p>
    <w:p>
      <w:pPr>
        <w:spacing w:after="110" w:before="0"/>
      </w:pPr>
      <w:r>
        <w:rPr>
          <w:rFonts w:ascii="Calibri" w:cs="Calibri" w:eastAsia="Calibri" w:hAnsi="Calibri"/>
          <w:color w:val="1C1F26"/>
          <w:sz w:val="21"/>
          <w:szCs w:val="21"/>
        </w:rPr>
        <w:t xml:space="preserve">Lesson: write mentoring, skills tests and reporting into the delivery plan — and count awarded work, not advertised opportunities [S14].</w:t>
      </w:r>
    </w:p>
    <w:p>
      <w:pPr>
        <w:keepNext/>
        <w:keepLines/>
        <w:spacing w:after="40" w:before="260"/>
      </w:pPr>
      <w:r>
        <w:rPr>
          <w:rFonts w:ascii="Calibri" w:cs="Calibri" w:eastAsia="Calibri" w:hAnsi="Calibri"/>
          <w:b/>
          <w:bCs/>
          <w:color w:val="8A6D1F"/>
          <w:spacing w:val="24"/>
          <w:sz w:val="15"/>
          <w:szCs w:val="15"/>
        </w:rPr>
        <w:t xml:space="preserve">PART 3 · CHALLENGES AND RISKS</w:t>
      </w:r>
    </w:p>
    <w:p>
      <w:pPr>
        <w:pStyle w:val="Heading2"/>
        <w:keepNext/>
        <w:keepLines/>
        <w:spacing w:after="140" w:before="40"/>
      </w:pPr>
      <w:r>
        <w:rPr>
          <w:rFonts w:ascii="Calibri" w:cs="Calibri" w:eastAsia="Calibri" w:hAnsi="Calibri"/>
          <w:b/>
          <w:bCs/>
          <w:color w:val="00471B"/>
          <w:sz w:val="27"/>
          <w:szCs w:val="27"/>
        </w:rPr>
        <w:t xml:space="preserve">Six ways this fails — and the three that would decide it</w:t>
      </w:r>
    </w:p>
    <w:p>
      <w:pPr>
        <w:spacing w:after="70" w:before="0"/>
        <w:ind w:left="260"/>
      </w:pPr>
      <w:r>
        <w:rPr>
          <w:rFonts w:ascii="Calibri" w:cs="Calibri" w:eastAsia="Calibri" w:hAnsi="Calibri"/>
          <w:b/>
          <w:bCs/>
          <w:color w:val="1C1F26"/>
          <w:sz w:val="21"/>
          <w:szCs w:val="21"/>
        </w:rPr>
        <w:t xml:space="preserve">Critical — The deadline: </w:t>
      </w:r>
      <w:r>
        <w:rPr>
          <w:rFonts w:ascii="Calibri" w:cs="Calibri" w:eastAsia="Calibri" w:hAnsi="Calibri"/>
          <w:color w:val="1C1F26"/>
          <w:sz w:val="21"/>
          <w:szCs w:val="21"/>
        </w:rPr>
        <w:t xml:space="preserve">An unready supplier can delay safe delivery of a 2034 venue. Train early; release critical work only after independent qualification.</w:t>
      </w:r>
    </w:p>
    <w:p>
      <w:pPr>
        <w:spacing w:after="70" w:before="0"/>
        <w:ind w:left="260"/>
      </w:pPr>
      <w:r>
        <w:rPr>
          <w:rFonts w:ascii="Calibri" w:cs="Calibri" w:eastAsia="Calibri" w:hAnsi="Calibri"/>
          <w:b/>
          <w:bCs/>
          <w:color w:val="1C1F26"/>
          <w:sz w:val="21"/>
          <w:szCs w:val="21"/>
        </w:rPr>
        <w:t xml:space="preserve">Serious — Tools and rights: </w:t>
      </w:r>
      <w:r>
        <w:rPr>
          <w:rFonts w:ascii="Calibri" w:cs="Calibri" w:eastAsia="Calibri" w:hAnsi="Calibri"/>
          <w:color w:val="1C1F26"/>
          <w:sz w:val="21"/>
          <w:szCs w:val="21"/>
        </w:rPr>
        <w:t xml:space="preserve">Training cannot replace foreign expertise without the means of doing the work. Put software, manuals, diagnostic tools and licences inside the EP agreement.</w:t>
      </w:r>
    </w:p>
    <w:p>
      <w:pPr>
        <w:spacing w:after="70" w:before="0"/>
        <w:ind w:left="260"/>
      </w:pPr>
      <w:r>
        <w:rPr>
          <w:rFonts w:ascii="Calibri" w:cs="Calibri" w:eastAsia="Calibri" w:hAnsi="Calibri"/>
          <w:b/>
          <w:bCs/>
          <w:color w:val="1C1F26"/>
          <w:sz w:val="21"/>
          <w:szCs w:val="21"/>
        </w:rPr>
        <w:t xml:space="preserve">Serious — Demand after 2034: </w:t>
      </w:r>
      <w:r>
        <w:rPr>
          <w:rFonts w:ascii="Calibri" w:cs="Calibri" w:eastAsia="Calibri" w:hAnsi="Calibri"/>
          <w:color w:val="1C1F26"/>
          <w:sz w:val="21"/>
          <w:szCs w:val="21"/>
        </w:rPr>
        <w:t xml:space="preserve">Skills disappear when one project ends. Choose transferable building skills and secure a second customer before handover.</w:t>
      </w:r>
    </w:p>
    <w:p>
      <w:pPr>
        <w:spacing w:after="60" w:before="0"/>
      </w:pPr>
      <w:r>
        <w:rPr>
          <w:rFonts w:ascii="Calibri" w:cs="Calibri" w:eastAsia="Calibri" w:hAnsi="Calibri"/>
          <w:color w:val="1C1F26"/>
          <w:sz w:val="8"/>
          <w:szCs w:val="8"/>
        </w:rPr>
        <w:t xml:space="preserve"/>
      </w:r>
    </w:p>
    <w:p>
      <w:pPr>
        <w:spacing w:after="110" w:before="0"/>
      </w:pPr>
      <w:r>
        <w:rPr>
          <w:rFonts w:ascii="Calibri" w:cs="Calibri" w:eastAsia="Calibri" w:hAnsi="Calibri"/>
          <w:color w:val="1C1F26"/>
          <w:sz w:val="21"/>
          <w:szCs w:val="21"/>
        </w:rPr>
        <w:t xml:space="preserve">Three more we would watch: cost and quality against the equipment's life, routine work counted as new, and imports hidden inside local invoices. All six sit in the appendix with the safeguard we would write into the contract.</w:t>
      </w:r>
    </w:p>
    <w:p>
      <w:pPr>
        <w:pBdr>
          <w:top w:val="single" w:color="D7DBE0" w:sz="4" w:space="6"/>
        </w:pBdr>
        <w:spacing w:after="200" w:before="60"/>
      </w:pPr>
      <w:r>
        <w:rPr>
          <w:rFonts w:ascii="Calibri" w:cs="Calibri" w:eastAsia="Calibri" w:hAnsi="Calibri"/>
          <w:i/>
          <w:iCs/>
          <w:color w:val="5B6472"/>
          <w:sz w:val="16"/>
          <w:szCs w:val="16"/>
        </w:rPr>
        <w:t xml:space="preserve">Group risk assessment. The safeguards are our proposals, not existing LCGPA requirements.</w:t>
      </w:r>
    </w:p>
    <w:p>
      <w:pPr>
        <w:pStyle w:val="Heading1"/>
        <w:pageBreakBefore/>
        <w:spacing w:after="180" w:before="0"/>
      </w:pPr>
      <w:r>
        <w:rPr>
          <w:rFonts w:ascii="Calibri" w:cs="Calibri" w:eastAsia="Calibri" w:hAnsi="Calibri"/>
          <w:b/>
          <w:bCs/>
          <w:color w:val="1C1F26"/>
          <w:sz w:val="34"/>
          <w:szCs w:val="34"/>
        </w:rPr>
        <w:t xml:space="preserve">Part 4 · Our recommendation</w:t>
      </w:r>
    </w:p>
    <w:p>
      <w:pPr>
        <w:spacing w:after="200" w:before="0"/>
      </w:pPr>
      <w:r>
        <w:rPr>
          <w:rFonts w:ascii="Calibri" w:cs="Calibri" w:eastAsia="Calibri" w:hAnsi="Calibri"/>
          <w:i/>
          <w:iCs/>
          <w:color w:val="5B6472"/>
          <w:sz w:val="18"/>
          <w:szCs w:val="18"/>
        </w:rPr>
        <w:t xml:space="preserve">Planned speaking time: about 1 minute 20 seconds</w:t>
      </w:r>
    </w:p>
    <w:p>
      <w:pPr>
        <w:keepNext/>
        <w:keepLines/>
        <w:spacing w:after="40" w:before="260"/>
      </w:pPr>
      <w:r>
        <w:rPr>
          <w:rFonts w:ascii="Calibri" w:cs="Calibri" w:eastAsia="Calibri" w:hAnsi="Calibri"/>
          <w:b/>
          <w:bCs/>
          <w:color w:val="8A6D1F"/>
          <w:spacing w:val="24"/>
          <w:sz w:val="15"/>
          <w:szCs w:val="15"/>
        </w:rPr>
        <w:t xml:space="preserve">PART 4 · WHAT WE RECOMMEND</w:t>
      </w:r>
    </w:p>
    <w:p>
      <w:pPr>
        <w:pStyle w:val="Heading2"/>
        <w:keepNext/>
        <w:keepLines/>
        <w:spacing w:after="140" w:before="40"/>
      </w:pPr>
      <w:r>
        <w:rPr>
          <w:rFonts w:ascii="Calibri" w:cs="Calibri" w:eastAsia="Calibri" w:hAnsi="Calibri"/>
          <w:b/>
          <w:bCs/>
          <w:color w:val="00471B"/>
          <w:sz w:val="27"/>
          <w:szCs w:val="27"/>
        </w:rPr>
        <w:t xml:space="preserve">Pilot one package: an academy that trains its own trainers</w:t>
      </w:r>
    </w:p>
    <w:p>
      <w:pPr>
        <w:spacing w:after="70" w:before="0"/>
        <w:ind w:left="260"/>
      </w:pPr>
      <w:r>
        <w:rPr>
          <w:rFonts w:ascii="Calibri" w:cs="Calibri" w:eastAsia="Calibri" w:hAnsi="Calibri"/>
          <w:b/>
          <w:bCs/>
          <w:color w:val="1C1F26"/>
          <w:sz w:val="21"/>
          <w:szCs w:val="21"/>
        </w:rPr>
        <w:t xml:space="preserve">Phase 1: </w:t>
      </w:r>
      <w:r>
        <w:rPr>
          <w:rFonts w:ascii="Calibri" w:cs="Calibri" w:eastAsia="Calibri" w:hAnsi="Calibri"/>
          <w:color w:val="1C1F26"/>
          <w:sz w:val="21"/>
          <w:szCs w:val="21"/>
        </w:rPr>
        <w:t xml:space="preserve">Ventilation and controls, inside an existing technical institute, with the stadium as the workplace.</w:t>
      </w:r>
    </w:p>
    <w:p>
      <w:pPr>
        <w:spacing w:after="70" w:before="0"/>
        <w:ind w:left="260"/>
      </w:pPr>
      <w:r>
        <w:rPr>
          <w:rFonts w:ascii="Calibri" w:cs="Calibri" w:eastAsia="Calibri" w:hAnsi="Calibri"/>
          <w:b/>
          <w:bCs/>
          <w:color w:val="1C1F26"/>
          <w:sz w:val="21"/>
          <w:szCs w:val="21"/>
        </w:rPr>
        <w:t xml:space="preserve">Phase 2: </w:t>
      </w:r>
      <w:r>
        <w:rPr>
          <w:rFonts w:ascii="Calibri" w:cs="Calibri" w:eastAsia="Calibri" w:hAnsi="Calibri"/>
          <w:color w:val="1C1F26"/>
          <w:sz w:val="21"/>
          <w:szCs w:val="21"/>
        </w:rPr>
        <w:t xml:space="preserve">Qualify Saudi makers of brackets and enclosures once quality and demand are proven.</w:t>
      </w:r>
    </w:p>
    <w:p>
      <w:pPr>
        <w:spacing w:after="60" w:before="0"/>
      </w:pPr>
      <w:r>
        <w:rPr>
          <w:rFonts w:ascii="Calibri" w:cs="Calibri" w:eastAsia="Calibri" w:hAnsi="Calibri"/>
          <w:color w:val="1C1F26"/>
          <w:sz w:val="8"/>
          <w:szCs w:val="8"/>
        </w:rPr>
        <w:t xml:space="preserve"/>
      </w:r>
    </w:p>
    <w:p>
      <w:pPr>
        <w:spacing w:after="120" w:before="160"/>
        <w:jc w:val="center"/>
      </w:pPr>
      <w:r>
        <w:drawing>
          <wp:inline distT="0" distB="0" distL="0" distR="0">
            <wp:extent cx="6096000" cy="627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6276975"/>
                    </a:xfrm>
                    <a:prstGeom prst="rect">
                      <a:avLst/>
                    </a:prstGeom>
                  </pic:spPr>
                </pic:pic>
              </a:graphicData>
            </a:graphic>
          </wp:inline>
        </w:drawing>
      </w:r>
    </w:p>
    <w:p>
      <w:pPr>
        <w:pBdr>
          <w:top w:val="single" w:color="D7DBE0" w:sz="4" w:space="6"/>
        </w:pBdr>
        <w:spacing w:after="200" w:before="60"/>
      </w:pPr>
      <w:r>
        <w:rPr>
          <w:rFonts w:ascii="Calibri" w:cs="Calibri" w:eastAsia="Calibri" w:hAnsi="Calibri"/>
          <w:i/>
          <w:iCs/>
          <w:color w:val="5B6472"/>
          <w:sz w:val="16"/>
          <w:szCs w:val="16"/>
        </w:rPr>
        <w:t xml:space="preserve">group proposal.</w:t>
      </w:r>
    </w:p>
    <w:p>
      <w:pPr>
        <w:keepNext/>
        <w:keepLines/>
        <w:spacing w:after="40" w:before="260"/>
      </w:pPr>
      <w:r>
        <w:rPr>
          <w:rFonts w:ascii="Calibri" w:cs="Calibri" w:eastAsia="Calibri" w:hAnsi="Calibri"/>
          <w:b/>
          <w:bCs/>
          <w:color w:val="8A6D1F"/>
          <w:spacing w:val="24"/>
          <w:sz w:val="15"/>
          <w:szCs w:val="15"/>
        </w:rPr>
        <w:t xml:space="preserve">PART 4 · EXPECTED BENEFITS</w:t>
      </w:r>
    </w:p>
    <w:p>
      <w:pPr>
        <w:pStyle w:val="Heading2"/>
        <w:keepNext/>
        <w:keepLines/>
        <w:spacing w:after="140" w:before="40"/>
      </w:pPr>
      <w:r>
        <w:rPr>
          <w:rFonts w:ascii="Calibri" w:cs="Calibri" w:eastAsia="Calibri" w:hAnsi="Calibri"/>
          <w:b/>
          <w:bCs/>
          <w:color w:val="00471B"/>
          <w:sz w:val="27"/>
          <w:szCs w:val="27"/>
        </w:rPr>
        <w:t xml:space="preserve">What this is worth — now, and after 2034</w:t>
      </w:r>
    </w:p>
    <w:p>
      <w:pPr>
        <w:spacing w:after="70" w:before="0"/>
        <w:ind w:left="260"/>
      </w:pPr>
      <w:r>
        <w:rPr>
          <w:rFonts w:ascii="Calibri" w:cs="Calibri" w:eastAsia="Calibri" w:hAnsi="Calibri"/>
          <w:b/>
          <w:bCs/>
          <w:color w:val="1C1F26"/>
          <w:sz w:val="21"/>
          <w:szCs w:val="21"/>
        </w:rPr>
        <w:t xml:space="preserve">While it is built — A bigger first round: </w:t>
      </w:r>
      <w:r>
        <w:rPr>
          <w:rFonts w:ascii="Calibri" w:cs="Calibri" w:eastAsia="Calibri" w:hAnsi="Calibri"/>
          <w:color w:val="1C1F26"/>
          <w:sz w:val="21"/>
          <w:szCs w:val="21"/>
        </w:rPr>
        <w:t xml:space="preserve">Work done here instead of imported lifts the local share of the first round — the lever Part 2 values at +SAR 190m per SAR 1bn for ten percentage points. Saudi teams are on live commissioning work rather than watching it.</w:t>
      </w:r>
    </w:p>
    <w:p>
      <w:pPr>
        <w:spacing w:after="70" w:before="0"/>
        <w:ind w:left="260"/>
      </w:pPr>
      <w:r>
        <w:rPr>
          <w:rFonts w:ascii="Calibri" w:cs="Calibri" w:eastAsia="Calibri" w:hAnsi="Calibri"/>
          <w:b/>
          <w:bCs/>
          <w:color w:val="1C1F26"/>
          <w:sz w:val="21"/>
          <w:szCs w:val="21"/>
        </w:rPr>
        <w:t xml:space="preserve">After handover — Something still standing: </w:t>
      </w:r>
      <w:r>
        <w:rPr>
          <w:rFonts w:ascii="Calibri" w:cs="Calibri" w:eastAsia="Calibri" w:hAnsi="Calibri"/>
          <w:color w:val="1C1F26"/>
          <w:sz w:val="21"/>
          <w:szCs w:val="21"/>
        </w:rPr>
        <w:t xml:space="preserve">People who passed an independent test and are training the next team. Suppliers qualified to serve the next venue. A cost and quality baseline the next tender can price against.</w:t>
      </w:r>
    </w:p>
    <w:p>
      <w:pPr>
        <w:spacing w:after="60" w:before="0"/>
      </w:pPr>
      <w:r>
        <w:rPr>
          <w:rFonts w:ascii="Calibri" w:cs="Calibri" w:eastAsia="Calibri" w:hAnsi="Calibri"/>
          <w:color w:val="1C1F26"/>
          <w:sz w:val="8"/>
          <w:szCs w:val="8"/>
        </w:rPr>
        <w:t xml:space="preserve"/>
      </w:r>
    </w:p>
    <w:p>
      <w:pPr>
        <w:spacing w:after="110" w:before="0"/>
      </w:pPr>
      <w:r>
        <w:rPr>
          <w:rFonts w:ascii="Calibri" w:cs="Calibri" w:eastAsia="Calibri" w:hAnsi="Calibri"/>
          <w:color w:val="1C1F26"/>
          <w:sz w:val="21"/>
          <w:szCs w:val="21"/>
        </w:rPr>
        <w:t xml:space="preserve">We claim no exact monetary figure. The Part 2 number is an illustration under stated assumptions, not a forecast of this project. What we would commit to is measurement: test pass rates during construction, employment retained at 12 and 24 months, and production net of imported inputs across future projects.</w:t>
      </w:r>
    </w:p>
    <w:p>
      <w:pPr>
        <w:pBdr>
          <w:top w:val="single" w:color="D7DBE0" w:sz="4" w:space="6"/>
        </w:pBdr>
        <w:spacing w:after="200" w:before="60"/>
      </w:pPr>
      <w:r>
        <w:rPr>
          <w:rFonts w:ascii="Calibri" w:cs="Calibri" w:eastAsia="Calibri" w:hAnsi="Calibri"/>
          <w:i/>
          <w:iCs/>
          <w:color w:val="5B6472"/>
          <w:sz w:val="16"/>
          <w:szCs w:val="16"/>
        </w:rPr>
        <w:t xml:space="preserve">Group proposal. The +SAR 190m figure is the illustrative model from Part 2, not a projected return on this pilot.</w:t>
      </w:r>
    </w:p>
    <w:p>
      <w:pPr>
        <w:keepNext/>
        <w:keepLines/>
        <w:spacing w:after="40" w:before="260"/>
      </w:pPr>
      <w:r>
        <w:rPr>
          <w:rFonts w:ascii="Calibri" w:cs="Calibri" w:eastAsia="Calibri" w:hAnsi="Calibri"/>
          <w:b/>
          <w:bCs/>
          <w:color w:val="8A6D1F"/>
          <w:spacing w:val="24"/>
          <w:sz w:val="15"/>
          <w:szCs w:val="15"/>
        </w:rPr>
        <w:t xml:space="preserve">PART 4 · THE CLOSING ARGUMENT</w:t>
      </w:r>
    </w:p>
    <w:p>
      <w:pPr>
        <w:pStyle w:val="Heading2"/>
        <w:keepNext/>
        <w:keepLines/>
        <w:spacing w:after="140" w:before="40"/>
      </w:pPr>
      <w:r>
        <w:rPr>
          <w:rFonts w:ascii="Calibri" w:cs="Calibri" w:eastAsia="Calibri" w:hAnsi="Calibri"/>
          <w:b/>
          <w:bCs/>
          <w:color w:val="00471B"/>
          <w:sz w:val="27"/>
          <w:szCs w:val="27"/>
        </w:rPr>
        <w:t xml:space="preserve">What we would tell LCGPA</w:t>
      </w:r>
    </w:p>
    <w:p>
      <w:pPr>
        <w:spacing w:after="110" w:before="0"/>
      </w:pPr>
      <w:r>
        <w:rPr>
          <w:rFonts w:ascii="Calibri" w:cs="Calibri" w:eastAsia="Calibri" w:hAnsi="Calibri"/>
          <w:color w:val="1C1F26"/>
          <w:sz w:val="21"/>
          <w:szCs w:val="21"/>
        </w:rPr>
        <w:t xml:space="preserve">In 2034 the stadium will be finished either way. The question this project answers is what else is still standing afterwards.</w:t>
      </w:r>
    </w:p>
    <w:p>
      <w:pPr>
        <w:spacing w:after="110" w:before="0"/>
      </w:pPr>
      <w:r>
        <w:rPr>
          <w:rFonts w:ascii="Calibri" w:cs="Calibri" w:eastAsia="Calibri" w:hAnsi="Calibri"/>
          <w:color w:val="1C1F26"/>
          <w:sz w:val="21"/>
          <w:szCs w:val="21"/>
        </w:rPr>
        <w:t xml:space="preserve">Thank you — questions welcome.</w:t>
      </w:r>
    </w:p>
    <w:p>
      <w:pPr>
        <w:spacing w:after="110" w:before="0"/>
      </w:pPr>
      <w:r>
        <w:rPr>
          <w:rFonts w:ascii="Calibri" w:cs="Calibri" w:eastAsia="Calibri" w:hAnsi="Calibri"/>
          <w:color w:val="1C1F26"/>
          <w:sz w:val="21"/>
          <w:szCs w:val="21"/>
        </w:rPr>
        <w:t xml:space="preserve">A stadium is a deadline, not a market. The credit system will be satisfied long before any Saudi capability exists, unless the policy counts people who passed an independent test and production net of imported inputs — and keeps counting them two years after handover. Fund one package, verify it, then scale.</w:t>
      </w:r>
    </w:p>
    <w:p>
      <w:pPr>
        <w:spacing w:after="60" w:before="200"/>
      </w:pPr>
      <w:r>
        <w:rPr>
          <w:rFonts w:ascii="Calibri" w:cs="Calibri" w:eastAsia="Calibri" w:hAnsi="Calibri"/>
          <w:b/>
          <w:bCs/>
          <w:color w:val="1C1F26"/>
          <w:sz w:val="21"/>
          <w:szCs w:val="21"/>
        </w:rPr>
        <w:t xml:space="preserve">Group 8</w:t>
      </w:r>
    </w:p>
    <w:p>
      <w:pPr>
        <w:spacing w:after="120" w:before="0"/>
      </w:pPr>
      <w:r>
        <w:rPr>
          <w:rFonts w:ascii="Calibri" w:cs="Calibri" w:eastAsia="Calibri" w:hAnsi="Calibri"/>
          <w:color w:val="1C1F26"/>
          <w:sz w:val="21"/>
          <w:szCs w:val="21"/>
        </w:rPr>
        <w:t xml:space="preserve">Salman · Abdulaziz · Nada · Mohammed · Haifa · Abdulmajed · Abdulrahman</w:t>
      </w:r>
    </w:p>
    <w:p>
      <w:pPr>
        <w:pStyle w:val="Heading1"/>
        <w:pageBreakBefore/>
        <w:spacing w:after="180" w:before="0"/>
      </w:pPr>
      <w:r>
        <w:rPr>
          <w:rFonts w:ascii="Calibri" w:cs="Calibri" w:eastAsia="Calibri" w:hAnsi="Calibri"/>
          <w:b/>
          <w:bCs/>
          <w:color w:val="1C1F26"/>
          <w:sz w:val="34"/>
          <w:szCs w:val="34"/>
        </w:rPr>
        <w:t xml:space="preserve">Appendix · for questions</w:t>
      </w:r>
    </w:p>
    <w:p>
      <w:pPr>
        <w:spacing w:after="200" w:before="0"/>
      </w:pPr>
      <w:r>
        <w:rPr>
          <w:rFonts w:ascii="Calibri" w:cs="Calibri" w:eastAsia="Calibri" w:hAnsi="Calibri"/>
          <w:i/>
          <w:iCs/>
          <w:color w:val="5B6472"/>
          <w:sz w:val="18"/>
          <w:szCs w:val="18"/>
        </w:rPr>
        <w:t xml:space="preserve">Planned speaking time: not presented — held for questions</w:t>
      </w:r>
    </w:p>
    <w:p>
      <w:pPr>
        <w:keepNext/>
        <w:keepLines/>
        <w:spacing w:after="40" w:before="260"/>
      </w:pPr>
      <w:r>
        <w:rPr>
          <w:rFonts w:ascii="Calibri" w:cs="Calibri" w:eastAsia="Calibri" w:hAnsi="Calibri"/>
          <w:b/>
          <w:bCs/>
          <w:color w:val="8A6D1F"/>
          <w:spacing w:val="24"/>
          <w:sz w:val="15"/>
          <w:szCs w:val="15"/>
        </w:rPr>
        <w:t xml:space="preserve">APPENDIX · FOR QUESTIONS</w:t>
      </w:r>
    </w:p>
    <w:p>
      <w:pPr>
        <w:pStyle w:val="Heading2"/>
        <w:keepNext/>
        <w:keepLines/>
        <w:spacing w:after="140" w:before="40"/>
      </w:pPr>
      <w:r>
        <w:rPr>
          <w:rFonts w:ascii="Calibri" w:cs="Calibri" w:eastAsia="Calibri" w:hAnsi="Calibri"/>
          <w:b/>
          <w:bCs/>
          <w:color w:val="00471B"/>
          <w:sz w:val="27"/>
          <w:szCs w:val="27"/>
        </w:rPr>
        <w:t xml:space="preserve">What Saudi construction produced and bought in, 2023</w:t>
      </w:r>
    </w:p>
    <w:p>
      <w:pPr>
        <w:keepNext/>
        <w:spacing w:after="20" w:before="140"/>
      </w:pPr>
      <w:r>
        <w:rPr>
          <w:rFonts w:ascii="Calibri" w:cs="Calibri" w:eastAsia="Calibri" w:hAnsi="Calibri"/>
          <w:b/>
          <w:bCs/>
          <w:color w:val="1C1F26"/>
          <w:sz w:val="18"/>
          <w:szCs w:val="18"/>
        </w:rPr>
        <w:t xml:space="preserve">Output, inputs, value added</w:t>
      </w:r>
      <w:r>
        <w:rPr>
          <w:rFonts w:ascii="Calibri" w:cs="Calibri" w:eastAsia="Calibri" w:hAnsi="Calibri"/>
          <w:i/>
          <w:iCs/>
          <w:color w:val="5B6472"/>
          <w:sz w:val="15"/>
          <w:szCs w:val="15"/>
        </w:rPr>
        <w:t xml:space="preserve">   Verified [R05]</w:t>
      </w:r>
    </w:p>
    <w:p>
      <w:pPr>
        <w:spacing w:after="120" w:before="160"/>
        <w:jc w:val="center"/>
      </w:pPr>
      <w:r>
        <w:drawing>
          <wp:inline distT="0" distB="0" distL="0" distR="0">
            <wp:extent cx="4381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295525"/>
                    </a:xfrm>
                    <a:prstGeom prst="rect">
                      <a:avLst/>
                    </a:prstGeom>
                  </pic:spPr>
                </pic:pic>
              </a:graphicData>
            </a:graphic>
          </wp:inline>
        </w:drawing>
      </w:r>
    </w:p>
    <w:p>
      <w:pPr>
        <w:keepNext/>
        <w:spacing w:after="20" w:before="140"/>
      </w:pPr>
      <w:r>
        <w:rPr>
          <w:rFonts w:ascii="Calibri" w:cs="Calibri" w:eastAsia="Calibri" w:hAnsi="Calibri"/>
          <w:b/>
          <w:bCs/>
          <w:color w:val="1C1F26"/>
          <w:sz w:val="18"/>
          <w:szCs w:val="18"/>
        </w:rPr>
        <w:t xml:space="preserve">What construction consumed</w:t>
      </w:r>
      <w:r>
        <w:rPr>
          <w:rFonts w:ascii="Calibri" w:cs="Calibri" w:eastAsia="Calibri" w:hAnsi="Calibri"/>
          <w:i/>
          <w:iCs/>
          <w:color w:val="5B6472"/>
          <w:sz w:val="15"/>
          <w:szCs w:val="15"/>
        </w:rPr>
        <w:t xml:space="preserve">   Verified [R05]</w:t>
      </w:r>
    </w:p>
    <w:p>
      <w:pPr>
        <w:spacing w:after="120" w:before="160"/>
        <w:jc w:val="center"/>
      </w:pPr>
      <w:r>
        <w:drawing>
          <wp:inline distT="0" distB="0" distL="0" distR="0">
            <wp:extent cx="4381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057400"/>
                    </a:xfrm>
                    <a:prstGeom prst="rect">
                      <a:avLst/>
                    </a:prstGeom>
                  </pic:spPr>
                </pic:pic>
              </a:graphicData>
            </a:graphic>
          </wp:inline>
        </w:drawing>
      </w:r>
    </w:p>
    <w:p>
      <w:pPr>
        <w:keepNext/>
        <w:spacing w:after="20" w:before="140"/>
      </w:pPr>
      <w:r>
        <w:rPr>
          <w:rFonts w:ascii="Calibri" w:cs="Calibri" w:eastAsia="Calibri" w:hAnsi="Calibri"/>
          <w:b/>
          <w:bCs/>
          <w:color w:val="1C1F26"/>
          <w:sz w:val="18"/>
          <w:szCs w:val="18"/>
        </w:rPr>
        <w:t xml:space="preserve">Imported share of that supply</w:t>
      </w:r>
      <w:r>
        <w:rPr>
          <w:rFonts w:ascii="Calibri" w:cs="Calibri" w:eastAsia="Calibri" w:hAnsi="Calibri"/>
          <w:i/>
          <w:iCs/>
          <w:color w:val="5B6472"/>
          <w:sz w:val="15"/>
          <w:szCs w:val="15"/>
        </w:rPr>
        <w:t xml:space="preserve">   Verified [R05]</w:t>
      </w:r>
    </w:p>
    <w:p>
      <w:pPr>
        <w:spacing w:after="120" w:before="160"/>
        <w:jc w:val="center"/>
      </w:pPr>
      <w:r>
        <w:drawing>
          <wp:inline distT="0" distB="0" distL="0" distR="0">
            <wp:extent cx="4381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962275"/>
                    </a:xfrm>
                    <a:prstGeom prst="rect">
                      <a:avLst/>
                    </a:prstGeom>
                  </pic:spPr>
                </pic:pic>
              </a:graphicData>
            </a:graphic>
          </wp:inline>
        </w:drawing>
      </w:r>
    </w:p>
    <w:p>
      <w:pPr>
        <w:spacing w:after="110" w:before="0"/>
      </w:pPr>
      <w:r>
        <w:rPr>
          <w:rFonts w:ascii="Calibri" w:cs="Calibri" w:eastAsia="Calibri" w:hAnsi="Calibri"/>
          <w:color w:val="1C1F26"/>
          <w:sz w:val="21"/>
          <w:szCs w:val="21"/>
        </w:rPr>
        <w:t xml:space="preserve">GASTAT Supply &amp; Use tables, 2023 — construction sector intermediate consumption.</w:t>
      </w:r>
    </w:p>
    <w:p>
      <w:pPr>
        <w:spacing w:after="110" w:before="0"/>
      </w:pPr>
      <w:r>
        <w:rPr>
          <w:rFonts w:ascii="Calibri" w:cs="Calibri" w:eastAsia="Calibri" w:hAnsi="Calibri"/>
          <w:color w:val="1C1F26"/>
          <w:sz w:val="21"/>
          <w:szCs w:val="21"/>
        </w:rPr>
        <w:t xml:space="preserve">GASTAT Supply and Use tables, 2023, sheet 6.1 (cells AA/AB). National ratios — they cannot be treated as construction or stadium import shares.</w:t>
      </w:r>
    </w:p>
    <w:p>
      <w:pPr>
        <w:pBdr>
          <w:top w:val="single" w:color="D7DBE0" w:sz="4" w:space="6"/>
        </w:pBdr>
        <w:spacing w:after="200" w:before="60"/>
      </w:pPr>
      <w:r>
        <w:rPr>
          <w:rFonts w:ascii="Calibri" w:cs="Calibri" w:eastAsia="Calibri" w:hAnsi="Calibri"/>
          <w:i/>
          <w:iCs/>
          <w:color w:val="5B6472"/>
          <w:sz w:val="16"/>
          <w:szCs w:val="16"/>
        </w:rPr>
        <w:t xml:space="preserve">GASTAT Supply &amp; Use / Input–Output tables, 2023. Value added is 52.4% of output — an accounting share, not a multiplier. The import ratios are national: a screen for where to request contract data, not a measurement of this project.</w:t>
      </w:r>
    </w:p>
    <w:p>
      <w:pPr>
        <w:keepNext/>
        <w:keepLines/>
        <w:spacing w:after="40" w:before="260"/>
      </w:pPr>
      <w:r>
        <w:rPr>
          <w:rFonts w:ascii="Calibri" w:cs="Calibri" w:eastAsia="Calibri" w:hAnsi="Calibri"/>
          <w:b/>
          <w:bCs/>
          <w:color w:val="8A6D1F"/>
          <w:spacing w:val="24"/>
          <w:sz w:val="15"/>
          <w:szCs w:val="15"/>
        </w:rPr>
        <w:t xml:space="preserve">APPENDIX · FOR QUESTIONS</w:t>
      </w:r>
    </w:p>
    <w:p>
      <w:pPr>
        <w:pStyle w:val="Heading2"/>
        <w:keepNext/>
        <w:keepLines/>
        <w:spacing w:after="140" w:before="40"/>
      </w:pPr>
      <w:r>
        <w:rPr>
          <w:rFonts w:ascii="Calibri" w:cs="Calibri" w:eastAsia="Calibri" w:hAnsi="Calibri"/>
          <w:b/>
          <w:bCs/>
          <w:color w:val="00471B"/>
          <w:sz w:val="27"/>
          <w:szCs w:val="27"/>
        </w:rPr>
        <w:t xml:space="preserve">EP categories, and what the April 2026 draft leaves open</w:t>
      </w:r>
    </w:p>
    <w:p>
      <w:pPr>
        <w:spacing w:after="70" w:before="0"/>
        <w:ind w:left="260"/>
      </w:pPr>
      <w:r>
        <w:rPr>
          <w:rFonts w:ascii="Calibri" w:cs="Calibri" w:eastAsia="Calibri" w:hAnsi="Calibri"/>
          <w:b/>
          <w:bCs/>
          <w:color w:val="1C1F26"/>
          <w:sz w:val="21"/>
          <w:szCs w:val="21"/>
        </w:rPr>
        <w:t xml:space="preserve">Highest fit — Training and knowledge transfer: </w:t>
      </w:r>
      <w:r>
        <w:rPr>
          <w:rFonts w:ascii="Calibri" w:cs="Calibri" w:eastAsia="Calibri" w:hAnsi="Calibri"/>
          <w:color w:val="1C1F26"/>
          <w:sz w:val="21"/>
          <w:szCs w:val="21"/>
        </w:rPr>
        <w:t xml:space="preserve">Mentoring a Saudi team through installation, controls and fault diagnosis on live work.</w:t>
      </w:r>
    </w:p>
    <w:p>
      <w:pPr>
        <w:spacing w:after="70" w:before="0"/>
        <w:ind w:left="260"/>
      </w:pPr>
      <w:r>
        <w:rPr>
          <w:rFonts w:ascii="Calibri" w:cs="Calibri" w:eastAsia="Calibri" w:hAnsi="Calibri"/>
          <w:b/>
          <w:bCs/>
          <w:color w:val="1C1F26"/>
          <w:sz w:val="21"/>
          <w:szCs w:val="21"/>
        </w:rPr>
        <w:t xml:space="preserve">Highest fit — Service localisation: </w:t>
      </w:r>
      <w:r>
        <w:rPr>
          <w:rFonts w:ascii="Calibri" w:cs="Calibri" w:eastAsia="Calibri" w:hAnsi="Calibri"/>
          <w:color w:val="1C1F26"/>
          <w:sz w:val="21"/>
          <w:szCs w:val="21"/>
        </w:rPr>
        <w:t xml:space="preserve">Testing and commissioning performed here rather than flown in.</w:t>
      </w:r>
    </w:p>
    <w:p>
      <w:pPr>
        <w:spacing w:after="70" w:before="0"/>
        <w:ind w:left="260"/>
      </w:pPr>
      <w:r>
        <w:rPr>
          <w:rFonts w:ascii="Calibri" w:cs="Calibri" w:eastAsia="Calibri" w:hAnsi="Calibri"/>
          <w:b/>
          <w:bCs/>
          <w:color w:val="1C1F26"/>
          <w:sz w:val="21"/>
          <w:szCs w:val="21"/>
        </w:rPr>
        <w:t xml:space="preserve">Phase two — Technology transfer · new subcontracting: </w:t>
      </w:r>
      <w:r>
        <w:rPr>
          <w:rFonts w:ascii="Calibri" w:cs="Calibri" w:eastAsia="Calibri" w:hAnsi="Calibri"/>
          <w:color w:val="1C1F26"/>
          <w:sz w:val="21"/>
          <w:szCs w:val="21"/>
        </w:rPr>
        <w:t xml:space="preserve">Qualifying local makers of brackets, enclosures and assemblies.</w:t>
      </w:r>
    </w:p>
    <w:p>
      <w:pPr>
        <w:spacing w:after="70" w:before="0"/>
        <w:ind w:left="260"/>
      </w:pPr>
      <w:r>
        <w:rPr>
          <w:rFonts w:ascii="Calibri" w:cs="Calibri" w:eastAsia="Calibri" w:hAnsi="Calibri"/>
          <w:b/>
          <w:bCs/>
          <w:color w:val="1C1F26"/>
          <w:sz w:val="21"/>
          <w:szCs w:val="21"/>
        </w:rPr>
        <w:t xml:space="preserve">Reserved — R&amp;D and export activity: </w:t>
      </w:r>
      <w:r>
        <w:rPr>
          <w:rFonts w:ascii="Calibri" w:cs="Calibri" w:eastAsia="Calibri" w:hAnsi="Calibri"/>
          <w:color w:val="1C1F26"/>
          <w:sz w:val="21"/>
          <w:szCs w:val="21"/>
        </w:rPr>
        <w:t xml:space="preserve">Higher multipliers, but only where adoption and buyers are demonstrable.</w:t>
      </w:r>
    </w:p>
    <w:p>
      <w:pPr>
        <w:spacing w:after="60" w:before="0"/>
      </w:pPr>
      <w:r>
        <w:rPr>
          <w:rFonts w:ascii="Calibri" w:cs="Calibri" w:eastAsia="Calibri" w:hAnsi="Calibri"/>
          <w:color w:val="1C1F26"/>
          <w:sz w:val="8"/>
          <w:szCs w:val="8"/>
        </w:rPr>
        <w:t xml:space="preserve"/>
      </w:r>
    </w:p>
    <w:p>
      <w:pPr>
        <w:pBdr>
          <w:top w:val="single" w:color="D7DBE0" w:sz="4" w:space="6"/>
        </w:pBdr>
        <w:spacing w:after="200" w:before="60"/>
      </w:pPr>
      <w:r>
        <w:rPr>
          <w:rFonts w:ascii="Calibri" w:cs="Calibri" w:eastAsia="Calibri" w:hAnsi="Calibri"/>
          <w:i/>
          <w:iCs/>
          <w:color w:val="5B6472"/>
          <w:sz w:val="16"/>
          <w:szCs w:val="16"/>
        </w:rPr>
        <w:t xml:space="preserve">In the April 2026 draft [S11]: the official notice announced a 22 April 2026 closing date [R11]; no record of closure, adoption or commencement was retrieved. The topline obligation falls from 35% to 25% and becomes tiered — 25% on the first tier (SAR 75–300m by competition value, SAR 100–300m cumulative), 20% on SAR 300–500m, 15% above SAR 500m. Multipliers rise from 0.5–3 to 1–4, with a bonus of 1–2 (maximum 5–6). Article 10 adds an impact-based alternative track above SAR 500m, extendable to smaller contracts at LCGPA's discretion. Also: proactive and surplus credits, quarterly reporting, and a 2% administrative fee counted toward the obligation. Separately — already practice, not a draft change — DGA reports some government bodies negotiating to cascade obligations to subcontractors rather than the main contractor; for stadium work that decides who actually carries the obligation. DGA notes the draft still does not say how a multiplier is set within a category.</w:t>
      </w:r>
    </w:p>
    <w:p>
      <w:pPr>
        <w:keepNext/>
        <w:keepLines/>
        <w:spacing w:after="40" w:before="260"/>
      </w:pPr>
      <w:r>
        <w:rPr>
          <w:rFonts w:ascii="Calibri" w:cs="Calibri" w:eastAsia="Calibri" w:hAnsi="Calibri"/>
          <w:b/>
          <w:bCs/>
          <w:color w:val="8A6D1F"/>
          <w:spacing w:val="24"/>
          <w:sz w:val="15"/>
          <w:szCs w:val="15"/>
        </w:rPr>
        <w:t xml:space="preserve">APPENDIX · FOR QUESTIONS</w:t>
      </w:r>
    </w:p>
    <w:p>
      <w:pPr>
        <w:pStyle w:val="Heading2"/>
        <w:keepNext/>
        <w:keepLines/>
        <w:spacing w:after="140" w:before="40"/>
      </w:pPr>
      <w:r>
        <w:rPr>
          <w:rFonts w:ascii="Calibri" w:cs="Calibri" w:eastAsia="Calibri" w:hAnsi="Calibri"/>
          <w:b/>
          <w:bCs/>
          <w:color w:val="00471B"/>
          <w:sz w:val="27"/>
          <w:szCs w:val="27"/>
        </w:rPr>
        <w:t xml:space="preserve">Six ways this goes wrong, and the safeguards we would write in</w:t>
      </w:r>
    </w:p>
    <w:tbl>
      <w:tblPr>
        <w:tblW w:type="auto" w:w="100"/>
        <w:tblBorders>
          <w:top w:val="single" w:color="D7DBE0" w:sz="4"/>
          <w:left w:val="none"/>
          <w:bottom w:val="single" w:color="D7DBE0" w:sz="4"/>
          <w:right w:val="none"/>
          <w:insideH w:val="single" w:color="D7DBE0" w:sz="2"/>
          <w:insideV w:val="none"/>
        </w:tblBorders>
      </w:tblPr>
      <w:tblGrid>
        <w:gridCol w:w="2200"/>
        <w:gridCol w:w="900"/>
        <w:gridCol w:w="3200"/>
        <w:gridCol w:w="3060"/>
      </w:tblGrid>
      <w:tr>
        <w:trPr>
          <w:tblHeader/>
        </w:trPr>
        <w:tc>
          <w:tcPr>
            <w:tcW w:type="dxa" w:w="2200"/>
            <w:shd w:fill="F2F4F6" w:val="clear"/>
            <w:tcMar>
              <w:top w:type="dxa" w:w="90"/>
              <w:left w:type="dxa" w:w="110"/>
              <w:bottom w:type="dxa" w:w="90"/>
              <w:right w:type="dxa" w:w="110"/>
            </w:tcMar>
          </w:tcPr>
          <w:p>
            <w:r>
              <w:rPr>
                <w:rFonts w:ascii="Calibri" w:cs="Calibri" w:eastAsia="Calibri" w:hAnsi="Calibri"/>
                <w:b/>
                <w:bCs/>
                <w:color w:val="1C1F26"/>
                <w:sz w:val="17"/>
                <w:szCs w:val="17"/>
              </w:rPr>
              <w:t xml:space="preserve">Risk</w:t>
            </w:r>
          </w:p>
        </w:tc>
        <w:tc>
          <w:tcPr>
            <w:tcW w:type="dxa" w:w="900"/>
            <w:shd w:fill="F2F4F6" w:val="clear"/>
            <w:tcMar>
              <w:top w:type="dxa" w:w="90"/>
              <w:left w:type="dxa" w:w="110"/>
              <w:bottom w:type="dxa" w:w="90"/>
              <w:right w:type="dxa" w:w="110"/>
            </w:tcMar>
          </w:tcPr>
          <w:p>
            <w:r>
              <w:rPr>
                <w:rFonts w:ascii="Calibri" w:cs="Calibri" w:eastAsia="Calibri" w:hAnsi="Calibri"/>
                <w:b/>
                <w:bCs/>
                <w:color w:val="1C1F26"/>
                <w:sz w:val="17"/>
                <w:szCs w:val="17"/>
              </w:rPr>
              <w:t xml:space="preserve">Level</w:t>
            </w:r>
          </w:p>
        </w:tc>
        <w:tc>
          <w:tcPr>
            <w:tcW w:type="dxa" w:w="3200"/>
            <w:shd w:fill="F2F4F6" w:val="clear"/>
            <w:tcMar>
              <w:top w:type="dxa" w:w="90"/>
              <w:left w:type="dxa" w:w="110"/>
              <w:bottom w:type="dxa" w:w="90"/>
              <w:right w:type="dxa" w:w="110"/>
            </w:tcMar>
          </w:tcPr>
          <w:p>
            <w:r>
              <w:rPr>
                <w:rFonts w:ascii="Calibri" w:cs="Calibri" w:eastAsia="Calibri" w:hAnsi="Calibri"/>
                <w:b/>
                <w:bCs/>
                <w:color w:val="1C1F26"/>
                <w:sz w:val="17"/>
                <w:szCs w:val="17"/>
              </w:rPr>
              <w:t xml:space="preserve">Why it matters</w:t>
            </w:r>
          </w:p>
        </w:tc>
        <w:tc>
          <w:tcPr>
            <w:tcW w:type="dxa" w:w="3060"/>
            <w:shd w:fill="F2F4F6" w:val="clear"/>
            <w:tcMar>
              <w:top w:type="dxa" w:w="90"/>
              <w:left w:type="dxa" w:w="110"/>
              <w:bottom w:type="dxa" w:w="90"/>
              <w:right w:type="dxa" w:w="110"/>
            </w:tcMar>
          </w:tcPr>
          <w:p>
            <w:r>
              <w:rPr>
                <w:rFonts w:ascii="Calibri" w:cs="Calibri" w:eastAsia="Calibri" w:hAnsi="Calibri"/>
                <w:b/>
                <w:bCs/>
                <w:color w:val="1C1F26"/>
                <w:sz w:val="17"/>
                <w:szCs w:val="17"/>
              </w:rPr>
              <w:t xml:space="preserve">Safeguard we would write in</w:t>
            </w:r>
          </w:p>
        </w:tc>
      </w:tr>
      <w:tr>
        <w:tc>
          <w:tcPr>
            <w:tcW w:type="dxa" w:w="2200"/>
            <w:tcMar>
              <w:top w:type="dxa" w:w="90"/>
              <w:left w:type="dxa" w:w="110"/>
              <w:bottom w:type="dxa" w:w="90"/>
              <w:right w:type="dxa" w:w="110"/>
            </w:tcMar>
          </w:tcPr>
          <w:p>
            <w:r>
              <w:rPr>
                <w:rFonts w:ascii="Calibri" w:cs="Calibri" w:eastAsia="Calibri" w:hAnsi="Calibri"/>
                <w:b/>
                <w:bCs/>
                <w:color w:val="1C1F26"/>
                <w:sz w:val="18"/>
                <w:szCs w:val="18"/>
              </w:rPr>
              <w:t xml:space="preserve">Fixed event deadline</w:t>
            </w:r>
          </w:p>
        </w:tc>
        <w:tc>
          <w:tcPr>
            <w:tcW w:type="dxa" w:w="900"/>
            <w:tcMar>
              <w:top w:type="dxa" w:w="90"/>
              <w:left w:type="dxa" w:w="110"/>
              <w:bottom w:type="dxa" w:w="90"/>
              <w:right w:type="dxa" w:w="110"/>
            </w:tcMar>
          </w:tcPr>
          <w:p>
            <w:r>
              <w:rPr>
                <w:rFonts w:ascii="Calibri" w:cs="Calibri" w:eastAsia="Calibri" w:hAnsi="Calibri"/>
                <w:b w:val="false"/>
                <w:bCs w:val="false"/>
                <w:color w:val="A33A2A"/>
                <w:sz w:val="18"/>
                <w:szCs w:val="18"/>
              </w:rPr>
              <w:t xml:space="preserve">Critical</w:t>
            </w:r>
          </w:p>
        </w:tc>
        <w:tc>
          <w:tcPr>
            <w:tcW w:type="dxa" w:w="3200"/>
            <w:tcMar>
              <w:top w:type="dxa" w:w="90"/>
              <w:left w:type="dxa" w:w="110"/>
              <w:bottom w:type="dxa" w:w="90"/>
              <w:right w:type="dxa" w:w="110"/>
            </w:tcMar>
          </w:tcPr>
          <w:p>
            <w:r>
              <w:rPr>
                <w:rFonts w:ascii="Calibri" w:cs="Calibri" w:eastAsia="Calibri" w:hAnsi="Calibri"/>
                <w:b w:val="false"/>
                <w:bCs w:val="false"/>
                <w:color w:val="1C1F26"/>
                <w:sz w:val="18"/>
                <w:szCs w:val="18"/>
              </w:rPr>
              <w:t xml:space="preserve">An unready supplier can delay safe delivery of a 2034 venue.</w:t>
            </w:r>
          </w:p>
        </w:tc>
        <w:tc>
          <w:tcPr>
            <w:tcW w:type="dxa" w:w="3060"/>
            <w:tcMar>
              <w:top w:type="dxa" w:w="90"/>
              <w:left w:type="dxa" w:w="110"/>
              <w:bottom w:type="dxa" w:w="90"/>
              <w:right w:type="dxa" w:w="110"/>
            </w:tcMar>
          </w:tcPr>
          <w:p>
            <w:r>
              <w:rPr>
                <w:rFonts w:ascii="Calibri" w:cs="Calibri" w:eastAsia="Calibri" w:hAnsi="Calibri"/>
                <w:b w:val="false"/>
                <w:bCs w:val="false"/>
                <w:color w:val="1C1F26"/>
                <w:sz w:val="18"/>
                <w:szCs w:val="18"/>
              </w:rPr>
              <w:t xml:space="preserve">Train early; release critical work only after independent qualification.</w:t>
            </w:r>
          </w:p>
        </w:tc>
      </w:tr>
      <w:tr>
        <w:tc>
          <w:tcPr>
            <w:tcW w:type="dxa" w:w="2200"/>
            <w:tcMar>
              <w:top w:type="dxa" w:w="90"/>
              <w:left w:type="dxa" w:w="110"/>
              <w:bottom w:type="dxa" w:w="90"/>
              <w:right w:type="dxa" w:w="110"/>
            </w:tcMar>
          </w:tcPr>
          <w:p>
            <w:r>
              <w:rPr>
                <w:rFonts w:ascii="Calibri" w:cs="Calibri" w:eastAsia="Calibri" w:hAnsi="Calibri"/>
                <w:b/>
                <w:bCs/>
                <w:color w:val="1C1F26"/>
                <w:sz w:val="18"/>
                <w:szCs w:val="18"/>
              </w:rPr>
              <w:t xml:space="preserve">Tools and technical rights</w:t>
            </w:r>
          </w:p>
        </w:tc>
        <w:tc>
          <w:tcPr>
            <w:tcW w:type="dxa" w:w="900"/>
            <w:tcMar>
              <w:top w:type="dxa" w:w="90"/>
              <w:left w:type="dxa" w:w="110"/>
              <w:bottom w:type="dxa" w:w="90"/>
              <w:right w:type="dxa" w:w="110"/>
            </w:tcMar>
          </w:tcPr>
          <w:p>
            <w:r>
              <w:rPr>
                <w:rFonts w:ascii="Calibri" w:cs="Calibri" w:eastAsia="Calibri" w:hAnsi="Calibri"/>
                <w:b w:val="false"/>
                <w:bCs w:val="false"/>
                <w:color w:val="8A6D1F"/>
                <w:sz w:val="18"/>
                <w:szCs w:val="18"/>
              </w:rPr>
              <w:t xml:space="preserve">Serious</w:t>
            </w:r>
          </w:p>
        </w:tc>
        <w:tc>
          <w:tcPr>
            <w:tcW w:type="dxa" w:w="3200"/>
            <w:tcMar>
              <w:top w:type="dxa" w:w="90"/>
              <w:left w:type="dxa" w:w="110"/>
              <w:bottom w:type="dxa" w:w="90"/>
              <w:right w:type="dxa" w:w="110"/>
            </w:tcMar>
          </w:tcPr>
          <w:p>
            <w:r>
              <w:rPr>
                <w:rFonts w:ascii="Calibri" w:cs="Calibri" w:eastAsia="Calibri" w:hAnsi="Calibri"/>
                <w:b w:val="false"/>
                <w:bCs w:val="false"/>
                <w:color w:val="1C1F26"/>
                <w:sz w:val="18"/>
                <w:szCs w:val="18"/>
              </w:rPr>
              <w:t xml:space="preserve">Training cannot replace foreign expertise without access to the means of doing the work.</w:t>
            </w:r>
          </w:p>
        </w:tc>
        <w:tc>
          <w:tcPr>
            <w:tcW w:type="dxa" w:w="3060"/>
            <w:tcMar>
              <w:top w:type="dxa" w:w="90"/>
              <w:left w:type="dxa" w:w="110"/>
              <w:bottom w:type="dxa" w:w="90"/>
              <w:right w:type="dxa" w:w="110"/>
            </w:tcMar>
          </w:tcPr>
          <w:p>
            <w:r>
              <w:rPr>
                <w:rFonts w:ascii="Calibri" w:cs="Calibri" w:eastAsia="Calibri" w:hAnsi="Calibri"/>
                <w:b w:val="false"/>
                <w:bCs w:val="false"/>
                <w:color w:val="1C1F26"/>
                <w:sz w:val="18"/>
                <w:szCs w:val="18"/>
              </w:rPr>
              <w:t xml:space="preserve">Agree access to software, manuals, diagnostic tools and licences inside the EP agreement.</w:t>
            </w:r>
          </w:p>
        </w:tc>
      </w:tr>
      <w:tr>
        <w:tc>
          <w:tcPr>
            <w:tcW w:type="dxa" w:w="2200"/>
            <w:tcMar>
              <w:top w:type="dxa" w:w="90"/>
              <w:left w:type="dxa" w:w="110"/>
              <w:bottom w:type="dxa" w:w="90"/>
              <w:right w:type="dxa" w:w="110"/>
            </w:tcMar>
          </w:tcPr>
          <w:p>
            <w:r>
              <w:rPr>
                <w:rFonts w:ascii="Calibri" w:cs="Calibri" w:eastAsia="Calibri" w:hAnsi="Calibri"/>
                <w:b/>
                <w:bCs/>
                <w:color w:val="1C1F26"/>
                <w:sz w:val="18"/>
                <w:szCs w:val="18"/>
              </w:rPr>
              <w:t xml:space="preserve">Weak demand after handover</w:t>
            </w:r>
          </w:p>
        </w:tc>
        <w:tc>
          <w:tcPr>
            <w:tcW w:type="dxa" w:w="900"/>
            <w:tcMar>
              <w:top w:type="dxa" w:w="90"/>
              <w:left w:type="dxa" w:w="110"/>
              <w:bottom w:type="dxa" w:w="90"/>
              <w:right w:type="dxa" w:w="110"/>
            </w:tcMar>
          </w:tcPr>
          <w:p>
            <w:r>
              <w:rPr>
                <w:rFonts w:ascii="Calibri" w:cs="Calibri" w:eastAsia="Calibri" w:hAnsi="Calibri"/>
                <w:b w:val="false"/>
                <w:bCs w:val="false"/>
                <w:color w:val="8A6D1F"/>
                <w:sz w:val="18"/>
                <w:szCs w:val="18"/>
              </w:rPr>
              <w:t xml:space="preserve">Serious</w:t>
            </w:r>
          </w:p>
        </w:tc>
        <w:tc>
          <w:tcPr>
            <w:tcW w:type="dxa" w:w="3200"/>
            <w:tcMar>
              <w:top w:type="dxa" w:w="90"/>
              <w:left w:type="dxa" w:w="110"/>
              <w:bottom w:type="dxa" w:w="90"/>
              <w:right w:type="dxa" w:w="110"/>
            </w:tcMar>
          </w:tcPr>
          <w:p>
            <w:r>
              <w:rPr>
                <w:rFonts w:ascii="Calibri" w:cs="Calibri" w:eastAsia="Calibri" w:hAnsi="Calibri"/>
                <w:b w:val="false"/>
                <w:bCs w:val="false"/>
                <w:color w:val="1C1F26"/>
                <w:sz w:val="18"/>
                <w:szCs w:val="18"/>
              </w:rPr>
              <w:t xml:space="preserve">Skills can disappear when one project ends.</w:t>
            </w:r>
          </w:p>
        </w:tc>
        <w:tc>
          <w:tcPr>
            <w:tcW w:type="dxa" w:w="3060"/>
            <w:tcMar>
              <w:top w:type="dxa" w:w="90"/>
              <w:left w:type="dxa" w:w="110"/>
              <w:bottom w:type="dxa" w:w="90"/>
              <w:right w:type="dxa" w:w="110"/>
            </w:tcMar>
          </w:tcPr>
          <w:p>
            <w:r>
              <w:rPr>
                <w:rFonts w:ascii="Calibri" w:cs="Calibri" w:eastAsia="Calibri" w:hAnsi="Calibri"/>
                <w:b w:val="false"/>
                <w:bCs w:val="false"/>
                <w:color w:val="1C1F26"/>
                <w:sz w:val="18"/>
                <w:szCs w:val="18"/>
              </w:rPr>
              <w:t xml:space="preserve">Use transferable building skills and secure a second customer before handover.</w:t>
            </w:r>
          </w:p>
        </w:tc>
      </w:tr>
      <w:tr>
        <w:tc>
          <w:tcPr>
            <w:tcW w:type="dxa" w:w="2200"/>
            <w:tcMar>
              <w:top w:type="dxa" w:w="90"/>
              <w:left w:type="dxa" w:w="110"/>
              <w:bottom w:type="dxa" w:w="90"/>
              <w:right w:type="dxa" w:w="110"/>
            </w:tcMar>
          </w:tcPr>
          <w:p>
            <w:r>
              <w:rPr>
                <w:rFonts w:ascii="Calibri" w:cs="Calibri" w:eastAsia="Calibri" w:hAnsi="Calibri"/>
                <w:b/>
                <w:bCs/>
                <w:color w:val="1C1F26"/>
                <w:sz w:val="18"/>
                <w:szCs w:val="18"/>
              </w:rPr>
              <w:t xml:space="preserve">Higher costs or poor quality</w:t>
            </w:r>
          </w:p>
        </w:tc>
        <w:tc>
          <w:tcPr>
            <w:tcW w:type="dxa" w:w="900"/>
            <w:tcMar>
              <w:top w:type="dxa" w:w="90"/>
              <w:left w:type="dxa" w:w="110"/>
              <w:bottom w:type="dxa" w:w="90"/>
              <w:right w:type="dxa" w:w="110"/>
            </w:tcMar>
          </w:tcPr>
          <w:p>
            <w:r>
              <w:rPr>
                <w:rFonts w:ascii="Calibri" w:cs="Calibri" w:eastAsia="Calibri" w:hAnsi="Calibri"/>
                <w:b w:val="false"/>
                <w:bCs w:val="false"/>
                <w:color w:val="5B6472"/>
                <w:sz w:val="18"/>
                <w:szCs w:val="18"/>
              </w:rPr>
              <w:t xml:space="preserve">Watch</w:t>
            </w:r>
          </w:p>
        </w:tc>
        <w:tc>
          <w:tcPr>
            <w:tcW w:type="dxa" w:w="3200"/>
            <w:tcMar>
              <w:top w:type="dxa" w:w="90"/>
              <w:left w:type="dxa" w:w="110"/>
              <w:bottom w:type="dxa" w:w="90"/>
              <w:right w:type="dxa" w:w="110"/>
            </w:tcMar>
          </w:tcPr>
          <w:p>
            <w:r>
              <w:rPr>
                <w:rFonts w:ascii="Calibri" w:cs="Calibri" w:eastAsia="Calibri" w:hAnsi="Calibri"/>
                <w:b w:val="false"/>
                <w:bCs w:val="false"/>
                <w:color w:val="1C1F26"/>
                <w:sz w:val="18"/>
                <w:szCs w:val="18"/>
              </w:rPr>
              <w:t xml:space="preserve">Localisation can reduce value if execution is inefficient.</w:t>
            </w:r>
          </w:p>
        </w:tc>
        <w:tc>
          <w:tcPr>
            <w:tcW w:type="dxa" w:w="3060"/>
            <w:tcMar>
              <w:top w:type="dxa" w:w="90"/>
              <w:left w:type="dxa" w:w="110"/>
              <w:bottom w:type="dxa" w:w="90"/>
              <w:right w:type="dxa" w:w="110"/>
            </w:tcMar>
          </w:tcPr>
          <w:p>
            <w:r>
              <w:rPr>
                <w:rFonts w:ascii="Calibri" w:cs="Calibri" w:eastAsia="Calibri" w:hAnsi="Calibri"/>
                <w:b w:val="false"/>
                <w:bCs w:val="false"/>
                <w:color w:val="1C1F26"/>
                <w:sz w:val="18"/>
                <w:szCs w:val="18"/>
              </w:rPr>
              <w:t xml:space="preserve">Pilot one package; compare quality and cost across the equipment’s life, not at purchase.</w:t>
            </w:r>
          </w:p>
        </w:tc>
      </w:tr>
      <w:tr>
        <w:tc>
          <w:tcPr>
            <w:tcW w:type="dxa" w:w="2200"/>
            <w:tcMar>
              <w:top w:type="dxa" w:w="90"/>
              <w:left w:type="dxa" w:w="110"/>
              <w:bottom w:type="dxa" w:w="90"/>
              <w:right w:type="dxa" w:w="110"/>
            </w:tcMar>
          </w:tcPr>
          <w:p>
            <w:r>
              <w:rPr>
                <w:rFonts w:ascii="Calibri" w:cs="Calibri" w:eastAsia="Calibri" w:hAnsi="Calibri"/>
                <w:b/>
                <w:bCs/>
                <w:color w:val="1C1F26"/>
                <w:sz w:val="18"/>
                <w:szCs w:val="18"/>
              </w:rPr>
              <w:t xml:space="preserve">Routine work counted as new</w:t>
            </w:r>
          </w:p>
        </w:tc>
        <w:tc>
          <w:tcPr>
            <w:tcW w:type="dxa" w:w="900"/>
            <w:tcMar>
              <w:top w:type="dxa" w:w="90"/>
              <w:left w:type="dxa" w:w="110"/>
              <w:bottom w:type="dxa" w:w="90"/>
              <w:right w:type="dxa" w:w="110"/>
            </w:tcMar>
          </w:tcPr>
          <w:p>
            <w:r>
              <w:rPr>
                <w:rFonts w:ascii="Calibri" w:cs="Calibri" w:eastAsia="Calibri" w:hAnsi="Calibri"/>
                <w:b w:val="false"/>
                <w:bCs w:val="false"/>
                <w:color w:val="5B6472"/>
                <w:sz w:val="18"/>
                <w:szCs w:val="18"/>
              </w:rPr>
              <w:t xml:space="preserve">Watch</w:t>
            </w:r>
          </w:p>
        </w:tc>
        <w:tc>
          <w:tcPr>
            <w:tcW w:type="dxa" w:w="3200"/>
            <w:tcMar>
              <w:top w:type="dxa" w:w="90"/>
              <w:left w:type="dxa" w:w="110"/>
              <w:bottom w:type="dxa" w:w="90"/>
              <w:right w:type="dxa" w:w="110"/>
            </w:tcMar>
          </w:tcPr>
          <w:p>
            <w:r>
              <w:rPr>
                <w:rFonts w:ascii="Calibri" w:cs="Calibri" w:eastAsia="Calibri" w:hAnsi="Calibri"/>
                <w:b w:val="false"/>
                <w:bCs w:val="false"/>
                <w:color w:val="1C1F26"/>
                <w:sz w:val="18"/>
                <w:szCs w:val="18"/>
              </w:rPr>
              <w:t xml:space="preserve">Credits may reward activity that would have happened anyway.</w:t>
            </w:r>
          </w:p>
        </w:tc>
        <w:tc>
          <w:tcPr>
            <w:tcW w:type="dxa" w:w="3060"/>
            <w:tcMar>
              <w:top w:type="dxa" w:w="90"/>
              <w:left w:type="dxa" w:w="110"/>
              <w:bottom w:type="dxa" w:w="90"/>
              <w:right w:type="dxa" w:w="110"/>
            </w:tcMar>
          </w:tcPr>
          <w:p>
            <w:r>
              <w:rPr>
                <w:rFonts w:ascii="Calibri" w:cs="Calibri" w:eastAsia="Calibri" w:hAnsi="Calibri"/>
                <w:b w:val="false"/>
                <w:bCs w:val="false"/>
                <w:color w:val="1C1F26"/>
                <w:sz w:val="18"/>
                <w:szCs w:val="18"/>
              </w:rPr>
              <w:t xml:space="preserve">Record the pre-programme baseline and demonstrate additional capability.</w:t>
            </w:r>
          </w:p>
        </w:tc>
      </w:tr>
      <w:tr>
        <w:tc>
          <w:tcPr>
            <w:tcW w:type="dxa" w:w="2200"/>
            <w:tcMar>
              <w:top w:type="dxa" w:w="90"/>
              <w:left w:type="dxa" w:w="110"/>
              <w:bottom w:type="dxa" w:w="90"/>
              <w:right w:type="dxa" w:w="110"/>
            </w:tcMar>
          </w:tcPr>
          <w:p>
            <w:r>
              <w:rPr>
                <w:rFonts w:ascii="Calibri" w:cs="Calibri" w:eastAsia="Calibri" w:hAnsi="Calibri"/>
                <w:b/>
                <w:bCs/>
                <w:color w:val="1C1F26"/>
                <w:sz w:val="18"/>
                <w:szCs w:val="18"/>
              </w:rPr>
              <w:t xml:space="preserve">Imports inside local invoices</w:t>
            </w:r>
          </w:p>
        </w:tc>
        <w:tc>
          <w:tcPr>
            <w:tcW w:type="dxa" w:w="900"/>
            <w:tcMar>
              <w:top w:type="dxa" w:w="90"/>
              <w:left w:type="dxa" w:w="110"/>
              <w:bottom w:type="dxa" w:w="90"/>
              <w:right w:type="dxa" w:w="110"/>
            </w:tcMar>
          </w:tcPr>
          <w:p>
            <w:r>
              <w:rPr>
                <w:rFonts w:ascii="Calibri" w:cs="Calibri" w:eastAsia="Calibri" w:hAnsi="Calibri"/>
                <w:b w:val="false"/>
                <w:bCs w:val="false"/>
                <w:color w:val="5B6472"/>
                <w:sz w:val="18"/>
                <w:szCs w:val="18"/>
              </w:rPr>
              <w:t xml:space="preserve">Watch</w:t>
            </w:r>
          </w:p>
        </w:tc>
        <w:tc>
          <w:tcPr>
            <w:tcW w:type="dxa" w:w="3200"/>
            <w:tcMar>
              <w:top w:type="dxa" w:w="90"/>
              <w:left w:type="dxa" w:w="110"/>
              <w:bottom w:type="dxa" w:w="90"/>
              <w:right w:type="dxa" w:w="110"/>
            </w:tcMar>
          </w:tcPr>
          <w:p>
            <w:r>
              <w:rPr>
                <w:rFonts w:ascii="Calibri" w:cs="Calibri" w:eastAsia="Calibri" w:hAnsi="Calibri"/>
                <w:b w:val="false"/>
                <w:bCs w:val="false"/>
                <w:color w:val="1C1F26"/>
                <w:sz w:val="18"/>
                <w:szCs w:val="18"/>
              </w:rPr>
              <w:t xml:space="preserve">Local spending can be overstated, or counted twice.</w:t>
            </w:r>
          </w:p>
        </w:tc>
        <w:tc>
          <w:tcPr>
            <w:tcW w:type="dxa" w:w="3060"/>
            <w:tcMar>
              <w:top w:type="dxa" w:w="90"/>
              <w:left w:type="dxa" w:w="110"/>
              <w:bottom w:type="dxa" w:w="90"/>
              <w:right w:type="dxa" w:w="110"/>
            </w:tcMar>
          </w:tcPr>
          <w:p>
            <w:r>
              <w:rPr>
                <w:rFonts w:ascii="Calibri" w:cs="Calibri" w:eastAsia="Calibri" w:hAnsi="Calibri"/>
                <w:b w:val="false"/>
                <w:bCs w:val="false"/>
                <w:color w:val="1C1F26"/>
                <w:sz w:val="18"/>
                <w:szCs w:val="18"/>
              </w:rPr>
              <w:t xml:space="preserve">Trace production origin and imported inputs; audit one consistent ledger.</w:t>
            </w:r>
          </w:p>
        </w:tc>
      </w:tr>
    </w:tbl>
    <w:p>
      <w:pPr>
        <w:spacing w:after="120" w:before="0"/>
      </w:pPr>
      <w:r>
        <w:rPr>
          <w:rFonts w:ascii="Calibri" w:cs="Calibri" w:eastAsia="Calibri" w:hAnsi="Calibri"/>
          <w:color w:val="1C1F26"/>
          <w:sz w:val="8"/>
          <w:szCs w:val="8"/>
        </w:rPr>
        <w:t xml:space="preserve"/>
      </w:r>
    </w:p>
    <w:p>
      <w:pPr>
        <w:keepNext/>
        <w:keepLines/>
        <w:spacing w:after="40" w:before="260"/>
      </w:pPr>
      <w:r>
        <w:rPr>
          <w:rFonts w:ascii="Calibri" w:cs="Calibri" w:eastAsia="Calibri" w:hAnsi="Calibri"/>
          <w:b/>
          <w:bCs/>
          <w:color w:val="8A6D1F"/>
          <w:spacing w:val="24"/>
          <w:sz w:val="15"/>
          <w:szCs w:val="15"/>
        </w:rPr>
        <w:t xml:space="preserve">APPENDIX · FOR QUESTIONS</w:t>
      </w:r>
    </w:p>
    <w:p>
      <w:pPr>
        <w:pStyle w:val="Heading2"/>
        <w:keepNext/>
        <w:keepLines/>
        <w:spacing w:after="140" w:before="40"/>
      </w:pPr>
      <w:r>
        <w:rPr>
          <w:rFonts w:ascii="Calibri" w:cs="Calibri" w:eastAsia="Calibri" w:hAnsi="Calibri"/>
          <w:b/>
          <w:bCs/>
          <w:color w:val="00471B"/>
          <w:sz w:val="27"/>
          <w:szCs w:val="27"/>
        </w:rPr>
        <w:t xml:space="preserve">A documented gap is a finding, not a weakness</w:t>
      </w:r>
    </w:p>
    <w:p>
      <w:pPr>
        <w:pStyle w:val="ListParagraph"/>
        <w:numPr>
          <w:ilvl w:val="0"/>
          <w:numId w:val="1"/>
        </w:numPr>
        <w:spacing w:after="70"/>
      </w:pPr>
      <w:r>
        <w:rPr>
          <w:rFonts w:ascii="Calibri" w:cs="Calibri" w:eastAsia="Calibri" w:hAnsi="Calibri"/>
          <w:color w:val="1C1F26"/>
          <w:sz w:val="21"/>
          <w:szCs w:val="21"/>
        </w:rPr>
        <w:t xml:space="preserve">Where we looked: LCGPA's training material and portal [R09]; the April 2026 consultation notice [R11] and DGA's analysis [S11]; Ministry of Sport notices and the main-contractor prequalification questionnaire [R02][R03]; GASTAT's supply-and-use and quarterly GDP tables [R04][R05]; Ministry of Finance budget reports [R07]; FIFA's bid evaluation [R01]; the Ministry of Finance construction tender template [R16].</w:t>
      </w:r>
    </w:p>
    <w:p>
      <w:pPr>
        <w:spacing w:after="70" w:before="0"/>
        <w:ind w:left="260"/>
      </w:pPr>
      <w:r>
        <w:rPr>
          <w:rFonts w:ascii="Calibri" w:cs="Calibri" w:eastAsia="Calibri" w:hAnsi="Calibri"/>
          <w:b/>
          <w:bCs/>
          <w:color w:val="1C1F26"/>
          <w:sz w:val="21"/>
          <w:szCs w:val="21"/>
        </w:rPr>
        <w:t xml:space="preserve">The wider localisation toolkit: </w:t>
      </w:r>
      <w:r>
        <w:rPr>
          <w:rFonts w:ascii="Calibri" w:cs="Calibri" w:eastAsia="Calibri" w:hAnsi="Calibri"/>
          <w:color w:val="1C1F26"/>
          <w:sz w:val="21"/>
          <w:szCs w:val="21"/>
        </w:rPr>
        <w:t xml:space="preserve">LCGPA mechanisms: the mandatory products list; the national product price preference; local content weighting inside financial evaluation; preference for local SMEs.</w:t>
      </w:r>
    </w:p>
    <w:p>
      <w:pPr>
        <w:spacing w:after="60" w:before="0"/>
      </w:pPr>
      <w:r>
        <w:rPr>
          <w:rFonts w:ascii="Calibri" w:cs="Calibri" w:eastAsia="Calibri" w:hAnsi="Calibri"/>
          <w:color w:val="1C1F26"/>
          <w:sz w:val="8"/>
          <w:szCs w:val="8"/>
        </w:rPr>
        <w:t xml:space="preserve"/>
      </w:r>
    </w:p>
    <w:p>
      <w:pPr>
        <w:spacing w:after="110" w:before="0"/>
      </w:pPr>
      <w:r>
        <w:rPr>
          <w:rFonts w:ascii="Calibri" w:cs="Calibri" w:eastAsia="Calibri" w:hAnsi="Calibri"/>
          <w:color w:val="1C1F26"/>
          <w:sz w:val="21"/>
          <w:szCs w:val="21"/>
        </w:rPr>
        <w:t xml:space="preserve">Construction has no single IKTVA — that is the finding. Several public owners each set their own local-content schedule, so a contractor may face both an owner requirement and an EP obligation.</w:t>
      </w:r>
    </w:p>
    <w:p>
      <w:pPr>
        <w:pStyle w:val="ListParagraph"/>
        <w:numPr>
          <w:ilvl w:val="0"/>
          <w:numId w:val="1"/>
        </w:numPr>
        <w:spacing w:after="70"/>
      </w:pPr>
      <w:r>
        <w:rPr>
          <w:rFonts w:ascii="Calibri" w:cs="Calibri" w:eastAsia="Calibri" w:hAnsi="Calibri"/>
          <w:color w:val="1C1F26"/>
          <w:sz w:val="21"/>
          <w:szCs w:val="21"/>
        </w:rPr>
        <w:t xml:space="preserve">Any statement that a stadium contract crosses the EPP threshold.</w:t>
      </w:r>
    </w:p>
    <w:p>
      <w:pPr>
        <w:pStyle w:val="ListParagraph"/>
        <w:numPr>
          <w:ilvl w:val="0"/>
          <w:numId w:val="1"/>
        </w:numPr>
        <w:spacing w:after="70"/>
      </w:pPr>
      <w:r>
        <w:rPr>
          <w:rFonts w:ascii="Calibri" w:cs="Calibri" w:eastAsia="Calibri" w:hAnsi="Calibri"/>
          <w:color w:val="1C1F26"/>
          <w:sz w:val="21"/>
          <w:szCs w:val="21"/>
        </w:rPr>
        <w:t xml:space="preserve">Contract-level imported value for any package.</w:t>
      </w:r>
    </w:p>
    <w:p>
      <w:pPr>
        <w:pStyle w:val="ListParagraph"/>
        <w:numPr>
          <w:ilvl w:val="0"/>
          <w:numId w:val="1"/>
        </w:numPr>
        <w:spacing w:after="70"/>
      </w:pPr>
      <w:r>
        <w:rPr>
          <w:rFonts w:ascii="Calibri" w:cs="Calibri" w:eastAsia="Calibri" w:hAnsi="Calibri"/>
          <w:color w:val="1C1F26"/>
          <w:sz w:val="21"/>
          <w:szCs w:val="21"/>
        </w:rPr>
        <w:t xml:space="preserve">A published EP agreement or credit factor for a sports venue.</w:t>
      </w:r>
    </w:p>
    <w:p>
      <w:pPr>
        <w:pStyle w:val="ListParagraph"/>
        <w:numPr>
          <w:ilvl w:val="0"/>
          <w:numId w:val="1"/>
        </w:numPr>
        <w:spacing w:after="70"/>
      </w:pPr>
      <w:r>
        <w:rPr>
          <w:rFonts w:ascii="Calibri" w:cs="Calibri" w:eastAsia="Calibri" w:hAnsi="Calibri"/>
          <w:color w:val="1C1F26"/>
          <w:sz w:val="21"/>
          <w:szCs w:val="21"/>
        </w:rPr>
        <w:t xml:space="preserve">A construction-specific credit-factor table from LCGPA.</w:t>
      </w:r>
    </w:p>
    <w:p>
      <w:pPr>
        <w:keepNext/>
        <w:keepLines/>
        <w:spacing w:after="40" w:before="260"/>
      </w:pPr>
      <w:r>
        <w:rPr>
          <w:rFonts w:ascii="Calibri" w:cs="Calibri" w:eastAsia="Calibri" w:hAnsi="Calibri"/>
          <w:b/>
          <w:bCs/>
          <w:color w:val="8A6D1F"/>
          <w:spacing w:val="24"/>
          <w:sz w:val="15"/>
          <w:szCs w:val="15"/>
        </w:rPr>
        <w:t xml:space="preserve">APPENDIX · FOR QUESTIONS</w:t>
      </w:r>
    </w:p>
    <w:p>
      <w:pPr>
        <w:pStyle w:val="Heading2"/>
        <w:keepNext/>
        <w:keepLines/>
        <w:spacing w:after="140" w:before="40"/>
      </w:pPr>
      <w:r>
        <w:rPr>
          <w:rFonts w:ascii="Calibri" w:cs="Calibri" w:eastAsia="Calibri" w:hAnsi="Calibri"/>
          <w:b/>
          <w:bCs/>
          <w:color w:val="00471B"/>
          <w:sz w:val="27"/>
          <w:szCs w:val="27"/>
        </w:rPr>
        <w:t xml:space="preserve">The full recommendation, and how we would measure it</w:t>
      </w:r>
    </w:p>
    <w:p>
      <w:pPr>
        <w:spacing w:after="60" w:before="100"/>
      </w:pPr>
      <w:r>
        <w:rPr>
          <w:rFonts w:ascii="Calibri" w:cs="Calibri" w:eastAsia="Calibri" w:hAnsi="Calibri"/>
          <w:b/>
          <w:bCs/>
          <w:color w:val="1C1F26"/>
          <w:sz w:val="21"/>
          <w:szCs w:val="21"/>
        </w:rPr>
        <w:t xml:space="preserve">To LCGPA</w:t>
      </w:r>
    </w:p>
    <w:p>
      <w:pPr>
        <w:pStyle w:val="ListParagraph"/>
        <w:numPr>
          <w:ilvl w:val="0"/>
          <w:numId w:val="1"/>
        </w:numPr>
        <w:spacing w:after="70"/>
      </w:pPr>
      <w:r>
        <w:rPr>
          <w:rFonts w:ascii="Calibri" w:cs="Calibri" w:eastAsia="Calibri" w:hAnsi="Calibri"/>
          <w:color w:val="1C1F26"/>
          <w:sz w:val="21"/>
          <w:szCs w:val="21"/>
        </w:rPr>
        <w:t xml:space="preserve">Publish clearer credit-factor criteria, so a bidder can price the obligation before signing.</w:t>
      </w:r>
    </w:p>
    <w:p>
      <w:pPr>
        <w:pStyle w:val="ListParagraph"/>
        <w:numPr>
          <w:ilvl w:val="0"/>
          <w:numId w:val="1"/>
        </w:numPr>
        <w:spacing w:after="70"/>
      </w:pPr>
      <w:r>
        <w:rPr>
          <w:rFonts w:ascii="Calibri" w:cs="Calibri" w:eastAsia="Calibri" w:hAnsi="Calibri"/>
          <w:color w:val="1C1F26"/>
          <w:sz w:val="21"/>
          <w:szCs w:val="21"/>
        </w:rPr>
        <w:t xml:space="preserve">Enable joint training programmes across qualifying contracts.</w:t>
      </w:r>
    </w:p>
    <w:p>
      <w:pPr>
        <w:pStyle w:val="ListParagraph"/>
        <w:numPr>
          <w:ilvl w:val="0"/>
          <w:numId w:val="1"/>
        </w:numPr>
        <w:spacing w:after="70"/>
      </w:pPr>
      <w:r>
        <w:rPr>
          <w:rFonts w:ascii="Calibri" w:cs="Calibri" w:eastAsia="Calibri" w:hAnsi="Calibri"/>
          <w:color w:val="1C1F26"/>
          <w:sz w:val="21"/>
          <w:szCs w:val="21"/>
        </w:rPr>
        <w:t xml:space="preserve">Measure competence and real Saudi production separately from credits.</w:t>
      </w:r>
    </w:p>
    <w:p>
      <w:pPr>
        <w:pStyle w:val="ListParagraph"/>
        <w:numPr>
          <w:ilvl w:val="0"/>
          <w:numId w:val="1"/>
        </w:numPr>
        <w:spacing w:after="70"/>
      </w:pPr>
      <w:r>
        <w:rPr>
          <w:rFonts w:ascii="Calibri" w:cs="Calibri" w:eastAsia="Calibri" w:hAnsi="Calibri"/>
          <w:color w:val="1C1F26"/>
          <w:sz w:val="21"/>
          <w:szCs w:val="21"/>
        </w:rPr>
        <w:t xml:space="preserve">Require independent quality and cost assessment before scale-up.</w:t>
      </w:r>
    </w:p>
    <w:p>
      <w:pPr>
        <w:spacing w:after="60" w:before="100"/>
      </w:pPr>
      <w:r>
        <w:rPr>
          <w:rFonts w:ascii="Calibri" w:cs="Calibri" w:eastAsia="Calibri" w:hAnsi="Calibri"/>
          <w:b/>
          <w:bCs/>
          <w:color w:val="1C1F26"/>
          <w:sz w:val="21"/>
          <w:szCs w:val="21"/>
        </w:rPr>
        <w:t xml:space="preserve">To a supplier or contractor</w:t>
      </w:r>
    </w:p>
    <w:p>
      <w:pPr>
        <w:pStyle w:val="ListParagraph"/>
        <w:numPr>
          <w:ilvl w:val="0"/>
          <w:numId w:val="1"/>
        </w:numPr>
        <w:spacing w:after="70"/>
      </w:pPr>
      <w:r>
        <w:rPr>
          <w:rFonts w:ascii="Calibri" w:cs="Calibri" w:eastAsia="Calibri" w:hAnsi="Calibri"/>
          <w:color w:val="1C1F26"/>
          <w:sz w:val="21"/>
          <w:szCs w:val="21"/>
        </w:rPr>
        <w:t xml:space="preserve">Confirm buyer, policy version, imported amount and responsible EP party first.</w:t>
      </w:r>
    </w:p>
    <w:p>
      <w:pPr>
        <w:pStyle w:val="ListParagraph"/>
        <w:numPr>
          <w:ilvl w:val="0"/>
          <w:numId w:val="1"/>
        </w:numPr>
        <w:spacing w:after="70"/>
      </w:pPr>
      <w:r>
        <w:rPr>
          <w:rFonts w:ascii="Calibri" w:cs="Calibri" w:eastAsia="Calibri" w:hAnsi="Calibri"/>
          <w:color w:val="1C1F26"/>
          <w:sz w:val="21"/>
          <w:szCs w:val="21"/>
        </w:rPr>
        <w:t xml:space="preserve">Record the baseline before training starts.</w:t>
      </w:r>
    </w:p>
    <w:p>
      <w:pPr>
        <w:pStyle w:val="ListParagraph"/>
        <w:numPr>
          <w:ilvl w:val="0"/>
          <w:numId w:val="1"/>
        </w:numPr>
        <w:spacing w:after="70"/>
      </w:pPr>
      <w:r>
        <w:rPr>
          <w:rFonts w:ascii="Calibri" w:cs="Calibri" w:eastAsia="Calibri" w:hAnsi="Calibri"/>
          <w:color w:val="1C1F26"/>
          <w:sz w:val="21"/>
          <w:szCs w:val="21"/>
        </w:rPr>
        <w:t xml:space="preserve">Agree activity, rights, partner, cost, factor and milestones with LCGPA.</w:t>
      </w:r>
    </w:p>
    <w:p>
      <w:pPr>
        <w:pStyle w:val="ListParagraph"/>
        <w:numPr>
          <w:ilvl w:val="0"/>
          <w:numId w:val="1"/>
        </w:numPr>
        <w:spacing w:after="70"/>
      </w:pPr>
      <w:r>
        <w:rPr>
          <w:rFonts w:ascii="Calibri" w:cs="Calibri" w:eastAsia="Calibri" w:hAnsi="Calibri"/>
          <w:color w:val="1C1F26"/>
          <w:sz w:val="21"/>
          <w:szCs w:val="21"/>
        </w:rPr>
        <w:t xml:space="preserve">Document real work and independent test results.</w:t>
      </w:r>
    </w:p>
    <w:p>
      <w:pPr>
        <w:pStyle w:val="ListParagraph"/>
        <w:numPr>
          <w:ilvl w:val="0"/>
          <w:numId w:val="1"/>
        </w:numPr>
        <w:spacing w:after="70"/>
      </w:pPr>
      <w:r>
        <w:rPr>
          <w:rFonts w:ascii="Calibri" w:cs="Calibri" w:eastAsia="Calibri" w:hAnsi="Calibri"/>
          <w:color w:val="1C1F26"/>
          <w:sz w:val="21"/>
          <w:szCs w:val="21"/>
        </w:rPr>
        <w:t xml:space="preserve">Review retention and value — change or stop what fails.</w:t>
      </w:r>
    </w:p>
    <w:p>
      <w:pPr>
        <w:spacing w:after="60" w:before="100"/>
      </w:pPr>
      <w:r>
        <w:rPr>
          <w:rFonts w:ascii="Calibri" w:cs="Calibri" w:eastAsia="Calibri" w:hAnsi="Calibri"/>
          <w:b/>
          <w:bCs/>
          <w:color w:val="1C1F26"/>
          <w:sz w:val="21"/>
          <w:szCs w:val="21"/>
        </w:rPr>
        <w:t xml:space="preserve">During construction</w:t>
      </w:r>
    </w:p>
    <w:p>
      <w:pPr>
        <w:pStyle w:val="ListParagraph"/>
        <w:numPr>
          <w:ilvl w:val="0"/>
          <w:numId w:val="1"/>
        </w:numPr>
        <w:spacing w:after="70"/>
      </w:pPr>
      <w:r>
        <w:rPr>
          <w:rFonts w:ascii="Calibri" w:cs="Calibri" w:eastAsia="Calibri" w:hAnsi="Calibri"/>
          <w:color w:val="1C1F26"/>
          <w:sz w:val="21"/>
          <w:szCs w:val="21"/>
        </w:rPr>
        <w:t xml:space="preserve">Test pass rates, fewer defects, safe on-time handover.</w:t>
      </w:r>
    </w:p>
    <w:p>
      <w:pPr>
        <w:spacing w:after="60" w:before="100"/>
      </w:pPr>
      <w:r>
        <w:rPr>
          <w:rFonts w:ascii="Calibri" w:cs="Calibri" w:eastAsia="Calibri" w:hAnsi="Calibri"/>
          <w:b/>
          <w:bCs/>
          <w:color w:val="1C1F26"/>
          <w:sz w:val="21"/>
          <w:szCs w:val="21"/>
        </w:rPr>
        <w:t xml:space="preserve">After handover</w:t>
      </w:r>
    </w:p>
    <w:p>
      <w:pPr>
        <w:pStyle w:val="ListParagraph"/>
        <w:numPr>
          <w:ilvl w:val="0"/>
          <w:numId w:val="1"/>
        </w:numPr>
        <w:spacing w:after="70"/>
      </w:pPr>
      <w:r>
        <w:rPr>
          <w:rFonts w:ascii="Calibri" w:cs="Calibri" w:eastAsia="Calibri" w:hAnsi="Calibri"/>
          <w:color w:val="1C1F26"/>
          <w:sz w:val="21"/>
          <w:szCs w:val="21"/>
        </w:rPr>
        <w:t xml:space="preserve">Employment retained at 12 and 24 months; graduates training others.</w:t>
      </w:r>
    </w:p>
    <w:p>
      <w:pPr>
        <w:spacing w:after="60" w:before="100"/>
      </w:pPr>
      <w:r>
        <w:rPr>
          <w:rFonts w:ascii="Calibri" w:cs="Calibri" w:eastAsia="Calibri" w:hAnsi="Calibri"/>
          <w:b/>
          <w:bCs/>
          <w:color w:val="1C1F26"/>
          <w:sz w:val="21"/>
          <w:szCs w:val="21"/>
        </w:rPr>
        <w:t xml:space="preserve">Across future projects</w:t>
      </w:r>
    </w:p>
    <w:p>
      <w:pPr>
        <w:pStyle w:val="ListParagraph"/>
        <w:numPr>
          <w:ilvl w:val="0"/>
          <w:numId w:val="1"/>
        </w:numPr>
        <w:spacing w:after="70"/>
      </w:pPr>
      <w:r>
        <w:rPr>
          <w:rFonts w:ascii="Calibri" w:cs="Calibri" w:eastAsia="Calibri" w:hAnsi="Calibri"/>
          <w:color w:val="1C1F26"/>
          <w:sz w:val="21"/>
          <w:szCs w:val="21"/>
        </w:rPr>
        <w:t xml:space="preserve">Production net of imported inputs; repeat orders.</w:t>
      </w:r>
    </w:p>
    <w:p>
      <w:pPr>
        <w:keepNext/>
        <w:keepLines/>
        <w:spacing w:after="40" w:before="260"/>
      </w:pPr>
      <w:r>
        <w:rPr>
          <w:rFonts w:ascii="Calibri" w:cs="Calibri" w:eastAsia="Calibri" w:hAnsi="Calibri"/>
          <w:b/>
          <w:bCs/>
          <w:color w:val="8A6D1F"/>
          <w:spacing w:val="24"/>
          <w:sz w:val="15"/>
          <w:szCs w:val="15"/>
        </w:rPr>
        <w:t xml:space="preserve">APPENDIX · FOR QUESTIONS</w:t>
      </w:r>
    </w:p>
    <w:p>
      <w:pPr>
        <w:pStyle w:val="Heading2"/>
        <w:keepNext/>
        <w:keepLines/>
        <w:spacing w:after="140" w:before="40"/>
      </w:pPr>
      <w:r>
        <w:rPr>
          <w:rFonts w:ascii="Calibri" w:cs="Calibri" w:eastAsia="Calibri" w:hAnsi="Calibri"/>
          <w:b/>
          <w:bCs/>
          <w:color w:val="00471B"/>
          <w:sz w:val="27"/>
          <w:szCs w:val="27"/>
        </w:rPr>
        <w:t xml:space="preserve">Where each question is answered</w:t>
      </w:r>
    </w:p>
    <w:p>
      <w:pPr>
        <w:spacing w:after="70" w:before="0"/>
        <w:ind w:left="260"/>
      </w:pPr>
      <w:r>
        <w:rPr>
          <w:rFonts w:ascii="Calibri" w:cs="Calibri" w:eastAsia="Calibri" w:hAnsi="Calibri"/>
          <w:b/>
          <w:bCs/>
          <w:color w:val="1C1F26"/>
          <w:sz w:val="21"/>
          <w:szCs w:val="21"/>
        </w:rPr>
        <w:t xml:space="preserve">1 · Sector: </w:t>
      </w:r>
      <w:r>
        <w:rPr>
          <w:rFonts w:ascii="Calibri" w:cs="Calibri" w:eastAsia="Calibri" w:hAnsi="Calibri"/>
          <w:color w:val="1C1F26"/>
          <w:sz w:val="21"/>
          <w:szCs w:val="21"/>
        </w:rPr>
        <w:t xml:space="preserve">Part 1. Construction and infrastructure, through one venue: King Salman Stadium, a planned 2034 World Cup site.</w:t>
      </w:r>
    </w:p>
    <w:p>
      <w:pPr>
        <w:spacing w:after="70" w:before="0"/>
        <w:ind w:left="260"/>
      </w:pPr>
      <w:r>
        <w:rPr>
          <w:rFonts w:ascii="Calibri" w:cs="Calibri" w:eastAsia="Calibri" w:hAnsi="Calibri"/>
          <w:b/>
          <w:bCs/>
          <w:color w:val="1C1F26"/>
          <w:sz w:val="21"/>
          <w:szCs w:val="21"/>
        </w:rPr>
        <w:t xml:space="preserve">2 · Economic concept: </w:t>
      </w:r>
      <w:r>
        <w:rPr>
          <w:rFonts w:ascii="Calibri" w:cs="Calibri" w:eastAsia="Calibri" w:hAnsi="Calibri"/>
          <w:color w:val="1C1F26"/>
          <w:sz w:val="21"/>
          <w:szCs w:val="21"/>
        </w:rPr>
        <w:t xml:space="preserve">Part 2. The spending multiplier and its leakages, applied with Saudi supply-and-use data and anchored to the IMF's Saudi estimate.</w:t>
      </w:r>
    </w:p>
    <w:p>
      <w:pPr>
        <w:spacing w:after="70" w:before="0"/>
        <w:ind w:left="260"/>
      </w:pPr>
      <w:r>
        <w:rPr>
          <w:rFonts w:ascii="Calibri" w:cs="Calibri" w:eastAsia="Calibri" w:hAnsi="Calibri"/>
          <w:b/>
          <w:bCs/>
          <w:color w:val="1C1F26"/>
          <w:sz w:val="21"/>
          <w:szCs w:val="21"/>
        </w:rPr>
        <w:t xml:space="preserve">3 · Current situation: </w:t>
      </w:r>
      <w:r>
        <w:rPr>
          <w:rFonts w:ascii="Calibri" w:cs="Calibri" w:eastAsia="Calibri" w:hAnsi="Calibri"/>
          <w:color w:val="1C1F26"/>
          <w:sz w:val="21"/>
          <w:szCs w:val="21"/>
        </w:rPr>
        <w:t xml:space="preserve">Part 3, opening. The policy is published; no stadium EP agreement is on the public record. Import and foreign-expertise dependence quantified from GASTAT.</w:t>
      </w:r>
    </w:p>
    <w:p>
      <w:pPr>
        <w:spacing w:after="70" w:before="0"/>
        <w:ind w:left="260"/>
      </w:pPr>
      <w:r>
        <w:rPr>
          <w:rFonts w:ascii="Calibri" w:cs="Calibri" w:eastAsia="Calibri" w:hAnsi="Calibri"/>
          <w:b/>
          <w:bCs/>
          <w:color w:val="1C1F26"/>
          <w:sz w:val="21"/>
          <w:szCs w:val="21"/>
        </w:rPr>
        <w:t xml:space="preserve">4 · Benchmark: </w:t>
      </w:r>
      <w:r>
        <w:rPr>
          <w:rFonts w:ascii="Calibri" w:cs="Calibri" w:eastAsia="Calibri" w:hAnsi="Calibri"/>
          <w:color w:val="1C1F26"/>
          <w:sz w:val="21"/>
          <w:szCs w:val="21"/>
        </w:rPr>
        <w:t xml:space="preserve">Part 3. London 2012 — what worked, what was under-enforced, and the contracting lesson for Saudi Arabia.</w:t>
      </w:r>
    </w:p>
    <w:p>
      <w:pPr>
        <w:spacing w:after="70" w:before="0"/>
        <w:ind w:left="260"/>
      </w:pPr>
      <w:r>
        <w:rPr>
          <w:rFonts w:ascii="Calibri" w:cs="Calibri" w:eastAsia="Calibri" w:hAnsi="Calibri"/>
          <w:b/>
          <w:bCs/>
          <w:color w:val="1C1F26"/>
          <w:sz w:val="21"/>
          <w:szCs w:val="21"/>
        </w:rPr>
        <w:t xml:space="preserve">5 · Challenges: </w:t>
      </w:r>
      <w:r>
        <w:rPr>
          <w:rFonts w:ascii="Calibri" w:cs="Calibri" w:eastAsia="Calibri" w:hAnsi="Calibri"/>
          <w:color w:val="1C1F26"/>
          <w:sz w:val="21"/>
          <w:szCs w:val="21"/>
        </w:rPr>
        <w:t xml:space="preserve">Part 3, closing, with all six risks and safeguards in this appendix. No procurement interviews were used; everything cited is public.</w:t>
      </w:r>
    </w:p>
    <w:p>
      <w:pPr>
        <w:spacing w:after="70" w:before="0"/>
        <w:ind w:left="260"/>
      </w:pPr>
      <w:r>
        <w:rPr>
          <w:rFonts w:ascii="Calibri" w:cs="Calibri" w:eastAsia="Calibri" w:hAnsi="Calibri"/>
          <w:b/>
          <w:bCs/>
          <w:color w:val="1C1F26"/>
          <w:sz w:val="21"/>
          <w:szCs w:val="21"/>
        </w:rPr>
        <w:t xml:space="preserve">6 · Innovative proposal: </w:t>
      </w:r>
      <w:r>
        <w:rPr>
          <w:rFonts w:ascii="Calibri" w:cs="Calibri" w:eastAsia="Calibri" w:hAnsi="Calibri"/>
          <w:color w:val="1C1F26"/>
          <w:sz w:val="21"/>
          <w:szCs w:val="21"/>
        </w:rPr>
        <w:t xml:space="preserve">Part 4. An academy where graduates return as instructors — mentoring that compounds instead of ending with the contract.</w:t>
      </w:r>
    </w:p>
    <w:p>
      <w:pPr>
        <w:spacing w:after="70" w:before="0"/>
        <w:ind w:left="260"/>
      </w:pPr>
      <w:r>
        <w:rPr>
          <w:rFonts w:ascii="Calibri" w:cs="Calibri" w:eastAsia="Calibri" w:hAnsi="Calibri"/>
          <w:b/>
          <w:bCs/>
          <w:color w:val="1C1F26"/>
          <w:sz w:val="21"/>
          <w:szCs w:val="21"/>
        </w:rPr>
        <w:t xml:space="preserve">7 · Expected benefits: </w:t>
      </w:r>
      <w:r>
        <w:rPr>
          <w:rFonts w:ascii="Calibri" w:cs="Calibri" w:eastAsia="Calibri" w:hAnsi="Calibri"/>
          <w:color w:val="1C1F26"/>
          <w:sz w:val="21"/>
          <w:szCs w:val="21"/>
        </w:rPr>
        <w:t xml:space="preserve">Part 4. Value during construction and after handover, with the measures we would be judged on. No exact monetary figure is claimed.</w:t>
      </w:r>
    </w:p>
    <w:p>
      <w:pPr>
        <w:spacing w:after="70" w:before="0"/>
        <w:ind w:left="260"/>
      </w:pPr>
      <w:r>
        <w:rPr>
          <w:rFonts w:ascii="Calibri" w:cs="Calibri" w:eastAsia="Calibri" w:hAnsi="Calibri"/>
          <w:b/>
          <w:bCs/>
          <w:color w:val="1C1F26"/>
          <w:sz w:val="21"/>
          <w:szCs w:val="21"/>
        </w:rPr>
        <w:t xml:space="preserve">Evidence rule: </w:t>
      </w:r>
      <w:r>
        <w:rPr>
          <w:rFonts w:ascii="Calibri" w:cs="Calibri" w:eastAsia="Calibri" w:hAnsi="Calibri"/>
          <w:color w:val="1C1F26"/>
          <w:sz w:val="21"/>
          <w:szCs w:val="21"/>
        </w:rPr>
        <w:t xml:space="preserve">Verified facts, verified calculations, illustrations and group proposals are labelled separately on every slide.</w:t>
      </w:r>
    </w:p>
    <w:p>
      <w:pPr>
        <w:spacing w:after="60" w:before="0"/>
      </w:pPr>
      <w:r>
        <w:rPr>
          <w:rFonts w:ascii="Calibri" w:cs="Calibri" w:eastAsia="Calibri" w:hAnsi="Calibri"/>
          <w:color w:val="1C1F26"/>
          <w:sz w:val="8"/>
          <w:szCs w:val="8"/>
        </w:rPr>
        <w:t xml:space="preserve"/>
      </w:r>
    </w:p>
    <w:p>
      <w:pPr>
        <w:keepNext/>
        <w:keepLines/>
        <w:spacing w:after="40" w:before="260"/>
      </w:pPr>
      <w:r>
        <w:rPr>
          <w:rFonts w:ascii="Calibri" w:cs="Calibri" w:eastAsia="Calibri" w:hAnsi="Calibri"/>
          <w:b/>
          <w:bCs/>
          <w:color w:val="8A6D1F"/>
          <w:spacing w:val="24"/>
          <w:sz w:val="15"/>
          <w:szCs w:val="15"/>
        </w:rPr>
        <w:t xml:space="preserve">APPENDIX · SOURCES RE-VERIFIED TO 22 OCTOBER 2026</w:t>
      </w:r>
    </w:p>
    <w:p>
      <w:pPr>
        <w:pStyle w:val="Heading2"/>
        <w:keepNext/>
        <w:keepLines/>
        <w:spacing w:after="140" w:before="40"/>
      </w:pPr>
      <w:r>
        <w:rPr>
          <w:rFonts w:ascii="Calibri" w:cs="Calibri" w:eastAsia="Calibri" w:hAnsi="Calibri"/>
          <w:b/>
          <w:bCs/>
          <w:color w:val="00471B"/>
          <w:sz w:val="27"/>
          <w:szCs w:val="27"/>
        </w:rPr>
        <w:t xml:space="preserve">Primary sources</w:t>
      </w:r>
    </w:p>
    <w:p>
      <w:pPr>
        <w:spacing w:after="60" w:before="0"/>
      </w:pPr>
      <w:r>
        <w:rPr>
          <w:rFonts w:ascii="Calibri" w:cs="Calibri" w:eastAsia="Calibri" w:hAnsi="Calibri"/>
          <w:color w:val="1C1F26"/>
          <w:sz w:val="8"/>
          <w:szCs w:val="8"/>
        </w:rPr>
        <w:t xml:space="preserve"/>
      </w:r>
    </w:p>
    <w:p>
      <w:pPr>
        <w:spacing w:after="20" w:before="0"/>
        <w:ind w:left="300" w:hanging="300"/>
      </w:pPr>
      <w:r>
        <w:rPr>
          <w:rFonts w:ascii="Calibri" w:cs="Calibri" w:eastAsia="Calibri" w:hAnsi="Calibri"/>
          <w:b/>
          <w:bCs/>
          <w:color w:val="8A6D1F"/>
          <w:sz w:val="18"/>
          <w:szCs w:val="18"/>
        </w:rPr>
        <w:t xml:space="preserve">[R01]  </w:t>
      </w:r>
      <w:r>
        <w:rPr>
          <w:rFonts w:ascii="Calibri" w:cs="Calibri" w:eastAsia="Calibri" w:hAnsi="Calibri"/>
          <w:b/>
          <w:bCs/>
          <w:color w:val="1C1F26"/>
          <w:sz w:val="18"/>
          <w:szCs w:val="18"/>
        </w:rPr>
        <w:t xml:space="preserve">FIFA, 29 November 2024 — </w:t>
      </w:r>
      <w:r>
        <w:rPr>
          <w:rFonts w:ascii="Calibri" w:cs="Calibri" w:eastAsia="Calibri" w:hAnsi="Calibri"/>
          <w:color w:val="1C1F26"/>
          <w:sz w:val="18"/>
          <w:szCs w:val="18"/>
        </w:rPr>
        <w:t xml:space="preserve">Bid Evaluation Report — p. 46: “15 stadiums across five proposed host cities”; p. 48 venue table and p. 50: “planned gross capacity of 92,760”, construction to commence 2025 and “be completed by 2030”. Describes the 2024 evaluated bid, not a 2026 delivery census.</w:t>
      </w:r>
    </w:p>
    <w:p>
      <w:pPr>
        <w:spacing w:after="90" w:before="0"/>
        <w:ind w:left="300"/>
      </w:pPr>
      <w:r>
        <w:rPr>
          <w:rFonts w:ascii="Calibri" w:cs="Calibri" w:eastAsia="Calibri" w:hAnsi="Calibri"/>
          <w:color w:val="5B6472"/>
          <w:sz w:val="14"/>
          <w:szCs w:val="14"/>
        </w:rPr>
        <w:t xml:space="preserve">https://digitalhub.fifa.com/m/51d8a13714827f1d/original/FIFA-World-Cup-2034-Bid-Evaluation-Report.pdf</w:t>
      </w:r>
    </w:p>
    <w:p>
      <w:pPr>
        <w:spacing w:after="20" w:before="0"/>
        <w:ind w:left="300" w:hanging="300"/>
      </w:pPr>
      <w:r>
        <w:rPr>
          <w:rFonts w:ascii="Calibri" w:cs="Calibri" w:eastAsia="Calibri" w:hAnsi="Calibri"/>
          <w:b/>
          <w:bCs/>
          <w:color w:val="8A6D1F"/>
          <w:sz w:val="18"/>
          <w:szCs w:val="18"/>
        </w:rPr>
        <w:t xml:space="preserve">[R02]  </w:t>
      </w:r>
      <w:r>
        <w:rPr>
          <w:rFonts w:ascii="Calibri" w:cs="Calibri" w:eastAsia="Calibri" w:hAnsi="Calibri"/>
          <w:b/>
          <w:bCs/>
          <w:color w:val="1C1F26"/>
          <w:sz w:val="18"/>
          <w:szCs w:val="18"/>
        </w:rPr>
        <w:t xml:space="preserve">Ministry of Sport, 25 November 2025 — </w:t>
      </w:r>
      <w:r>
        <w:rPr>
          <w:rFonts w:ascii="Calibri" w:cs="Calibri" w:eastAsia="Calibri" w:hAnsi="Calibri"/>
          <w:color w:val="1C1F26"/>
          <w:sz w:val="18"/>
          <w:szCs w:val="18"/>
        </w:rPr>
        <w:t xml:space="preserve">Main-works prequalification invitation, King Salman Stadium; stated submission deadline 16 February 2026. A notice, not an award.</w:t>
      </w:r>
    </w:p>
    <w:p>
      <w:pPr>
        <w:spacing w:after="90" w:before="0"/>
        <w:ind w:left="300"/>
      </w:pPr>
      <w:r>
        <w:rPr>
          <w:rFonts w:ascii="Calibri" w:cs="Calibri" w:eastAsia="Calibri" w:hAnsi="Calibri"/>
          <w:color w:val="5B6472"/>
          <w:sz w:val="14"/>
          <w:szCs w:val="14"/>
        </w:rPr>
        <w:t xml:space="preserve">https://www.mos.gov.sa/en/media/news/2025/11/25/king-salman-stadium</w:t>
      </w:r>
    </w:p>
    <w:p>
      <w:pPr>
        <w:spacing w:after="20" w:before="0"/>
        <w:ind w:left="300" w:hanging="300"/>
      </w:pPr>
      <w:r>
        <w:rPr>
          <w:rFonts w:ascii="Calibri" w:cs="Calibri" w:eastAsia="Calibri" w:hAnsi="Calibri"/>
          <w:b/>
          <w:bCs/>
          <w:color w:val="8A6D1F"/>
          <w:sz w:val="18"/>
          <w:szCs w:val="18"/>
        </w:rPr>
        <w:t xml:space="preserve">[R03]  </w:t>
      </w:r>
      <w:r>
        <w:rPr>
          <w:rFonts w:ascii="Calibri" w:cs="Calibri" w:eastAsia="Calibri" w:hAnsi="Calibri"/>
          <w:b/>
          <w:bCs/>
          <w:color w:val="1C1F26"/>
          <w:sz w:val="18"/>
          <w:szCs w:val="18"/>
        </w:rPr>
        <w:t xml:space="preserve">Ministry of Sport, 7 April 2026 — </w:t>
      </w:r>
      <w:r>
        <w:rPr>
          <w:rFonts w:ascii="Calibri" w:cs="Calibri" w:eastAsia="Calibri" w:hAnsi="Calibri"/>
          <w:color w:val="1C1F26"/>
          <w:sz w:val="18"/>
          <w:szCs w:val="18"/>
        </w:rPr>
        <w:t xml:space="preserve">Preliminary-works prequalification invitation; stated deadline 28 April 2026.</w:t>
      </w:r>
    </w:p>
    <w:p>
      <w:pPr>
        <w:spacing w:after="90" w:before="0"/>
        <w:ind w:left="300"/>
      </w:pPr>
      <w:r>
        <w:rPr>
          <w:rFonts w:ascii="Calibri" w:cs="Calibri" w:eastAsia="Calibri" w:hAnsi="Calibri"/>
          <w:color w:val="5B6472"/>
          <w:sz w:val="14"/>
          <w:szCs w:val="14"/>
        </w:rPr>
        <w:t xml:space="preserve">https://www.mos.gov.sa/en/media/news/2026/04/07/king-salman-stadium</w:t>
      </w:r>
    </w:p>
    <w:p>
      <w:pPr>
        <w:spacing w:after="20" w:before="0"/>
        <w:ind w:left="300" w:hanging="300"/>
      </w:pPr>
      <w:r>
        <w:rPr>
          <w:rFonts w:ascii="Calibri" w:cs="Calibri" w:eastAsia="Calibri" w:hAnsi="Calibri"/>
          <w:b/>
          <w:bCs/>
          <w:color w:val="8A6D1F"/>
          <w:sz w:val="18"/>
          <w:szCs w:val="18"/>
        </w:rPr>
        <w:t xml:space="preserve">[R04]  </w:t>
      </w:r>
      <w:r>
        <w:rPr>
          <w:rFonts w:ascii="Calibri" w:cs="Calibri" w:eastAsia="Calibri" w:hAnsi="Calibri"/>
          <w:b/>
          <w:bCs/>
          <w:color w:val="1C1F26"/>
          <w:sz w:val="18"/>
          <w:szCs w:val="18"/>
        </w:rPr>
        <w:t xml:space="preserve">GASTAT — </w:t>
      </w:r>
      <w:r>
        <w:rPr>
          <w:rFonts w:ascii="Calibri" w:cs="Calibri" w:eastAsia="Calibri" w:hAnsi="Calibri"/>
          <w:color w:val="1C1F26"/>
          <w:sz w:val="18"/>
          <w:szCs w:val="18"/>
        </w:rPr>
        <w:t xml:space="preserve">Quarterly time series of GDP, Q2 2026, provisional — sheet 1.3, cells BQ14/BQ24: 94,524 / 1,263,831 = 7.48%, shown as 7.5%. Current prices.</w:t>
      </w:r>
    </w:p>
    <w:p>
      <w:pPr>
        <w:spacing w:after="90" w:before="0"/>
        <w:ind w:left="300"/>
      </w:pPr>
      <w:r>
        <w:rPr>
          <w:rFonts w:ascii="Calibri" w:cs="Calibri" w:eastAsia="Calibri" w:hAnsi="Calibri"/>
          <w:color w:val="5B6472"/>
          <w:sz w:val="14"/>
          <w:szCs w:val="14"/>
        </w:rPr>
        <w:t xml:space="preserve">https://www.stats.gov.sa/documents/20117/2435267/GDP_Q2_2026_EN+%282%29.xlsx/c83d0a5f-e2e1-2cac-a477-f1ad8529f202?t=1788844506153</w:t>
      </w:r>
    </w:p>
    <w:p>
      <w:pPr>
        <w:spacing w:after="20" w:before="0"/>
        <w:ind w:left="300" w:hanging="300"/>
      </w:pPr>
      <w:r>
        <w:rPr>
          <w:rFonts w:ascii="Calibri" w:cs="Calibri" w:eastAsia="Calibri" w:hAnsi="Calibri"/>
          <w:b/>
          <w:bCs/>
          <w:color w:val="8A6D1F"/>
          <w:sz w:val="18"/>
          <w:szCs w:val="18"/>
        </w:rPr>
        <w:t xml:space="preserve">[R05]  </w:t>
      </w:r>
      <w:r>
        <w:rPr>
          <w:rFonts w:ascii="Calibri" w:cs="Calibri" w:eastAsia="Calibri" w:hAnsi="Calibri"/>
          <w:b/>
          <w:bCs/>
          <w:color w:val="1C1F26"/>
          <w:sz w:val="18"/>
          <w:szCs w:val="18"/>
        </w:rPr>
        <w:t xml:space="preserve">GASTAT — </w:t>
      </w:r>
      <w:r>
        <w:rPr>
          <w:rFonts w:ascii="Calibri" w:cs="Calibri" w:eastAsia="Calibri" w:hAnsi="Calibri"/>
          <w:color w:val="1C1F26"/>
          <w:sz w:val="18"/>
          <w:szCs w:val="18"/>
        </w:rPr>
        <w:t xml:space="preserve">Supply and Use &amp; Input–Output tables by sections, 2023 — sheet 6.2 cells H89/H90/H97 and H45–H75; sheet 6.1 cells AA/AB, same rows.</w:t>
      </w:r>
    </w:p>
    <w:p>
      <w:pPr>
        <w:spacing w:after="90" w:before="0"/>
        <w:ind w:left="300"/>
      </w:pPr>
      <w:r>
        <w:rPr>
          <w:rFonts w:ascii="Calibri" w:cs="Calibri" w:eastAsia="Calibri" w:hAnsi="Calibri"/>
          <w:color w:val="5B6472"/>
          <w:sz w:val="14"/>
          <w:szCs w:val="14"/>
        </w:rPr>
        <w:t xml:space="preserve">https://www.stats.gov.sa/documents/20117/2435267/SUT_and_IO_By_Sections_-En.xlsx_fixed_3036245/91b73a34-05e8-0e49-46e8-eda783beae16?t=1746090703771</w:t>
      </w:r>
    </w:p>
    <w:p>
      <w:pPr>
        <w:spacing w:after="20" w:before="0"/>
        <w:ind w:left="300" w:hanging="300"/>
      </w:pPr>
      <w:r>
        <w:rPr>
          <w:rFonts w:ascii="Calibri" w:cs="Calibri" w:eastAsia="Calibri" w:hAnsi="Calibri"/>
          <w:b/>
          <w:bCs/>
          <w:color w:val="8A6D1F"/>
          <w:sz w:val="18"/>
          <w:szCs w:val="18"/>
        </w:rPr>
        <w:t xml:space="preserve">[R06]  </w:t>
      </w:r>
      <w:r>
        <w:rPr>
          <w:rFonts w:ascii="Calibri" w:cs="Calibri" w:eastAsia="Calibri" w:hAnsi="Calibri"/>
          <w:b/>
          <w:bCs/>
          <w:color w:val="1C1F26"/>
          <w:sz w:val="18"/>
          <w:szCs w:val="18"/>
        </w:rPr>
        <w:t xml:space="preserve">GASTAT, updated 29 April 2025 — </w:t>
      </w:r>
      <w:r>
        <w:rPr>
          <w:rFonts w:ascii="Calibri" w:cs="Calibri" w:eastAsia="Calibri" w:hAnsi="Calibri"/>
          <w:color w:val="1C1F26"/>
          <w:sz w:val="18"/>
          <w:szCs w:val="18"/>
        </w:rPr>
        <w:t xml:space="preserve">Methodology and quality report for the supply-and-use and input–output tables — concepts, valuation, units, time coverage 2018–2023.</w:t>
      </w:r>
    </w:p>
    <w:p>
      <w:pPr>
        <w:spacing w:after="90" w:before="0"/>
        <w:ind w:left="300"/>
      </w:pPr>
      <w:r>
        <w:rPr>
          <w:rFonts w:ascii="Calibri" w:cs="Calibri" w:eastAsia="Calibri" w:hAnsi="Calibri"/>
          <w:color w:val="5B6472"/>
          <w:sz w:val="14"/>
          <w:szCs w:val="14"/>
        </w:rPr>
        <w:t xml:space="preserve">https://www.stats.gov.sa/en/w/methodology-and-quality-report-for-supply-and-use-tables-and-the-input-output-table</w:t>
      </w:r>
    </w:p>
    <w:p>
      <w:pPr>
        <w:spacing w:after="20" w:before="0"/>
        <w:ind w:left="300" w:hanging="300"/>
      </w:pPr>
      <w:r>
        <w:rPr>
          <w:rFonts w:ascii="Calibri" w:cs="Calibri" w:eastAsia="Calibri" w:hAnsi="Calibri"/>
          <w:b/>
          <w:bCs/>
          <w:color w:val="8A6D1F"/>
          <w:sz w:val="18"/>
          <w:szCs w:val="18"/>
        </w:rPr>
        <w:t xml:space="preserve">[R07]  </w:t>
      </w:r>
      <w:r>
        <w:rPr>
          <w:rFonts w:ascii="Calibri" w:cs="Calibri" w:eastAsia="Calibri" w:hAnsi="Calibri"/>
          <w:b/>
          <w:bCs/>
          <w:color w:val="1C1F26"/>
          <w:sz w:val="18"/>
          <w:szCs w:val="18"/>
        </w:rPr>
        <w:t xml:space="preserve">Ministry of Finance — </w:t>
      </w:r>
      <w:r>
        <w:rPr>
          <w:rFonts w:ascii="Calibri" w:cs="Calibri" w:eastAsia="Calibri" w:hAnsi="Calibri"/>
          <w:color w:val="1C1F26"/>
          <w:sz w:val="18"/>
          <w:szCs w:val="18"/>
        </w:rPr>
        <w:t xml:space="preserve">Quarterly budget performance report, Q2 FY2026 — PDF p. 10, non-financial assets (capex) row: Q2 SAR 46.226bn, H1 SAR 89.660bn, cash basis. Government-wide, not construction-only.</w:t>
      </w:r>
    </w:p>
    <w:p>
      <w:pPr>
        <w:spacing w:after="90" w:before="0"/>
        <w:ind w:left="300"/>
      </w:pPr>
      <w:r>
        <w:rPr>
          <w:rFonts w:ascii="Calibri" w:cs="Calibri" w:eastAsia="Calibri" w:hAnsi="Calibri"/>
          <w:color w:val="5B6472"/>
          <w:sz w:val="14"/>
          <w:szCs w:val="14"/>
        </w:rPr>
        <w:t xml:space="preserve">https://www.mof.gov.sa/en/financialreport/2026/Documents/Q2%20Eng%202026%20V10.pdf</w:t>
      </w:r>
    </w:p>
    <w:p>
      <w:pPr>
        <w:spacing w:after="20" w:before="0"/>
        <w:ind w:left="300" w:hanging="300"/>
      </w:pPr>
      <w:r>
        <w:rPr>
          <w:rFonts w:ascii="Calibri" w:cs="Calibri" w:eastAsia="Calibri" w:hAnsi="Calibri"/>
          <w:b/>
          <w:bCs/>
          <w:color w:val="8A6D1F"/>
          <w:sz w:val="18"/>
          <w:szCs w:val="18"/>
        </w:rPr>
        <w:t xml:space="preserve">[R08]  </w:t>
      </w:r>
      <w:r>
        <w:rPr>
          <w:rFonts w:ascii="Calibri" w:cs="Calibri" w:eastAsia="Calibri" w:hAnsi="Calibri"/>
          <w:b/>
          <w:bCs/>
          <w:color w:val="1C1F26"/>
          <w:sz w:val="18"/>
          <w:szCs w:val="18"/>
        </w:rPr>
        <w:t xml:space="preserve">IMF, September 2024 — </w:t>
      </w:r>
      <w:r>
        <w:rPr>
          <w:rFonts w:ascii="Calibri" w:cs="Calibri" w:eastAsia="Calibri" w:hAnsi="Calibri"/>
          <w:color w:val="1C1F26"/>
          <w:sz w:val="18"/>
          <w:szCs w:val="18"/>
        </w:rPr>
        <w:t xml:space="preserve">Saudi Arabia 2024 Article IV, Country Report 24/280 — Box 1, printed p. 10 / PDF p. 15: the average of capital-spending multipliers on non-oil growth is 0.2 in the short run and 0.6 at peak and in the long run. A literature average, not a forecast.</w:t>
      </w:r>
    </w:p>
    <w:p>
      <w:pPr>
        <w:spacing w:after="90" w:before="0"/>
        <w:ind w:left="300"/>
      </w:pPr>
      <w:r>
        <w:rPr>
          <w:rFonts w:ascii="Calibri" w:cs="Calibri" w:eastAsia="Calibri" w:hAnsi="Calibri"/>
          <w:color w:val="5B6472"/>
          <w:sz w:val="14"/>
          <w:szCs w:val="14"/>
        </w:rPr>
        <w:t xml:space="preserve">https://www.imf.org/en/Publications/CR/Issues/2024/09/03/Saudi-Arabia-2024-Article-IV-Consultation-Press-Release-Staff-Report-and-Informational-Annex-554530</w:t>
      </w:r>
    </w:p>
    <w:p>
      <w:pPr>
        <w:spacing w:after="20" w:before="0"/>
        <w:ind w:left="300" w:hanging="300"/>
      </w:pPr>
      <w:r>
        <w:rPr>
          <w:rFonts w:ascii="Calibri" w:cs="Calibri" w:eastAsia="Calibri" w:hAnsi="Calibri"/>
          <w:b/>
          <w:bCs/>
          <w:color w:val="8A6D1F"/>
          <w:sz w:val="18"/>
          <w:szCs w:val="18"/>
        </w:rPr>
        <w:t xml:space="preserve">[R09]  </w:t>
      </w:r>
      <w:r>
        <w:rPr>
          <w:rFonts w:ascii="Calibri" w:cs="Calibri" w:eastAsia="Calibri" w:hAnsi="Calibri"/>
          <w:b/>
          <w:bCs/>
          <w:color w:val="1C1F26"/>
          <w:sz w:val="18"/>
          <w:szCs w:val="18"/>
        </w:rPr>
        <w:t xml:space="preserve">LCGPA — </w:t>
      </w:r>
      <w:r>
        <w:rPr>
          <w:rFonts w:ascii="Calibri" w:cs="Calibri" w:eastAsia="Calibri" w:hAnsi="Calibri"/>
          <w:color w:val="1C1F26"/>
          <w:sz w:val="18"/>
          <w:szCs w:val="18"/>
        </w:rPr>
        <w:t xml:space="preserve">Economic Participation Policy, Unit 7 training document — p. 4 and p. 5: the policy applies where imported goods and services reach SAR 100 million, giving obligations of “35% of the imported goods and services’ value”; p. 11 principles; p. 12 scope; pp. 14–15 categories and factors; p. 21 credits; pp. 33–35 evidence and approval. Published training baseline; legal commencement not established.</w:t>
      </w:r>
    </w:p>
    <w:p>
      <w:pPr>
        <w:spacing w:after="90" w:before="0"/>
        <w:ind w:left="300"/>
      </w:pPr>
      <w:r>
        <w:rPr>
          <w:rFonts w:ascii="Calibri" w:cs="Calibri" w:eastAsia="Calibri" w:hAnsi="Calibri"/>
          <w:color w:val="5B6472"/>
          <w:sz w:val="14"/>
          <w:szCs w:val="14"/>
        </w:rPr>
        <w:t xml:space="preserve">https://lcgpa.futurex.sa/pluginfile.php/2095/mod_folder/content/0/pdf%20E/Economic%20Participation%20Policy%20%281%29.pdf?forcedownload=1</w:t>
      </w:r>
    </w:p>
    <w:p>
      <w:pPr>
        <w:spacing w:after="20" w:before="0"/>
        <w:ind w:left="300" w:hanging="300"/>
      </w:pPr>
      <w:r>
        <w:rPr>
          <w:rFonts w:ascii="Calibri" w:cs="Calibri" w:eastAsia="Calibri" w:hAnsi="Calibri"/>
          <w:b/>
          <w:bCs/>
          <w:color w:val="8A6D1F"/>
          <w:sz w:val="18"/>
          <w:szCs w:val="18"/>
        </w:rPr>
        <w:t xml:space="preserve">[R10]  </w:t>
      </w:r>
      <w:r>
        <w:rPr>
          <w:rFonts w:ascii="Calibri" w:cs="Calibri" w:eastAsia="Calibri" w:hAnsi="Calibri"/>
          <w:b/>
          <w:bCs/>
          <w:color w:val="1C1F26"/>
          <w:sz w:val="18"/>
          <w:szCs w:val="18"/>
        </w:rPr>
        <w:t xml:space="preserve">Ministry of Finance, via Umm Al-Qura, 19 January 2024 — </w:t>
      </w:r>
      <w:r>
        <w:rPr>
          <w:rFonts w:ascii="Calibri" w:cs="Calibri" w:eastAsia="Calibri" w:hAnsi="Calibri"/>
          <w:color w:val="1C1F26"/>
          <w:sz w:val="18"/>
          <w:szCs w:val="18"/>
        </w:rPr>
        <w:t xml:space="preserve">Model terms and specifications for performance-based operation and maintenance — section 9, clauses 75–77 (local-content measures) and section 10. Distinct from EP credits.</w:t>
      </w:r>
    </w:p>
    <w:p>
      <w:pPr>
        <w:spacing w:after="90" w:before="0"/>
        <w:ind w:left="300"/>
      </w:pPr>
      <w:r>
        <w:rPr>
          <w:rFonts w:ascii="Calibri" w:cs="Calibri" w:eastAsia="Calibri" w:hAnsi="Calibri"/>
          <w:color w:val="5B6472"/>
          <w:sz w:val="14"/>
          <w:szCs w:val="14"/>
        </w:rPr>
        <w:t xml:space="preserve">https://www.uqn.gov.sa/details?p=24374</w:t>
      </w:r>
    </w:p>
    <w:p>
      <w:pPr>
        <w:keepNext/>
        <w:keepLines/>
        <w:spacing w:after="40" w:before="260"/>
      </w:pPr>
      <w:r>
        <w:rPr>
          <w:rFonts w:ascii="Calibri" w:cs="Calibri" w:eastAsia="Calibri" w:hAnsi="Calibri"/>
          <w:b/>
          <w:bCs/>
          <w:color w:val="8A6D1F"/>
          <w:spacing w:val="24"/>
          <w:sz w:val="15"/>
          <w:szCs w:val="15"/>
        </w:rPr>
        <w:t xml:space="preserve">APPENDIX · SOURCES RE-VERIFIED TO 22 OCTOBER 2026</w:t>
      </w:r>
    </w:p>
    <w:p>
      <w:pPr>
        <w:pStyle w:val="Heading2"/>
        <w:keepNext/>
        <w:keepLines/>
        <w:spacing w:after="140" w:before="40"/>
      </w:pPr>
      <w:r>
        <w:rPr>
          <w:rFonts w:ascii="Calibri" w:cs="Calibri" w:eastAsia="Calibri" w:hAnsi="Calibri"/>
          <w:b/>
          <w:bCs/>
          <w:color w:val="00471B"/>
          <w:sz w:val="27"/>
          <w:szCs w:val="27"/>
        </w:rPr>
        <w:t xml:space="preserve">Further sources and declarations</w:t>
      </w:r>
    </w:p>
    <w:p>
      <w:pPr>
        <w:spacing w:after="60" w:before="0"/>
      </w:pPr>
      <w:r>
        <w:rPr>
          <w:rFonts w:ascii="Calibri" w:cs="Calibri" w:eastAsia="Calibri" w:hAnsi="Calibri"/>
          <w:color w:val="1C1F26"/>
          <w:sz w:val="8"/>
          <w:szCs w:val="8"/>
        </w:rPr>
        <w:t xml:space="preserve"/>
      </w:r>
    </w:p>
    <w:p>
      <w:pPr>
        <w:spacing w:after="20" w:before="0"/>
        <w:ind w:left="300" w:hanging="300"/>
      </w:pPr>
      <w:r>
        <w:rPr>
          <w:rFonts w:ascii="Calibri" w:cs="Calibri" w:eastAsia="Calibri" w:hAnsi="Calibri"/>
          <w:b/>
          <w:bCs/>
          <w:color w:val="8A6D1F"/>
          <w:sz w:val="18"/>
          <w:szCs w:val="18"/>
        </w:rPr>
        <w:t xml:space="preserve">[R11]  </w:t>
      </w:r>
      <w:r>
        <w:rPr>
          <w:rFonts w:ascii="Calibri" w:cs="Calibri" w:eastAsia="Calibri" w:hAnsi="Calibri"/>
          <w:b/>
          <w:bCs/>
          <w:color w:val="1C1F26"/>
          <w:sz w:val="18"/>
          <w:szCs w:val="18"/>
        </w:rPr>
        <w:t xml:space="preserve">Umm Al-Qura / National Competitiveness Center, 14 April 2026 — </w:t>
      </w:r>
      <w:r>
        <w:rPr>
          <w:rFonts w:ascii="Calibri" w:cs="Calibri" w:eastAsia="Calibri" w:hAnsi="Calibri"/>
          <w:color w:val="1C1F26"/>
          <w:sz w:val="18"/>
          <w:szCs w:val="18"/>
        </w:rPr>
        <w:t xml:space="preserve">Istitlaa consultation announcement, second paragraph — the updated Economic Participation Policy among sixteen projects. The notice announced a 22 April 2026 closing date; no closure or adoption record was retrieved.</w:t>
      </w:r>
    </w:p>
    <w:p>
      <w:pPr>
        <w:spacing w:after="90" w:before="0"/>
        <w:ind w:left="300"/>
      </w:pPr>
      <w:r>
        <w:rPr>
          <w:rFonts w:ascii="Calibri" w:cs="Calibri" w:eastAsia="Calibri" w:hAnsi="Calibri"/>
          <w:color w:val="5B6472"/>
          <w:sz w:val="14"/>
          <w:szCs w:val="14"/>
        </w:rPr>
        <w:t xml:space="preserve">https://www.uqn.gov.sa/news/reports/4000737</w:t>
      </w:r>
    </w:p>
    <w:p>
      <w:pPr>
        <w:spacing w:after="20" w:before="0"/>
        <w:ind w:left="300" w:hanging="300"/>
      </w:pPr>
      <w:r>
        <w:rPr>
          <w:rFonts w:ascii="Calibri" w:cs="Calibri" w:eastAsia="Calibri" w:hAnsi="Calibri"/>
          <w:b/>
          <w:bCs/>
          <w:color w:val="8A6D1F"/>
          <w:sz w:val="18"/>
          <w:szCs w:val="18"/>
        </w:rPr>
        <w:t xml:space="preserve">[R12]  </w:t>
      </w:r>
      <w:r>
        <w:rPr>
          <w:rFonts w:ascii="Calibri" w:cs="Calibri" w:eastAsia="Calibri" w:hAnsi="Calibri"/>
          <w:b/>
          <w:bCs/>
          <w:color w:val="1C1F26"/>
          <w:sz w:val="18"/>
          <w:szCs w:val="18"/>
        </w:rPr>
        <w:t xml:space="preserve">UK Department for Culture, Media and Sport, 20 May 2012 — </w:t>
      </w:r>
      <w:r>
        <w:rPr>
          <w:rFonts w:ascii="Calibri" w:cs="Calibri" w:eastAsia="Calibri" w:hAnsi="Calibri"/>
          <w:color w:val="1C1F26"/>
          <w:sz w:val="18"/>
          <w:szCs w:val="18"/>
        </w:rPr>
        <w:t xml:space="preserve">2012 Games construction workforce update — more than 3,000 training places for work on the Olympic Park and other construction sites; 408 apprentices enabled to work on the project.</w:t>
      </w:r>
    </w:p>
    <w:p>
      <w:pPr>
        <w:spacing w:after="90" w:before="0"/>
        <w:ind w:left="300"/>
      </w:pPr>
      <w:r>
        <w:rPr>
          <w:rFonts w:ascii="Calibri" w:cs="Calibri" w:eastAsia="Calibri" w:hAnsi="Calibri"/>
          <w:color w:val="5B6472"/>
          <w:sz w:val="14"/>
          <w:szCs w:val="14"/>
        </w:rPr>
        <w:t xml:space="preserve">https://www.gov.uk/government/news/2012-games-construction-on-track-thanks-to-12-000-strong-workforce</w:t>
      </w:r>
    </w:p>
    <w:p>
      <w:pPr>
        <w:spacing w:after="20" w:before="0"/>
        <w:ind w:left="300" w:hanging="300"/>
      </w:pPr>
      <w:r>
        <w:rPr>
          <w:rFonts w:ascii="Calibri" w:cs="Calibri" w:eastAsia="Calibri" w:hAnsi="Calibri"/>
          <w:b/>
          <w:bCs/>
          <w:color w:val="8A6D1F"/>
          <w:sz w:val="18"/>
          <w:szCs w:val="18"/>
        </w:rPr>
        <w:t xml:space="preserve">[R13]  </w:t>
      </w:r>
      <w:r>
        <w:rPr>
          <w:rFonts w:ascii="Calibri" w:cs="Calibri" w:eastAsia="Calibri" w:hAnsi="Calibri"/>
          <w:b/>
          <w:bCs/>
          <w:color w:val="1C1F26"/>
          <w:sz w:val="18"/>
          <w:szCs w:val="18"/>
        </w:rPr>
        <w:t xml:space="preserve">Crossrail Learning Legacy — Eldred and Blin, 17 August 2018 — </w:t>
      </w:r>
      <w:r>
        <w:rPr>
          <w:rFonts w:ascii="Calibri" w:cs="Calibri" w:eastAsia="Calibri" w:hAnsi="Calibri"/>
          <w:color w:val="1C1F26"/>
          <w:sz w:val="18"/>
          <w:szCs w:val="18"/>
        </w:rPr>
        <w:t xml:space="preserve">Implementing contractual skills and employment targets — §§1.2 and 5.1: the Olympic programme relied on encouragement and persuasion rather than contractually binding targets.</w:t>
      </w:r>
    </w:p>
    <w:p>
      <w:pPr>
        <w:spacing w:after="90" w:before="0"/>
        <w:ind w:left="300"/>
      </w:pPr>
      <w:r>
        <w:rPr>
          <w:rFonts w:ascii="Calibri" w:cs="Calibri" w:eastAsia="Calibri" w:hAnsi="Calibri"/>
          <w:color w:val="5B6472"/>
          <w:sz w:val="14"/>
          <w:szCs w:val="14"/>
        </w:rPr>
        <w:t xml:space="preserve">https://learninglegacy.crossrail.co.uk/documents/implementing-contractual-skills-and-employment-targets/</w:t>
      </w:r>
    </w:p>
    <w:p>
      <w:pPr>
        <w:spacing w:after="20" w:before="0"/>
        <w:ind w:left="300" w:hanging="300"/>
      </w:pPr>
      <w:r>
        <w:rPr>
          <w:rFonts w:ascii="Calibri" w:cs="Calibri" w:eastAsia="Calibri" w:hAnsi="Calibri"/>
          <w:b/>
          <w:bCs/>
          <w:color w:val="8A6D1F"/>
          <w:sz w:val="18"/>
          <w:szCs w:val="18"/>
        </w:rPr>
        <w:t xml:space="preserve">[R14]  </w:t>
      </w:r>
      <w:r>
        <w:rPr>
          <w:rFonts w:ascii="Calibri" w:cs="Calibri" w:eastAsia="Calibri" w:hAnsi="Calibri"/>
          <w:b/>
          <w:bCs/>
          <w:color w:val="1C1F26"/>
          <w:sz w:val="18"/>
          <w:szCs w:val="18"/>
        </w:rPr>
        <w:t xml:space="preserve">Expenditure and Projects Efficiency Authority, 18 August 2021 — </w:t>
      </w:r>
      <w:r>
        <w:rPr>
          <w:rFonts w:ascii="Calibri" w:cs="Calibri" w:eastAsia="Calibri" w:hAnsi="Calibri"/>
          <w:color w:val="1C1F26"/>
          <w:sz w:val="18"/>
          <w:szCs w:val="18"/>
        </w:rPr>
        <w:t xml:space="preserve">National Manual of Assets and Facilities Management, vol. 5 ch. 1, document EOM-ZO0-GL-000001 Rev 001 (18 August 2021) — §6.6 mechanical systems and §6.7 electrical systems operations, pp. 8–9.</w:t>
      </w:r>
    </w:p>
    <w:p>
      <w:pPr>
        <w:spacing w:after="90" w:before="0"/>
        <w:ind w:left="300"/>
      </w:pPr>
      <w:r>
        <w:rPr>
          <w:rFonts w:ascii="Calibri" w:cs="Calibri" w:eastAsia="Calibri" w:hAnsi="Calibri"/>
          <w:color w:val="5B6472"/>
          <w:sz w:val="14"/>
          <w:szCs w:val="14"/>
        </w:rPr>
        <w:t xml:space="preserve">https://expro.gov.sa/api/uploads/Operations%20Management%20Introduction%20Guideline.pdf</w:t>
      </w:r>
    </w:p>
    <w:p>
      <w:pPr>
        <w:spacing w:after="20" w:before="0"/>
        <w:ind w:left="300" w:hanging="300"/>
      </w:pPr>
      <w:r>
        <w:rPr>
          <w:rFonts w:ascii="Calibri" w:cs="Calibri" w:eastAsia="Calibri" w:hAnsi="Calibri"/>
          <w:b/>
          <w:bCs/>
          <w:color w:val="8A6D1F"/>
          <w:sz w:val="18"/>
          <w:szCs w:val="18"/>
        </w:rPr>
        <w:t xml:space="preserve">[R15]  </w:t>
      </w:r>
      <w:r>
        <w:rPr>
          <w:rFonts w:ascii="Calibri" w:cs="Calibri" w:eastAsia="Calibri" w:hAnsi="Calibri"/>
          <w:b/>
          <w:bCs/>
          <w:color w:val="1C1F26"/>
          <w:sz w:val="18"/>
          <w:szCs w:val="18"/>
        </w:rPr>
        <w:t xml:space="preserve">MBSC — Dr Rhea Elizabeth George, 30 September 2026 — </w:t>
      </w:r>
      <w:r>
        <w:rPr>
          <w:rFonts w:ascii="Calibri" w:cs="Calibri" w:eastAsia="Calibri" w:hAnsi="Calibri"/>
          <w:color w:val="1C1F26"/>
          <w:sz w:val="18"/>
          <w:szCs w:val="18"/>
        </w:rPr>
        <w:t xml:space="preserve">Assessment guidelines, ECN 511 Economics for Managers — sector 8, topic B; the four assessed parts; permission to supplement the EPP with other LCGPA mechanisms and to report an evidence gap as a finding.</w:t>
      </w:r>
    </w:p>
    <w:p>
      <w:pPr>
        <w:spacing w:after="20" w:before="0"/>
        <w:ind w:left="300" w:hanging="300"/>
      </w:pPr>
      <w:r>
        <w:rPr>
          <w:rFonts w:ascii="Calibri" w:cs="Calibri" w:eastAsia="Calibri" w:hAnsi="Calibri"/>
          <w:b/>
          <w:bCs/>
          <w:color w:val="8A6D1F"/>
          <w:sz w:val="18"/>
          <w:szCs w:val="18"/>
        </w:rPr>
        <w:t xml:space="preserve">[R16]  </w:t>
      </w:r>
      <w:r>
        <w:rPr>
          <w:rFonts w:ascii="Calibri" w:cs="Calibri" w:eastAsia="Calibri" w:hAnsi="Calibri"/>
          <w:b/>
          <w:bCs/>
          <w:color w:val="1C1F26"/>
          <w:sz w:val="18"/>
          <w:szCs w:val="18"/>
        </w:rPr>
        <w:t xml:space="preserve">Ministry of Finance template, hosted by King Faisal University — </w:t>
      </w:r>
      <w:r>
        <w:rPr>
          <w:rFonts w:ascii="Calibri" w:cs="Calibri" w:eastAsia="Calibri" w:hAnsi="Calibri"/>
          <w:color w:val="1C1F26"/>
          <w:sz w:val="18"/>
          <w:szCs w:val="18"/>
        </w:rPr>
        <w:t xml:space="preserve">Model Terms and Specifications Booklet (General Construction), version two — Section Ten, p. 49 of 59: the section may be deleted below SAR 100 million, and where a local agent subcontracts several foreign companies the threshold applies to each subcontractor separately.</w:t>
      </w:r>
    </w:p>
    <w:p>
      <w:pPr>
        <w:spacing w:after="90" w:before="0"/>
        <w:ind w:left="300"/>
      </w:pPr>
      <w:r>
        <w:rPr>
          <w:rFonts w:ascii="Calibri" w:cs="Calibri" w:eastAsia="Calibri" w:hAnsi="Calibri"/>
          <w:color w:val="5B6472"/>
          <w:sz w:val="14"/>
          <w:szCs w:val="14"/>
        </w:rPr>
        <w:t xml:space="preserve">https://www.kfu.edu.sa/ar/Departments/Purchases/Documents/pages/assets/pdf/Approved-booklet-templates/Sample-Terms-Specifications-Booklet-General-Construction.pdf</w:t>
      </w:r>
    </w:p>
    <w:p>
      <w:pPr>
        <w:spacing w:after="20" w:before="0"/>
        <w:ind w:left="300" w:hanging="300"/>
      </w:pPr>
      <w:r>
        <w:rPr>
          <w:rFonts w:ascii="Calibri" w:cs="Calibri" w:eastAsia="Calibri" w:hAnsi="Calibri"/>
          <w:b/>
          <w:bCs/>
          <w:color w:val="8A6D1F"/>
          <w:sz w:val="18"/>
          <w:szCs w:val="18"/>
        </w:rPr>
        <w:t xml:space="preserve">[S06]  </w:t>
      </w:r>
      <w:r>
        <w:rPr>
          <w:rFonts w:ascii="Calibri" w:cs="Calibri" w:eastAsia="Calibri" w:hAnsi="Calibri"/>
          <w:b/>
          <w:bCs/>
          <w:color w:val="1C1F26"/>
          <w:sz w:val="18"/>
          <w:szCs w:val="18"/>
        </w:rPr>
        <w:t xml:space="preserve">Populous, 18 November 2024 · secondary — </w:t>
      </w:r>
      <w:r>
        <w:rPr>
          <w:rFonts w:ascii="Calibri" w:cs="Calibri" w:eastAsia="Calibri" w:hAnsi="Calibri"/>
          <w:color w:val="1C1F26"/>
          <w:sz w:val="18"/>
          <w:szCs w:val="18"/>
        </w:rPr>
        <w:t xml:space="preserve">Design announcement — evidence of designer identity only. Not a source for capacity, cost or import values.</w:t>
      </w:r>
    </w:p>
    <w:p>
      <w:pPr>
        <w:spacing w:after="90" w:before="0"/>
        <w:ind w:left="300"/>
      </w:pPr>
      <w:r>
        <w:rPr>
          <w:rFonts w:ascii="Calibri" w:cs="Calibri" w:eastAsia="Calibri" w:hAnsi="Calibri"/>
          <w:color w:val="5B6472"/>
          <w:sz w:val="14"/>
          <w:szCs w:val="14"/>
        </w:rPr>
        <w:t xml:space="preserve">https://populous.com/article/populous-designed-king-salman-stadium-set-to-become-global-sporting-icon</w:t>
      </w:r>
    </w:p>
    <w:p>
      <w:pPr>
        <w:spacing w:after="20" w:before="0"/>
        <w:ind w:left="300" w:hanging="300"/>
      </w:pPr>
      <w:r>
        <w:rPr>
          <w:rFonts w:ascii="Calibri" w:cs="Calibri" w:eastAsia="Calibri" w:hAnsi="Calibri"/>
          <w:b/>
          <w:bCs/>
          <w:color w:val="8A6D1F"/>
          <w:sz w:val="18"/>
          <w:szCs w:val="18"/>
        </w:rPr>
        <w:t xml:space="preserve">[S11]  </w:t>
      </w:r>
      <w:r>
        <w:rPr>
          <w:rFonts w:ascii="Calibri" w:cs="Calibri" w:eastAsia="Calibri" w:hAnsi="Calibri"/>
          <w:b/>
          <w:bCs/>
          <w:color w:val="1C1F26"/>
          <w:sz w:val="18"/>
          <w:szCs w:val="18"/>
        </w:rPr>
        <w:t xml:space="preserve">DGA Group, April 2026 · secondary — </w:t>
      </w:r>
      <w:r>
        <w:rPr>
          <w:rFonts w:ascii="Calibri" w:cs="Calibri" w:eastAsia="Calibri" w:hAnsi="Calibri"/>
          <w:color w:val="1C1F26"/>
          <w:sz w:val="18"/>
          <w:szCs w:val="18"/>
        </w:rPr>
        <w:t xml:space="preserve">Analysis of the updated EPP issued for public consultation, pp. 4–8 — scope, obligations, credits, alternative track. The draft text itself was not retrieved and adoption is not public.</w:t>
      </w:r>
    </w:p>
    <w:p>
      <w:pPr>
        <w:spacing w:after="90" w:before="0"/>
        <w:ind w:left="300"/>
      </w:pPr>
      <w:r>
        <w:rPr>
          <w:rFonts w:ascii="Calibri" w:cs="Calibri" w:eastAsia="Calibri" w:hAnsi="Calibri"/>
          <w:color w:val="5B6472"/>
          <w:sz w:val="14"/>
          <w:szCs w:val="14"/>
        </w:rPr>
        <w:t xml:space="preserve">https://dgagroup.com/wp-content/uploads/2026/04/DGA-ASG-Analysis-Updated-Version-of-Saudi-Economic-Participation-Policy-Issued-for-Public-Consultation-1.pdf</w:t>
      </w:r>
    </w:p>
    <w:p>
      <w:pPr>
        <w:spacing w:after="20" w:before="0"/>
        <w:ind w:left="300" w:hanging="300"/>
      </w:pPr>
      <w:r>
        <w:rPr>
          <w:rFonts w:ascii="Calibri" w:cs="Calibri" w:eastAsia="Calibri" w:hAnsi="Calibri"/>
          <w:b/>
          <w:bCs/>
          <w:color w:val="8A6D1F"/>
          <w:sz w:val="18"/>
          <w:szCs w:val="18"/>
        </w:rPr>
        <w:t xml:space="preserve">[S14]  </w:t>
      </w:r>
      <w:r>
        <w:rPr>
          <w:rFonts w:ascii="Calibri" w:cs="Calibri" w:eastAsia="Calibri" w:hAnsi="Calibri"/>
          <w:b/>
          <w:bCs/>
          <w:color w:val="1C1F26"/>
          <w:sz w:val="18"/>
          <w:szCs w:val="18"/>
        </w:rPr>
        <w:t xml:space="preserve">Australian Department of Industry, Science and Resources, August 2023 · secondary — </w:t>
      </w:r>
      <w:r>
        <w:rPr>
          <w:rFonts w:ascii="Calibri" w:cs="Calibri" w:eastAsia="Calibri" w:hAnsi="Calibri"/>
          <w:color w:val="1C1F26"/>
          <w:sz w:val="18"/>
          <w:szCs w:val="18"/>
        </w:rPr>
        <w:t xml:space="preserve">Australian Industry Participation Policy impact evaluation — Finding 20, printed p. 24 / PDF p. 28, on measuring outcomes rather than opportunities.</w:t>
      </w:r>
    </w:p>
    <w:p>
      <w:pPr>
        <w:spacing w:after="90" w:before="0"/>
        <w:ind w:left="300"/>
      </w:pPr>
      <w:r>
        <w:rPr>
          <w:rFonts w:ascii="Calibri" w:cs="Calibri" w:eastAsia="Calibri" w:hAnsi="Calibri"/>
          <w:color w:val="5B6472"/>
          <w:sz w:val="14"/>
          <w:szCs w:val="14"/>
        </w:rPr>
        <w:t xml:space="preserve">https://www.industry.gov.au/sites/default/files/2024-08/australian-industry-participation-policy-impact-evaluation-report_0.pdf</w:t>
      </w:r>
    </w:p>
    <w:p>
      <w:pPr>
        <w:pBdr>
          <w:top w:val="single" w:color="D7DBE0" w:sz="4" w:space="6"/>
        </w:pBdr>
        <w:spacing w:after="200" w:before="60"/>
      </w:pPr>
      <w:r>
        <w:rPr>
          <w:rFonts w:ascii="Calibri" w:cs="Calibri" w:eastAsia="Calibri" w:hAnsi="Calibri"/>
          <w:i/>
          <w:iCs/>
          <w:color w:val="5B6472"/>
          <w:sz w:val="16"/>
          <w:szCs w:val="16"/>
        </w:rPr>
        <w:t xml:space="preserve">How these numbers were checked. Every figure traces to a cell or page in the group's final verification register (19 October 2026): GASTAT values to named worksheet cells, the IMF anchor to Box 1 of Country Report 24/280. Facts, verified calculations, illustrations and group proposals are labelled separately throughout. National import ratios are national — they are a screen for where to request contract data, not a measurement of this stadium.</w:t>
      </w:r>
    </w:p>
    <w:p>
      <w:pPr>
        <w:pBdr>
          <w:top w:val="single" w:color="D7DBE0" w:sz="4" w:space="6"/>
        </w:pBdr>
        <w:spacing w:after="200" w:before="60"/>
      </w:pPr>
      <w:r>
        <w:rPr>
          <w:rFonts w:ascii="Calibri" w:cs="Calibri" w:eastAsia="Calibri" w:hAnsi="Calibri"/>
          <w:i/>
          <w:iCs/>
          <w:color w:val="5B6472"/>
          <w:sz w:val="16"/>
          <w:szCs w:val="16"/>
        </w:rPr>
        <w:t xml:space="preserve">AI use statement (draft): AI assistance supported source discovery, draft organisation, the illustrative calculations and the visuals; the group verified accuracy and sources and takes responsibility for the submission. Policy version analysed: the published LCGPA training baseline, with notes on the April 2026 consultation draft. Views are the group's own, not DGA Group's or LCGPA's.</w:t>
      </w:r>
    </w:p>
    <w:sectPr>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c47447e8c898c7b70fa12d342ccf68699dedc9.png"/><Relationship Id="rId8" Type="http://schemas.openxmlformats.org/officeDocument/2006/relationships/image" Target="media/f116f1ccd3896b00fef4b7e9897ac90612596a05.png"/><Relationship Id="rId9" Type="http://schemas.openxmlformats.org/officeDocument/2006/relationships/image" Target="media/49a8cf260bf524f1cbe28727ff23000d46d7741b.png"/><Relationship Id="rId10" Type="http://schemas.openxmlformats.org/officeDocument/2006/relationships/image" Target="media/a074a6517f6dfcede393540e4d15c4ce4d438bea.png"/><Relationship Id="rId11" Type="http://schemas.openxmlformats.org/officeDocument/2006/relationships/image" Target="media/2ffc39118237cb8921729f9e5df02e3bb8568193.png"/><Relationship Id="rId12" Type="http://schemas.openxmlformats.org/officeDocument/2006/relationships/image" Target="media/fa42481c43b2499f7860dbc1a805e4bc512227c5.png"/><Relationship Id="rId13" Type="http://schemas.openxmlformats.org/officeDocument/2006/relationships/image" Target="media/4feb75f80eb0e78c8ca405ff8ab8aa953ca94eae.png"/><Relationship Id="rId14" Type="http://schemas.openxmlformats.org/officeDocument/2006/relationships/image" Target="media/6c9aa0071d53e0fb069e3a28a7e47d883b84f766.png"/><Relationship Id="rId15" Type="http://schemas.openxmlformats.org/officeDocument/2006/relationships/image" Target="media/677368fb7124d61162645451b686686c39c85ad1.png"/><Relationship Id="rId16" Type="http://schemas.openxmlformats.org/officeDocument/2006/relationships/image" Target="media/20780840ce2b4445f8df27778b6bd1e1b3b49af6.png"/><Relationship Id="rId17" Type="http://schemas.openxmlformats.org/officeDocument/2006/relationships/image" Target="media/162c224ea022c3231de07de556b101fd7aa8f2ac.png"/><Relationship Id="rId18" Type="http://schemas.openxmlformats.org/officeDocument/2006/relationships/image" Target="media/f33b86c40a0f098537dd4a5b57685fd5fac3ac1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stadiums, building capability</dc:title>
  <dc:creator>Group 8 — ECN 511, MBSC</dc:creator>
  <dc:description>ECN 511 Group 8 presentation content</dc:description>
  <cp:lastModifiedBy>Un-named</cp:lastModifiedBy>
  <cp:revision>1</cp:revision>
  <dcterms:created xsi:type="dcterms:W3CDTF">2026-10-22T13:50:46.485Z</dcterms:created>
  <dcterms:modified xsi:type="dcterms:W3CDTF">2026-10-22T13:50:46.485Z</dcterms:modified>
</cp:coreProperties>
</file>

<file path=docProps/custom.xml><?xml version="1.0" encoding="utf-8"?>
<Properties xmlns="http://schemas.openxmlformats.org/officeDocument/2006/custom-properties" xmlns:vt="http://schemas.openxmlformats.org/officeDocument/2006/docPropsVTypes"/>
</file>