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02C57"/>
          <w:sz w:val="44"/>
        </w:rPr>
        <w:t>HRMS SaaS Platform: Exit &amp; Onboarding Modules</w:t>
      </w:r>
    </w:p>
    <w:p>
      <w:pPr>
        <w:spacing w:after="280"/>
      </w:pPr>
      <w:r>
        <w:rPr>
          <w:rFonts w:ascii="Calibri" w:hAnsi="Calibri"/>
          <w:i/>
          <w:color w:val="646464"/>
          <w:sz w:val="24"/>
        </w:rPr>
        <w:t>Full &amp; Final Settlement, IT Clearances, Exit Checklists &amp; Offer Letters (Multi-Industry &amp; Tech Focus)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2C57"/>
                <w:sz w:val="20"/>
              </w:rPr>
              <w:t>Platform Architecture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Multi-Tenant SaaS (Customizable for Tech/Software, Salons, Retail, Corporate)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2C57"/>
                <w:sz w:val="20"/>
              </w:rPr>
              <w:t>Immediate Focus Client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Software Development Company (Priority Case: Milan Separation)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2C57"/>
                <w:sz w:val="20"/>
              </w:rPr>
              <w:t>Key Stakeholders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Jyoti Hirwani (HR Lead) &amp; Pratik iDAB (Development Lead)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02C57"/>
                <w:sz w:val="20"/>
              </w:rPr>
              <w:t>Document Status &amp; 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Approved Feature Specifications - September 17, 2026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02C57"/>
          <w:sz w:val="32"/>
        </w:rPr>
        <w:t>1. Executive Overview: SaaS Multi-Tenant Capability</w:t>
      </w:r>
    </w:p>
    <w:p>
      <w:pPr>
        <w:spacing w:line="276" w:lineRule="auto"/>
      </w:pPr>
      <w:r>
        <w:rPr>
          <w:rFonts w:ascii="Calibri" w:hAnsi="Calibri"/>
          <w:sz w:val="21"/>
        </w:rPr>
        <w:t xml:space="preserve">This application operates as a scalable Multi-Tenant SaaS HRMS. Different subscriber companies across different industries (e.g. Software Development firms, Salons/Spas, Retailers, Agencies) use the platform. Therefore, the system incorporates an </w:t>
      </w:r>
      <w:r>
        <w:rPr>
          <w:rFonts w:ascii="Calibri" w:hAnsi="Calibri"/>
          <w:b/>
          <w:sz w:val="21"/>
        </w:rPr>
        <w:t xml:space="preserve">Industry-Configurable Template Architecture: </w:t>
      </w:r>
      <w:r>
        <w:rPr>
          <w:sz w:val="21"/>
        </w:rPr>
        <w:t>Every tenant can tailor financial heads, clearance checklists, and approval roles according to their business model.</w:t>
        <w:br/>
        <w:br/>
      </w:r>
    </w:p>
    <w:p>
      <w:pPr>
        <w:spacing w:line="276" w:lineRule="auto"/>
      </w:pPr>
      <w:r>
        <w:rPr>
          <w:rFonts w:ascii="Calibri" w:hAnsi="Calibri"/>
          <w:b/>
          <w:color w:val="B42828"/>
        </w:rPr>
        <w:t xml:space="preserve">Immediate Urgent Requirement: </w:t>
      </w:r>
      <w:r>
        <w:rPr>
          <w:rFonts w:ascii="Calibri" w:hAnsi="Calibri"/>
        </w:rPr>
        <w:t>For our immediate software development client (Milan's offboarding), the clearance module mandates strict IT asset &amp; intellectual property protection—including GitHub code transfers, cloud servers, API keys, database credentials, and company laptops.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56A0"/>
          <w:sz w:val="26"/>
        </w:rPr>
        <w:t>2. Priority Action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016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016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SaaS Customization</w:t>
            </w:r>
          </w:p>
        </w:tc>
        <w:tc>
          <w:tcPr>
            <w:tcW w:type="dxa" w:w="2016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016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Deadline</w:t>
            </w:r>
          </w:p>
        </w:tc>
      </w:tr>
      <w:tr>
        <w:tc>
          <w:tcPr>
            <w:tcW w:type="dxa" w:w="201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Full &amp; Final (F&amp;F) Settlement Form</w:t>
            </w:r>
          </w:p>
        </w:tc>
        <w:tc>
          <w:tcPr>
            <w:tcW w:type="dxa" w:w="201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Employee offboarding &amp; accounts final calculation</w:t>
            </w:r>
          </w:p>
        </w:tc>
        <w:tc>
          <w:tcPr>
            <w:tcW w:type="dxa" w:w="201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High (Custom financial line items &amp; categories)</w:t>
            </w:r>
          </w:p>
        </w:tc>
        <w:tc>
          <w:tcPr>
            <w:tcW w:type="dxa" w:w="201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C81414"/>
                <w:sz w:val="19"/>
              </w:rPr>
              <w:t>URGENT (Critical)</w:t>
            </w:r>
          </w:p>
        </w:tc>
        <w:tc>
          <w:tcPr>
            <w:tcW w:type="dxa" w:w="201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Tomorrow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Exit &amp; Asset Checklist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Multi-department clearance (HR, IT, Admin)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High (Industry presets: IT, Salon, Corporate)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Tomorrow</w:t>
            </w:r>
          </w:p>
        </w:tc>
      </w:tr>
      <w:tr>
        <w:tc>
          <w:tcPr>
            <w:tcW w:type="dxa" w:w="201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Offer &amp; Appointment Letter Module</w:t>
            </w:r>
          </w:p>
        </w:tc>
        <w:tc>
          <w:tcPr>
            <w:tcW w:type="dxa" w:w="201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Candidate onboarding &amp; automated contracts</w:t>
            </w:r>
          </w:p>
        </w:tc>
        <w:tc>
          <w:tcPr>
            <w:tcW w:type="dxa" w:w="201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High (Template builder &amp; variable tokens)</w:t>
            </w:r>
          </w:p>
        </w:tc>
        <w:tc>
          <w:tcPr>
            <w:tcW w:type="dxa" w:w="201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01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Current Sprint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02C57"/>
          <w:sz w:val="32"/>
        </w:rPr>
        <w:t>3. Task 1: Full &amp; Final (F&amp;F) Settlement Form (SaaS &amp; IT Focus)</w:t>
      </w:r>
    </w:p>
    <w:p>
      <w:pPr>
        <w:spacing w:line="276" w:lineRule="auto"/>
      </w:pPr>
      <w:r>
        <w:rPr>
          <w:rFonts w:ascii="Calibri" w:hAnsi="Calibri"/>
        </w:rPr>
        <w:t>The Full &amp; Final Settlement form follows a protected online workflow similar to secure digital forms, safeguarding sensitive payroll calculations while allowing remote employee sign-off.</w:t>
        <w:br/>
      </w:r>
    </w:p>
    <w:p>
      <w:pPr>
        <w:spacing w:line="276" w:lineRule="auto"/>
      </w:pPr>
      <w:r>
        <w:rPr>
          <w:rFonts w:ascii="Calibri" w:hAnsi="Calibri"/>
          <w:b/>
        </w:rPr>
        <w:t>Form Security &amp; Access Partitioning:</w:t>
        <w:br/>
      </w:r>
      <w:r>
        <w:rPr>
          <w:b/>
        </w:rPr>
        <w:t xml:space="preserve">• </w:t>
      </w:r>
      <w:r>
        <w:rPr>
          <w:b/>
        </w:rPr>
        <w:t xml:space="preserve">HR &amp; Accounts Area (LOCKED): </w:t>
      </w:r>
      <w:r>
        <w:t>Employee profile data, payable earnings, deductions, notice period adjustments, and net settlement calculation are frozen and cannot be edited by the departing employee.</w:t>
        <w:br/>
      </w:r>
      <w:r>
        <w:rPr>
          <w:b/>
        </w:rPr>
        <w:t xml:space="preserve">• </w:t>
      </w:r>
      <w:r>
        <w:rPr>
          <w:b/>
        </w:rPr>
        <w:t xml:space="preserve">Employee Area (INTERACTIVE): </w:t>
      </w:r>
      <w:r>
        <w:t>Only Section D (Employee Declaration &amp; Undertaking) is editable. The employee checks their acknowledgement and applies their digital signature.</w:t>
        <w:br/>
      </w:r>
      <w:r>
        <w:rPr>
          <w:b/>
        </w:rPr>
        <w:t xml:space="preserve">• </w:t>
      </w:r>
      <w:r>
        <w:rPr>
          <w:b/>
        </w:rPr>
        <w:t xml:space="preserve">Management Approval Area (LOCKED): </w:t>
      </w:r>
      <w:r>
        <w:t>Payment status, transaction reference (UTR number), payment date, and final authorized signatures.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56A0"/>
          <w:sz w:val="26"/>
        </w:rPr>
        <w:t>Section Structure of the F&amp;F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56A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360"/>
            <w:shd w:fill="1E56A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Content &amp; Functionality</w:t>
            </w:r>
          </w:p>
        </w:tc>
        <w:tc>
          <w:tcPr>
            <w:tcW w:type="dxa" w:w="3360"/>
            <w:shd w:fill="1E56A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Permissions</w:t>
            </w:r>
          </w:p>
        </w:tc>
      </w:tr>
      <w:tr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Section A: Header Info</w:t>
            </w:r>
          </w:p>
        </w:tc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Company Name, Employee Name, ID, Designation, Department, Date of Joining, Last Working Day, Reason for Separation</w:t>
            </w:r>
          </w:p>
        </w:tc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HR / System Auto (Locked)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Section B: Financial Clearance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Dynamic line items: Basic Salary payable, Leave Encashment, Incentives, Bonus, minus Notice Recovery, Loans, Deductions -&gt; Net Final Settlement Amount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HR &amp; Finance (Locked)</w:t>
            </w:r>
          </w:p>
        </w:tc>
      </w:tr>
      <w:tr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Section C: Department Clearances</w:t>
            </w:r>
          </w:p>
        </w:tc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Checklist status: Not Applicable, Returned, Pending. Specialized IT and Administrative points</w:t>
            </w:r>
          </w:p>
        </w:tc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HR / IT Admin (Locked)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Section D: Employee Undertaking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Legal declaration of data removal, IP confirmation, non-misuse of company software, and Digital Signature pad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48C28"/>
                <w:sz w:val="19"/>
              </w:rPr>
              <w:t>Employee Editable Only</w:t>
            </w:r>
          </w:p>
        </w:tc>
      </w:tr>
      <w:tr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Section E &amp; F: Management Sign-off</w:t>
            </w:r>
          </w:p>
        </w:tc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Settlement status (Cleared/Pending), Payment mode &amp; reference (UTR), HR &amp; Authorized Director signatures</w:t>
            </w:r>
          </w:p>
        </w:tc>
        <w:tc>
          <w:tcPr>
            <w:tcW w:type="dxa" w:w="33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Management (Locked)</w:t>
            </w:r>
          </w:p>
        </w:tc>
      </w:tr>
    </w:tbl>
    <w:p>
      <w:pPr>
        <w:spacing w:after="120"/>
      </w:pPr>
    </w:p>
    <w:p>
      <w:pPr>
        <w:pStyle w:val="Heading3"/>
        <w:spacing w:before="280" w:after="120"/>
      </w:pPr>
      <w:r>
        <w:rPr>
          <w:rFonts w:ascii="Calibri" w:hAnsi="Calibri"/>
          <w:b/>
          <w:color w:val="282828"/>
          <w:sz w:val="22"/>
        </w:rPr>
        <w:t>Software &amp; IT Clearance Line Items (Section C1)</w:t>
      </w:r>
    </w:p>
    <w:p>
      <w:pPr>
        <w:spacing w:line="276" w:lineRule="auto"/>
      </w:pPr>
      <w:r>
        <w:rPr>
          <w:rFonts w:ascii="Calibri" w:hAnsi="Calibri"/>
        </w:rPr>
        <w:t>✓  Company laptop, desktop, power adapter, and hardware peripherals inspected and returned.</w:t>
        <w:br/>
      </w:r>
      <w:r>
        <w:rPr>
          <w:rFonts w:ascii="Calibri" w:hAnsi="Calibri"/>
        </w:rPr>
        <w:t>✓  Company Google Workspace / Microsoft 365 official email accounts deactivated &amp; archives taken.</w:t>
        <w:br/>
      </w:r>
      <w:r>
        <w:rPr>
          <w:rFonts w:ascii="Calibri" w:hAnsi="Calibri"/>
        </w:rPr>
        <w:t>✓  Code repository access (GitHub, GitLab, Bitbucket) removed and personal SSH keys revoked.</w:t>
        <w:br/>
      </w:r>
      <w:r>
        <w:rPr>
          <w:rFonts w:ascii="Calibri" w:hAnsi="Calibri"/>
        </w:rPr>
        <w:t>✓  Cloud hosting consoles, VPS, AWS/Azure/GCP, DigitalOcean, and server root access revoked.</w:t>
        <w:br/>
      </w:r>
      <w:r>
        <w:rPr>
          <w:rFonts w:ascii="Calibri" w:hAnsi="Calibri"/>
        </w:rPr>
        <w:t>✓  Password vault entries (1Password, Bitwarden) and internal API keys / Hub accounts transferred.</w:t>
        <w:br/>
      </w:r>
      <w:r>
        <w:rPr>
          <w:rFonts w:ascii="Calibri" w:hAnsi="Calibri"/>
        </w:rPr>
        <w:t>✓  Confirmation that all local development repositories and database dumps have been purged from personal/remote devices.</w:t>
        <w:br/>
      </w:r>
      <w:r>
        <w:rPr>
          <w:rFonts w:ascii="Calibri" w:hAnsi="Calibri"/>
        </w:rPr>
        <w:t>✓  VPN, remote desktop, and staging access terminated.</w:t>
        <w:br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2C57"/>
          <w:sz w:val="32"/>
        </w:rPr>
        <w:t>4. Task 2: Employee Exit &amp; Asset Checklist</w:t>
      </w:r>
    </w:p>
    <w:p>
      <w:pPr>
        <w:spacing w:line="276" w:lineRule="auto"/>
      </w:pPr>
      <w:r>
        <w:rPr>
          <w:rFonts w:ascii="Calibri" w:hAnsi="Calibri"/>
        </w:rPr>
        <w:t>The Employee Exit Checklist acts as the operational gating mechanism before financial disbursement. In the SaaS system, admins can choose between industry templates (IT/Software, Salon, General Corporate) or build custom categories:</w:t>
        <w:br/>
      </w:r>
    </w:p>
    <w:p>
      <w:pPr>
        <w:spacing w:after="80"/>
      </w:pPr>
      <w:r>
        <w:rPr>
          <w:rFonts w:ascii="Calibri" w:hAnsi="Calibri"/>
          <w:b/>
          <w:color w:val="1E56A0"/>
        </w:rPr>
        <w:t xml:space="preserve">• Category 1: Project &amp; Work Handover: </w:t>
      </w:r>
      <w:r>
        <w:rPr>
          <w:rFonts w:ascii="Calibri" w:hAnsi="Calibri"/>
        </w:rPr>
        <w:t>Update all sprint tasks/Jira tickets; hand over open client bugs; complete KT sessions with reporting manager; archive project notes in company wiki.</w:t>
      </w:r>
    </w:p>
    <w:p>
      <w:pPr>
        <w:spacing w:after="80"/>
      </w:pPr>
      <w:r>
        <w:rPr>
          <w:rFonts w:ascii="Calibri" w:hAnsi="Calibri"/>
          <w:b/>
          <w:color w:val="1E56A0"/>
        </w:rPr>
        <w:t xml:space="preserve">• Category 2: Data, Source Code &amp; IP Protection: </w:t>
      </w:r>
      <w:r>
        <w:rPr>
          <w:rFonts w:ascii="Calibri" w:hAnsi="Calibri"/>
        </w:rPr>
        <w:t>Transfer all committed code branches; ensure no code is stored in personal Google Drive/Dropbox/USB; re-affirm NDA and confidentiality covenants.</w:t>
      </w:r>
    </w:p>
    <w:p>
      <w:pPr>
        <w:spacing w:after="80"/>
      </w:pPr>
      <w:r>
        <w:rPr>
          <w:rFonts w:ascii="Calibri" w:hAnsi="Calibri"/>
          <w:b/>
          <w:color w:val="1E56A0"/>
        </w:rPr>
        <w:t xml:space="preserve">• Category 3: Accounts &amp; Access Closure: </w:t>
      </w:r>
      <w:r>
        <w:rPr>
          <w:rFonts w:ascii="Calibri" w:hAnsi="Calibri"/>
        </w:rPr>
        <w:t>De-provision Single Sign-On (SSO); remove access to Slack, Jira, Trello, Notion, Figma, HRMS, and production databases.</w:t>
      </w:r>
    </w:p>
    <w:p>
      <w:pPr>
        <w:spacing w:after="80"/>
      </w:pPr>
      <w:r>
        <w:rPr>
          <w:rFonts w:ascii="Calibri" w:hAnsi="Calibri"/>
          <w:b/>
          <w:color w:val="1E56A0"/>
        </w:rPr>
        <w:t xml:space="preserve">• Category 4: Company Physical Assets: </w:t>
      </w:r>
      <w:r>
        <w:rPr>
          <w:rFonts w:ascii="Calibri" w:hAnsi="Calibri"/>
        </w:rPr>
        <w:t>Verify return of laptop/charger, office access tags, ID cards; for remote employees without issued hardware, capture signed BYOD remote confirmation.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2C57"/>
          <w:sz w:val="32"/>
        </w:rPr>
        <w:t>5. Task 3: Offer Letter &amp; Appointment Letter Module</w:t>
      </w:r>
    </w:p>
    <w:p>
      <w:pPr>
        <w:spacing w:line="276" w:lineRule="auto"/>
      </w:pPr>
      <w:r>
        <w:rPr>
          <w:rFonts w:ascii="Calibri" w:hAnsi="Calibri"/>
        </w:rPr>
        <w:t>The onboarding module provides customizable offer letter generation directly inside HRMS:</w:t>
        <w:br/>
      </w:r>
      <w:r>
        <w:rPr>
          <w:rFonts w:ascii="Calibri" w:hAnsi="Calibri"/>
        </w:rPr>
        <w:t>•  Template Variants: Supports multiple industry designs (Tech Developer with IP terms, Intern with stipend terms, Salon Stylist with commission terms, Executive).</w:t>
        <w:br/>
      </w:r>
      <w:r>
        <w:rPr>
          <w:rFonts w:ascii="Calibri" w:hAnsi="Calibri"/>
        </w:rPr>
        <w:t>•  Dynamic Merge Tags: Automatically populates {{candidate_name}}, {{designation}}, {{ctc}}, {{joining_date}}, {{company_name}}.</w:t>
        <w:br/>
      </w:r>
      <w:r>
        <w:rPr>
          <w:rFonts w:ascii="Calibri" w:hAnsi="Calibri"/>
        </w:rPr>
        <w:t>•  In-Line Customization: HR can modify specific paragraphs for any candidate before sending.</w:t>
        <w:br/>
      </w:r>
      <w:r>
        <w:rPr>
          <w:rFonts w:ascii="Calibri" w:hAnsi="Calibri"/>
        </w:rPr>
        <w:t>•  Electronic Acceptance: Candidates receive a secure link to accept and electronically sign.</w:t>
        <w:br/>
      </w:r>
      <w:r>
        <w:rPr>
          <w:rFonts w:ascii="Calibri" w:hAnsi="Calibri"/>
        </w:rPr>
        <w:t>•  Secure Storage: Completed signed offer letters are permanently archived in the employee document vault.</w:t>
        <w:br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02C57"/>
          <w:sz w:val="32"/>
        </w:rPr>
        <w:t>6. Execution Plan &amp; Ownership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 Item</w:t>
            </w:r>
          </w:p>
        </w:tc>
        <w:tc>
          <w:tcPr>
            <w:tcW w:type="dxa" w:w="25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5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520"/>
            <w:shd w:fill="102C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Approve Software Clearance line items &amp; financial headings for Milan</w:t>
            </w:r>
          </w:p>
        </w:tc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Jyoti Hirwani (HR)</w:t>
            </w:r>
          </w:p>
        </w:tc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Operational Review</w:t>
            </w:r>
          </w:p>
        </w:tc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Today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Build Full &amp; Final UI with locked/unlocked zones &amp; digital signature pad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Pratik iDAB (Dev)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HRMS Development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Tomorrow Morning</w:t>
            </w:r>
          </w:p>
        </w:tc>
      </w:tr>
      <w:tr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Integrate Exit Checklist with IT asset tracking &amp; PDF generator</w:t>
            </w:r>
          </w:p>
        </w:tc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Pratik iDAB (Dev)</w:t>
            </w:r>
          </w:p>
        </w:tc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HRMS Development</w:t>
            </w:r>
          </w:p>
        </w:tc>
        <w:tc>
          <w:tcPr>
            <w:tcW w:type="dxa" w:w="25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Tomorrow Afternoon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Dry run Milan's settlement and generate test settlement document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Jyoti &amp; Pratik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Verification &amp; Sign-off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Tomorrow EOD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