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Verdana" w:cs="Verdana" w:eastAsia="Verdana" w:hAnsi="Verdana"/>
          <w:b w:val="1"/>
          <w:sz w:val="46"/>
          <w:szCs w:val="46"/>
        </w:rPr>
      </w:pPr>
      <w:bookmarkStart w:colFirst="0" w:colLast="0" w:name="_c952asqlox1g" w:id="0"/>
      <w:bookmarkEnd w:id="0"/>
      <w:r w:rsidDel="00000000" w:rsidR="00000000" w:rsidRPr="00000000">
        <w:rPr>
          <w:rFonts w:ascii="Verdana" w:cs="Verdana" w:eastAsia="Verdana" w:hAnsi="Verdana"/>
          <w:b w:val="1"/>
          <w:sz w:val="46"/>
          <w:szCs w:val="46"/>
          <w:rtl w:val="0"/>
        </w:rPr>
        <w:t xml:space="preserve">Проєкт 2. Revenue metrics</w:t>
      </w:r>
    </w:p>
    <w:p w:rsidR="00000000" w:rsidDel="00000000" w:rsidP="00000000" w:rsidRDefault="00000000" w:rsidRPr="00000000" w14:paraId="00000002">
      <w:pPr>
        <w:pStyle w:val="Heading3"/>
        <w:keepNext w:val="0"/>
        <w:keepLines w:val="0"/>
        <w:spacing w:before="280" w:lineRule="auto"/>
        <w:ind w:left="0" w:firstLine="0"/>
        <w:rPr>
          <w:highlight w:val="white"/>
        </w:rPr>
      </w:pPr>
      <w:bookmarkStart w:colFirst="0" w:colLast="0" w:name="_n7xnzmn9acoy" w:id="1"/>
      <w:bookmarkEnd w:id="1"/>
      <w:r w:rsidDel="00000000" w:rsidR="00000000" w:rsidRPr="00000000">
        <w:rPr>
          <w:rFonts w:ascii="Verdana" w:cs="Verdana" w:eastAsia="Verdana" w:hAnsi="Verdana"/>
          <w:b w:val="1"/>
          <w:color w:val="000000"/>
          <w:sz w:val="26"/>
          <w:szCs w:val="26"/>
          <w:highlight w:val="white"/>
          <w:rtl w:val="0"/>
        </w:rPr>
        <w:t xml:space="preserve">Завдання до проєкту 2</w:t>
      </w:r>
      <w:r w:rsidDel="00000000" w:rsidR="00000000" w:rsidRPr="00000000">
        <w:rPr>
          <w:rFonts w:ascii="Verdana" w:cs="Verdana" w:eastAsia="Verdana" w:hAnsi="Verdana"/>
          <w:sz w:val="24"/>
          <w:szCs w:val="24"/>
          <w:highlight w:val="white"/>
          <w:rtl w:val="0"/>
        </w:rPr>
        <w:br w:type="textWrapping"/>
        <w:t xml:space="preserve">Дані для виконання цього завдання зберігаються в схемі “project” в тій самій БД на PostgreSQL, в якій ми робили домашні завдання в блоці SQL.</w:t>
      </w:r>
      <w:r w:rsidDel="00000000" w:rsidR="00000000" w:rsidRPr="00000000">
        <w:rPr>
          <w:rtl w:val="0"/>
        </w:rPr>
      </w:r>
    </w:p>
    <w:p w:rsidR="00000000" w:rsidDel="00000000" w:rsidP="00000000" w:rsidRDefault="00000000" w:rsidRPr="00000000" w14:paraId="0000000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Створити дашборд для аналізу грошових надходжень на проекті. За його допомогою (уявні) продуктові менеджери будуть відслідковувати динаміку змін грошових надходжень та робити верхньорівневий аналіз факторів цих змін.</w:t>
      </w:r>
    </w:p>
    <w:p w:rsidR="00000000" w:rsidDel="00000000" w:rsidP="00000000" w:rsidRDefault="00000000" w:rsidRPr="00000000" w14:paraId="00000004">
      <w:pPr>
        <w:spacing w:after="240" w:befor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Дашборд має включати всі, або хоча б більшість з таких метрик:</w:t>
      </w:r>
    </w:p>
    <w:p w:rsidR="00000000" w:rsidDel="00000000" w:rsidP="00000000" w:rsidRDefault="00000000" w:rsidRPr="00000000" w14:paraId="00000005">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Monthly Recurring Revenue (MRR)</w:t>
      </w:r>
      <w:r w:rsidDel="00000000" w:rsidR="00000000" w:rsidRPr="00000000">
        <w:rPr>
          <w:rFonts w:ascii="Verdana" w:cs="Verdana" w:eastAsia="Verdana" w:hAnsi="Verdana"/>
          <w:sz w:val="24"/>
          <w:szCs w:val="24"/>
          <w:rtl w:val="0"/>
        </w:rPr>
        <w:t xml:space="preserve"> - це сума revenue за календарний місяць, але лише за умови що це revenue було отримано з джерел, які повторюються з місяця в місяць.</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Paid Users</w:t>
      </w:r>
      <w:r w:rsidDel="00000000" w:rsidR="00000000" w:rsidRPr="00000000">
        <w:rPr>
          <w:rFonts w:ascii="Verdana" w:cs="Verdana" w:eastAsia="Verdana" w:hAnsi="Verdana"/>
          <w:sz w:val="24"/>
          <w:szCs w:val="24"/>
          <w:rtl w:val="0"/>
        </w:rPr>
        <w:t xml:space="preserve"> - кількість користувачів, що є платящими.</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Average Revenue Per Paid User (ARPPU)</w:t>
      </w:r>
      <w:r w:rsidDel="00000000" w:rsidR="00000000" w:rsidRPr="00000000">
        <w:rPr>
          <w:rFonts w:ascii="Verdana" w:cs="Verdana" w:eastAsia="Verdana" w:hAnsi="Verdana"/>
          <w:sz w:val="24"/>
          <w:szCs w:val="24"/>
          <w:rtl w:val="0"/>
        </w:rPr>
        <w:t xml:space="preserve"> - середнє revenue на користувача, що платить. Розраховується як ARPPU = Revenue / Paid Users.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New Paid Users</w:t>
      </w:r>
      <w:r w:rsidDel="00000000" w:rsidR="00000000" w:rsidRPr="00000000">
        <w:rPr>
          <w:rFonts w:ascii="Verdana" w:cs="Verdana" w:eastAsia="Verdana" w:hAnsi="Verdana"/>
          <w:sz w:val="24"/>
          <w:szCs w:val="24"/>
          <w:rtl w:val="0"/>
        </w:rPr>
        <w:t xml:space="preserve"> - кількість користувачів, що стали платити у відповідний період часу.</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New MRR</w:t>
      </w:r>
      <w:r w:rsidDel="00000000" w:rsidR="00000000" w:rsidRPr="00000000">
        <w:rPr>
          <w:rFonts w:ascii="Verdana" w:cs="Verdana" w:eastAsia="Verdana" w:hAnsi="Verdana"/>
          <w:sz w:val="24"/>
          <w:szCs w:val="24"/>
          <w:rtl w:val="0"/>
        </w:rPr>
        <w:t xml:space="preserve"> - це MRR згенерований користувачами, що стали платними у відповідний місяць.</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Churned Users</w:t>
      </w:r>
      <w:r w:rsidDel="00000000" w:rsidR="00000000" w:rsidRPr="00000000">
        <w:rPr>
          <w:rFonts w:ascii="Verdana" w:cs="Verdana" w:eastAsia="Verdana" w:hAnsi="Verdana"/>
          <w:sz w:val="24"/>
          <w:szCs w:val="24"/>
          <w:rtl w:val="0"/>
        </w:rPr>
        <w:t xml:space="preserve"> - кількість користувачів що припинили платити у відповідний період часу.</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Churn Rate</w:t>
      </w:r>
      <w:r w:rsidDel="00000000" w:rsidR="00000000" w:rsidRPr="00000000">
        <w:rPr>
          <w:rFonts w:ascii="Verdana" w:cs="Verdana" w:eastAsia="Verdana" w:hAnsi="Verdana"/>
          <w:sz w:val="24"/>
          <w:szCs w:val="24"/>
          <w:rtl w:val="0"/>
        </w:rPr>
        <w:t xml:space="preserve"> - це співвідношення Churned Users у цільовий період часу до Paid Users у попередній період. Наприклад, Churn Rate(June) = Churned Users(June) / Paid users(May)</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Churned revenue</w:t>
      </w:r>
      <w:r w:rsidDel="00000000" w:rsidR="00000000" w:rsidRPr="00000000">
        <w:rPr>
          <w:rFonts w:ascii="Verdana" w:cs="Verdana" w:eastAsia="Verdana" w:hAnsi="Verdana"/>
          <w:sz w:val="24"/>
          <w:szCs w:val="24"/>
          <w:rtl w:val="0"/>
        </w:rPr>
        <w:t xml:space="preserve"> - сумарний revenue за попередній період від усіх користувачів, що припинили платити.</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Revenue Churn rate</w:t>
      </w:r>
      <w:r w:rsidDel="00000000" w:rsidR="00000000" w:rsidRPr="00000000">
        <w:rPr>
          <w:rFonts w:ascii="Verdana" w:cs="Verdana" w:eastAsia="Verdana" w:hAnsi="Verdana"/>
          <w:sz w:val="24"/>
          <w:szCs w:val="24"/>
          <w:rtl w:val="0"/>
        </w:rPr>
        <w:t xml:space="preserve"> - це співвідношення revenue за попередній місяць від тих користувачів користувачів що не продовжили платити до revenue за певний календарний місяць. Наприклад, Revenue Churn Rate(June) = Churned Revenue (June) / MRR(May)</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Expansion MRR</w:t>
      </w:r>
      <w:r w:rsidDel="00000000" w:rsidR="00000000" w:rsidRPr="00000000">
        <w:rPr>
          <w:rFonts w:ascii="Verdana" w:cs="Verdana" w:eastAsia="Verdana" w:hAnsi="Verdana"/>
          <w:sz w:val="24"/>
          <w:szCs w:val="24"/>
          <w:rtl w:val="0"/>
        </w:rPr>
        <w:t xml:space="preserve"> - це сума, на яку збільшилася MRR від одного місяця до іншого. Рахується за користувачами, що стали платити більше в поточному місяці.</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Contraction MRR</w:t>
      </w:r>
      <w:r w:rsidDel="00000000" w:rsidR="00000000" w:rsidRPr="00000000">
        <w:rPr>
          <w:rFonts w:ascii="Verdana" w:cs="Verdana" w:eastAsia="Verdana" w:hAnsi="Verdana"/>
          <w:sz w:val="24"/>
          <w:szCs w:val="24"/>
          <w:rtl w:val="0"/>
        </w:rPr>
        <w:t xml:space="preserve"> - це сума, на яку зменшилася MRR від одного місяця до іншого. Рахується за користувачами, що стали платити менше в поточному місяці.</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Customer LifeTime (LT)</w:t>
      </w:r>
      <w:r w:rsidDel="00000000" w:rsidR="00000000" w:rsidRPr="00000000">
        <w:rPr>
          <w:rFonts w:ascii="Verdana" w:cs="Verdana" w:eastAsia="Verdana" w:hAnsi="Verdana"/>
          <w:sz w:val="24"/>
          <w:szCs w:val="24"/>
          <w:rtl w:val="0"/>
        </w:rPr>
        <w:t xml:space="preserve"> - це середня кількість часу від першої оплати до відвалу користувачів. Тобто весь час, котрий з продуктом залишається середньостатистичний користувач.</w:t>
      </w:r>
    </w:p>
    <w:p w:rsidR="00000000" w:rsidDel="00000000" w:rsidP="00000000" w:rsidRDefault="00000000" w:rsidRPr="00000000" w14:paraId="00000011">
      <w:pPr>
        <w:numPr>
          <w:ilvl w:val="0"/>
          <w:numId w:val="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Customer LifeTime Value (LTV)</w:t>
      </w:r>
      <w:r w:rsidDel="00000000" w:rsidR="00000000" w:rsidRPr="00000000">
        <w:rPr>
          <w:rFonts w:ascii="Verdana" w:cs="Verdana" w:eastAsia="Verdana" w:hAnsi="Verdana"/>
          <w:sz w:val="24"/>
          <w:szCs w:val="24"/>
          <w:rtl w:val="0"/>
        </w:rPr>
        <w:t xml:space="preserve"> - це середня загальна сума, котру один юзер сплачує за весь час користування продуктом. Тобто всі гроші, котрі сплачує компанії середньостатистичний користувач.</w:t>
      </w:r>
    </w:p>
    <w:p w:rsidR="00000000" w:rsidDel="00000000" w:rsidP="00000000" w:rsidRDefault="00000000" w:rsidRPr="00000000" w14:paraId="00000012">
      <w:pPr>
        <w:spacing w:after="240" w:before="240" w:lineRule="auto"/>
        <w:ind w:left="600" w:right="60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Важливо</w:t>
      </w:r>
      <w:r w:rsidDel="00000000" w:rsidR="00000000" w:rsidRPr="00000000">
        <w:rPr>
          <w:rFonts w:ascii="Verdana" w:cs="Verdana" w:eastAsia="Verdana" w:hAnsi="Verdana"/>
          <w:sz w:val="24"/>
          <w:szCs w:val="24"/>
          <w:rtl w:val="0"/>
        </w:rPr>
        <w:t xml:space="preserve"> </w:t>
        <w:br w:type="textWrapping"/>
        <w:t xml:space="preserve">Більш детально ці метрики описані в </w:t>
      </w:r>
      <w:r w:rsidDel="00000000" w:rsidR="00000000" w:rsidRPr="00000000">
        <w:rPr>
          <w:rFonts w:ascii="Verdana" w:cs="Verdana" w:eastAsia="Verdana" w:hAnsi="Verdana"/>
          <w:b w:val="1"/>
          <w:sz w:val="24"/>
          <w:szCs w:val="24"/>
          <w:rtl w:val="0"/>
        </w:rPr>
        <w:t xml:space="preserve">Темі 2</w:t>
      </w:r>
      <w:r w:rsidDel="00000000" w:rsidR="00000000" w:rsidRPr="00000000">
        <w:rPr>
          <w:rFonts w:ascii="Verdana" w:cs="Verdana" w:eastAsia="Verdana" w:hAnsi="Verdana"/>
          <w:sz w:val="24"/>
          <w:szCs w:val="24"/>
          <w:rtl w:val="0"/>
        </w:rPr>
        <w:t xml:space="preserve"> в </w:t>
      </w:r>
      <w:r w:rsidDel="00000000" w:rsidR="00000000" w:rsidRPr="00000000">
        <w:rPr>
          <w:rFonts w:ascii="Verdana" w:cs="Verdana" w:eastAsia="Verdana" w:hAnsi="Verdana"/>
          <w:b w:val="1"/>
          <w:sz w:val="24"/>
          <w:szCs w:val="24"/>
          <w:rtl w:val="0"/>
        </w:rPr>
        <w:t xml:space="preserve">Навчальному блоку 3</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13">
      <w:pPr>
        <w:spacing w:after="240" w:befor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Дашборд має:</w:t>
      </w:r>
    </w:p>
    <w:p w:rsidR="00000000" w:rsidDel="00000000" w:rsidP="00000000" w:rsidRDefault="00000000" w:rsidRPr="00000000" w14:paraId="00000014">
      <w:pPr>
        <w:numPr>
          <w:ilvl w:val="0"/>
          <w:numId w:val="3"/>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складатися з, принаймні, </w:t>
      </w:r>
      <w:r w:rsidDel="00000000" w:rsidR="00000000" w:rsidRPr="00000000">
        <w:rPr>
          <w:rFonts w:ascii="Verdana" w:cs="Verdana" w:eastAsia="Verdana" w:hAnsi="Verdana"/>
          <w:b w:val="1"/>
          <w:sz w:val="24"/>
          <w:szCs w:val="24"/>
          <w:rtl w:val="0"/>
        </w:rPr>
        <w:t xml:space="preserve">пʼяти діаграм</w:t>
      </w: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015">
      <w:pPr>
        <w:numPr>
          <w:ilvl w:val="0"/>
          <w:numId w:val="3"/>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включати </w:t>
      </w:r>
      <w:r w:rsidDel="00000000" w:rsidR="00000000" w:rsidRPr="00000000">
        <w:rPr>
          <w:rFonts w:ascii="Verdana" w:cs="Verdana" w:eastAsia="Verdana" w:hAnsi="Verdana"/>
          <w:b w:val="1"/>
          <w:sz w:val="24"/>
          <w:szCs w:val="24"/>
          <w:rtl w:val="0"/>
        </w:rPr>
        <w:t xml:space="preserve">фільтри</w:t>
      </w:r>
      <w:r w:rsidDel="00000000" w:rsidR="00000000" w:rsidRPr="00000000">
        <w:rPr>
          <w:rFonts w:ascii="Verdana" w:cs="Verdana" w:eastAsia="Verdana" w:hAnsi="Verdana"/>
          <w:sz w:val="24"/>
          <w:szCs w:val="24"/>
          <w:rtl w:val="0"/>
        </w:rPr>
        <w:t xml:space="preserve"> за датою, мовою користувача та віком користувача.</w:t>
      </w:r>
    </w:p>
    <w:p w:rsidR="00000000" w:rsidDel="00000000" w:rsidP="00000000" w:rsidRDefault="00000000" w:rsidRPr="00000000" w14:paraId="00000016">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Серед діаграм на графіку обовʼязково мають бути, принаймні, дві, що показують фактори зміни revenue та paid users від місяця до місяця.</w:t>
      </w:r>
    </w:p>
    <w:p w:rsidR="00000000" w:rsidDel="00000000" w:rsidP="00000000" w:rsidRDefault="00000000" w:rsidRPr="00000000" w14:paraId="00000017">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Наприклад:</w:t>
      </w:r>
    </w:p>
    <w:p w:rsidR="00000000" w:rsidDel="00000000" w:rsidP="00000000" w:rsidRDefault="00000000" w:rsidRPr="00000000" w14:paraId="00000018">
      <w:pPr>
        <w:spacing w:after="240" w:before="240" w:lineRule="auto"/>
        <w:rPr>
          <w:rFonts w:ascii="Verdana" w:cs="Verdana" w:eastAsia="Verdana" w:hAnsi="Verdana"/>
          <w:color w:val="1155cc"/>
          <w:sz w:val="24"/>
          <w:szCs w:val="24"/>
          <w:u w:val="single"/>
        </w:rPr>
      </w:pPr>
      <w:hyperlink r:id="rId6">
        <w:r w:rsidDel="00000000" w:rsidR="00000000" w:rsidRPr="00000000">
          <w:rPr>
            <w:rFonts w:ascii="Verdana" w:cs="Verdana" w:eastAsia="Verdana" w:hAnsi="Verdana"/>
            <w:color w:val="1155cc"/>
            <w:sz w:val="24"/>
            <w:szCs w:val="24"/>
            <w:u w:val="single"/>
            <w:rtl w:val="0"/>
          </w:rPr>
          <w:t xml:space="preserve">https://lh5.googleusercontent.com/XfD64_NDhb_YW2t3WHl6u4EXsLOfvJAy_bKTdusCsiGotDlNaCrKgrzy_U1oROR2h--if2y-Qf-XsDxQ0ChhiCXE4J9o7FQ3rfc8jEn0CPJfsa7FZAzngrFn9371zEpM7zKnl8fvbW8CqS3AeClzCkY</w:t>
        </w:r>
      </w:hyperlink>
      <w:r w:rsidDel="00000000" w:rsidR="00000000" w:rsidRPr="00000000">
        <w:rPr>
          <w:rtl w:val="0"/>
        </w:rPr>
      </w:r>
    </w:p>
    <w:p w:rsidR="00000000" w:rsidDel="00000000" w:rsidP="00000000" w:rsidRDefault="00000000" w:rsidRPr="00000000" w14:paraId="00000019">
      <w:pPr>
        <w:spacing w:after="240" w:before="240" w:lineRule="auto"/>
        <w:rPr>
          <w:rFonts w:ascii="Verdana" w:cs="Verdana" w:eastAsia="Verdana" w:hAnsi="Verdana"/>
          <w:color w:val="1155cc"/>
          <w:sz w:val="24"/>
          <w:szCs w:val="24"/>
          <w:u w:val="single"/>
        </w:rPr>
      </w:pPr>
      <w:hyperlink r:id="rId7">
        <w:r w:rsidDel="00000000" w:rsidR="00000000" w:rsidRPr="00000000">
          <w:rPr>
            <w:rFonts w:ascii="Verdana" w:cs="Verdana" w:eastAsia="Verdana" w:hAnsi="Verdana"/>
            <w:color w:val="1155cc"/>
            <w:sz w:val="24"/>
            <w:szCs w:val="24"/>
            <w:u w:val="single"/>
            <w:rtl w:val="0"/>
          </w:rPr>
          <w:t xml:space="preserve">https://lh5.googleusercontent.com/z277AK72n7ZJxx2wNAfKb3uz8X3HLltLD2_q28lPn8k0BWJDvVwuuYKvVHKrgi3dGOBLq7WecrYr626o2PMq-qQ656itOFVsrswFjwNC0Tw-df_JQmk0SOCJfRfQE3X-38rmjM1l8iSvnyXQODqoQnI</w:t>
        </w:r>
      </w:hyperlink>
      <w:r w:rsidDel="00000000" w:rsidR="00000000" w:rsidRPr="00000000">
        <w:rPr>
          <w:rtl w:val="0"/>
        </w:rPr>
      </w:r>
    </w:p>
    <w:p w:rsidR="00000000" w:rsidDel="00000000" w:rsidP="00000000" w:rsidRDefault="00000000" w:rsidRPr="00000000" w14:paraId="0000001A">
      <w:pPr>
        <w:spacing w:after="240" w:before="240" w:lineRule="auto"/>
        <w:ind w:left="600" w:right="600" w:firstLine="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Важливо</w:t>
      </w:r>
      <w:r w:rsidDel="00000000" w:rsidR="00000000" w:rsidRPr="00000000">
        <w:rPr>
          <w:rFonts w:ascii="Verdana" w:cs="Verdana" w:eastAsia="Verdana" w:hAnsi="Verdana"/>
          <w:sz w:val="24"/>
          <w:szCs w:val="24"/>
          <w:rtl w:val="0"/>
        </w:rPr>
        <w:t xml:space="preserve"> </w:t>
        <w:br w:type="textWrapping"/>
        <w:t xml:space="preserve">Тобi не обовʼязково робити таку саму діаграму, як і на зображення. Ти можеш обрати спосіб візуалізації, але головне - наглядно показати, за рахунок чого змінюється revenue та paid users від місяця до місяця.</w:t>
      </w:r>
    </w:p>
    <w:p w:rsidR="00000000" w:rsidDel="00000000" w:rsidP="00000000" w:rsidRDefault="00000000" w:rsidRPr="00000000" w14:paraId="0000001B">
      <w:pPr>
        <w:spacing w:after="240" w:before="240" w:lineRule="auto"/>
        <w:rPr>
          <w:rFonts w:ascii="Verdana" w:cs="Verdana" w:eastAsia="Verdana" w:hAnsi="Verdana"/>
          <w:sz w:val="24"/>
          <w:szCs w:val="24"/>
          <w:shd w:fill="d9ead3" w:val="clear"/>
        </w:rPr>
      </w:pPr>
      <w:r w:rsidDel="00000000" w:rsidR="00000000" w:rsidRPr="00000000">
        <w:rPr>
          <w:rFonts w:ascii="Verdana" w:cs="Verdana" w:eastAsia="Verdana" w:hAnsi="Verdana"/>
          <w:sz w:val="24"/>
          <w:szCs w:val="24"/>
          <w:rtl w:val="0"/>
        </w:rPr>
        <w:t xml:space="preserve">Для візуалізації рекомендуємо використати Tableau. Ти самостійно визначаєш структуру дашборду та його оформлення. Але рекомендуємо керуватися принципами, що були розглянуті в темі “</w:t>
      </w:r>
      <w:r w:rsidDel="00000000" w:rsidR="00000000" w:rsidRPr="00000000">
        <w:rPr>
          <w:rFonts w:ascii="Verdana" w:cs="Verdana" w:eastAsia="Verdana" w:hAnsi="Verdana"/>
          <w:b w:val="1"/>
          <w:sz w:val="24"/>
          <w:szCs w:val="24"/>
          <w:rtl w:val="0"/>
        </w:rPr>
        <w:t xml:space="preserve">Принципи візуалізації та побудови дашбордів</w:t>
      </w:r>
      <w:r w:rsidDel="00000000" w:rsidR="00000000" w:rsidRPr="00000000">
        <w:rPr>
          <w:rFonts w:ascii="Verdana" w:cs="Verdana" w:eastAsia="Verdana" w:hAnsi="Verdana"/>
          <w:sz w:val="24"/>
          <w:szCs w:val="24"/>
          <w:rtl w:val="0"/>
        </w:rPr>
        <w:t xml:space="preserve">” в </w:t>
      </w:r>
      <w:r w:rsidDel="00000000" w:rsidR="00000000" w:rsidRPr="00000000">
        <w:rPr>
          <w:rFonts w:ascii="Verdana" w:cs="Verdana" w:eastAsia="Verdana" w:hAnsi="Verdana"/>
          <w:b w:val="1"/>
          <w:sz w:val="24"/>
          <w:szCs w:val="24"/>
          <w:rtl w:val="0"/>
        </w:rPr>
        <w:t xml:space="preserve">Навчальному блоці 3</w:t>
      </w:r>
      <w:r w:rsidDel="00000000" w:rsidR="00000000" w:rsidRPr="00000000">
        <w:rPr>
          <w:rFonts w:ascii="Verdana" w:cs="Verdana" w:eastAsia="Verdana" w:hAnsi="Verdana"/>
          <w:sz w:val="24"/>
          <w:szCs w:val="24"/>
          <w:rtl w:val="0"/>
        </w:rPr>
        <w:t xml:space="preserve">.</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0" w:firstLine="0"/>
        <w:rPr>
          <w:rFonts w:ascii="Verdana" w:cs="Verdana" w:eastAsia="Verdana" w:hAnsi="Verdana"/>
          <w:b w:val="1"/>
          <w:color w:val="000000"/>
          <w:sz w:val="26"/>
          <w:szCs w:val="26"/>
        </w:rPr>
      </w:pPr>
      <w:bookmarkStart w:colFirst="0" w:colLast="0" w:name="_gcxdeqqhe7i3" w:id="2"/>
      <w:bookmarkEnd w:id="2"/>
      <w:r w:rsidDel="00000000" w:rsidR="00000000" w:rsidRPr="00000000">
        <w:rPr>
          <w:rFonts w:ascii="Verdana" w:cs="Verdana" w:eastAsia="Verdana" w:hAnsi="Verdana"/>
          <w:b w:val="1"/>
          <w:color w:val="000000"/>
          <w:sz w:val="26"/>
          <w:szCs w:val="26"/>
          <w:rtl w:val="0"/>
        </w:rPr>
        <w:t xml:space="preserve">Формат здачі проєкту 2</w:t>
      </w:r>
    </w:p>
    <w:p w:rsidR="00000000" w:rsidDel="00000000" w:rsidP="00000000" w:rsidRDefault="00000000" w:rsidRPr="00000000" w14:paraId="0000001D">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Виконана задача має складатися з двох частин:</w:t>
      </w:r>
    </w:p>
    <w:p w:rsidR="00000000" w:rsidDel="00000000" w:rsidP="00000000" w:rsidRDefault="00000000" w:rsidRPr="00000000" w14:paraId="0000001E">
      <w:pPr>
        <w:numPr>
          <w:ilvl w:val="0"/>
          <w:numId w:val="2"/>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Запит в SQL</w:t>
      </w:r>
      <w:r w:rsidDel="00000000" w:rsidR="00000000" w:rsidRPr="00000000">
        <w:rPr>
          <w:rFonts w:ascii="Verdana" w:cs="Verdana" w:eastAsia="Verdana" w:hAnsi="Verdana"/>
          <w:sz w:val="24"/>
          <w:szCs w:val="24"/>
          <w:rtl w:val="0"/>
        </w:rPr>
        <w:t xml:space="preserve"> Збережи запит у вигляді .sql файлу та завантаж його у форму здачі цього завдання.</w:t>
      </w:r>
    </w:p>
    <w:p w:rsidR="00000000" w:rsidDel="00000000" w:rsidP="00000000" w:rsidRDefault="00000000" w:rsidRPr="00000000" w14:paraId="0000001F">
      <w:pPr>
        <w:numPr>
          <w:ilvl w:val="0"/>
          <w:numId w:val="2"/>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Дашборд в Tableau Public</w:t>
      </w:r>
      <w:r w:rsidDel="00000000" w:rsidR="00000000" w:rsidRPr="00000000">
        <w:rPr>
          <w:rFonts w:ascii="Verdana" w:cs="Verdana" w:eastAsia="Verdana" w:hAnsi="Verdana"/>
          <w:sz w:val="24"/>
          <w:szCs w:val="24"/>
          <w:rtl w:val="0"/>
        </w:rPr>
        <w:t xml:space="preserve"> Посилання на звіт встав у текстове поле для здачі домашньої роботи.</w:t>
      </w:r>
    </w:p>
    <w:p w:rsidR="00000000" w:rsidDel="00000000" w:rsidP="00000000" w:rsidRDefault="00000000" w:rsidRPr="00000000" w14:paraId="00000020">
      <w:pPr>
        <w:pStyle w:val="Heading3"/>
        <w:keepNext w:val="0"/>
        <w:keepLines w:val="0"/>
        <w:spacing w:before="280" w:lineRule="auto"/>
        <w:ind w:left="0" w:firstLine="0"/>
        <w:rPr>
          <w:rFonts w:ascii="Verdana" w:cs="Verdana" w:eastAsia="Verdana" w:hAnsi="Verdana"/>
          <w:b w:val="1"/>
          <w:color w:val="000000"/>
          <w:sz w:val="26"/>
          <w:szCs w:val="26"/>
        </w:rPr>
      </w:pPr>
      <w:bookmarkStart w:colFirst="0" w:colLast="0" w:name="_yvp5w13hej9m" w:id="3"/>
      <w:bookmarkEnd w:id="3"/>
      <w:r w:rsidDel="00000000" w:rsidR="00000000" w:rsidRPr="00000000">
        <w:rPr>
          <w:rFonts w:ascii="Verdana" w:cs="Verdana" w:eastAsia="Verdana" w:hAnsi="Verdana"/>
          <w:b w:val="1"/>
          <w:color w:val="000000"/>
          <w:sz w:val="26"/>
          <w:szCs w:val="26"/>
          <w:rtl w:val="0"/>
        </w:rPr>
        <w:t xml:space="preserve">Технічні критерії прийому проєкту 2</w:t>
      </w:r>
    </w:p>
    <w:p w:rsidR="00000000" w:rsidDel="00000000" w:rsidP="00000000" w:rsidRDefault="00000000" w:rsidRPr="00000000" w14:paraId="00000021">
      <w:pPr>
        <w:numPr>
          <w:ilvl w:val="0"/>
          <w:numId w:val="4"/>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Створено дашборд в Tableau Public.</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Дашборд доступний усім користувачам в Інтернеті.</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Дашборд містить дані, що отримані через написання запиту до таблиць в схемі “project” в БД, до якої тобі надав доступ ментор.</w:t>
      </w:r>
    </w:p>
    <w:p w:rsidR="00000000" w:rsidDel="00000000" w:rsidP="00000000" w:rsidRDefault="00000000" w:rsidRPr="00000000" w14:paraId="00000024">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Дашборд містить, принаймні, десять з пе</w:t>
        <w:tab/>
        <w:t xml:space="preserve">релічених показників: Monthly Recurring Revenue (MRR), Paid Users, Average Revenue Per Paid User (ARPPU), New Paid Users, New MRR, Churned Users, Churn Rate, Churned revenue, Revenue Churn rate, Expansion MRR, Contraction MRR, Customer LifeTime (LT), Customer LifeTime Value (LTV).</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Дашборд містить фільтри за датою, мовою користувача та віком користувача.</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Дашборд містить, принаймні, пʼять діаграм.</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Дашборд містить дві діаграми, що показують фактори зміни revenue та paid users від місяця до місяця.</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Візуальне оформлення дашборду відповідає принципам, описаним в домашньому завданні до теми 6 “Принципи візуалізації та побудови дашбордів” в навчальному блоці 3:</w:t>
      </w:r>
    </w:p>
    <w:p w:rsidR="00000000" w:rsidDel="00000000" w:rsidP="00000000" w:rsidRDefault="00000000" w:rsidRPr="00000000" w14:paraId="00000029">
      <w:pPr>
        <w:numPr>
          <w:ilvl w:val="1"/>
          <w:numId w:val="4"/>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Принцип 5 секунд;</w:t>
      </w:r>
    </w:p>
    <w:p w:rsidR="00000000" w:rsidDel="00000000" w:rsidP="00000000" w:rsidRDefault="00000000" w:rsidRPr="00000000" w14:paraId="0000002A">
      <w:pPr>
        <w:numPr>
          <w:ilvl w:val="1"/>
          <w:numId w:val="4"/>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Розташування важливої інформації;</w:t>
      </w:r>
    </w:p>
    <w:p w:rsidR="00000000" w:rsidDel="00000000" w:rsidP="00000000" w:rsidRDefault="00000000" w:rsidRPr="00000000" w14:paraId="0000002B">
      <w:pPr>
        <w:numPr>
          <w:ilvl w:val="1"/>
          <w:numId w:val="4"/>
        </w:numPr>
        <w:spacing w:after="0" w:afterAutospacing="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Позначення метрик та підписи;</w:t>
      </w:r>
    </w:p>
    <w:p w:rsidR="00000000" w:rsidDel="00000000" w:rsidP="00000000" w:rsidRDefault="00000000" w:rsidRPr="00000000" w14:paraId="0000002C">
      <w:pPr>
        <w:numPr>
          <w:ilvl w:val="1"/>
          <w:numId w:val="4"/>
        </w:numPr>
        <w:spacing w:after="240" w:before="0" w:beforeAutospacing="0" w:lineRule="auto"/>
        <w:ind w:left="144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Використання кольорової схеми.</w:t>
      </w:r>
    </w:p>
    <w:p w:rsidR="00000000" w:rsidDel="00000000" w:rsidP="00000000" w:rsidRDefault="00000000" w:rsidRPr="00000000" w14:paraId="0000002D">
      <w:pPr>
        <w:spacing w:after="240" w:before="240" w:lineRule="auto"/>
        <w:ind w:left="1440" w:firstLine="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E">
      <w:pPr>
        <w:spacing w:line="276" w:lineRule="auto"/>
        <w:jc w:val="both"/>
        <w:rPr>
          <w:rFonts w:ascii="Verdana" w:cs="Verdana" w:eastAsia="Verdana" w:hAnsi="Verdana"/>
          <w:sz w:val="24"/>
          <w:szCs w:val="24"/>
        </w:rPr>
      </w:pPr>
      <w:r w:rsidDel="00000000" w:rsidR="00000000" w:rsidRPr="00000000">
        <w:rPr>
          <w:rtl w:val="0"/>
        </w:rPr>
      </w:r>
    </w:p>
    <w:sectPr>
      <w:pgSz w:h="16834" w:w="11909" w:orient="portrait"/>
      <w:pgMar w:bottom="1090.0393700787413" w:top="1440" w:left="1440"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h5.googleusercontent.com/XfD64_NDhb_YW2t3WHl6u4EXsLOfvJAy_bKTdusCsiGotDlNaCrKgrzy_U1oROR2h--if2y-Qf-XsDxQ0ChhiCXE4J9o7FQ3rfc8jEn0CPJfsa7FZAzngrFn9371zEpM7zKnl8fvbW8CqS3AeClzCkY" TargetMode="External"/><Relationship Id="rId7" Type="http://schemas.openxmlformats.org/officeDocument/2006/relationships/hyperlink" Target="https://lh5.googleusercontent.com/z277AK72n7ZJxx2wNAfKb3uz8X3HLltLD2_q28lPn8k0BWJDvVwuuYKvVHKrgi3dGOBLq7WecrYr626o2PMq-qQ656itOFVsrswFjwNC0Tw-df_JQmk0SOCJfRfQE3X-38rmjM1l8iSvnyXQODqoQ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