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Processed Text Schema and Text Processing Pipeline</w:t>
      </w:r>
    </w:p>
    <w:p>
      <w:pPr>
        <w:spacing w:after="80"/>
      </w:pPr>
      <w:r>
        <w:rPr>
          <w:color w:val="595959"/>
          <w:sz w:val="22"/>
        </w:rPr>
        <w:t>Updated technical reference for document ingestion, chunk processing, Chroma storage, and KG seeding. Current baseline aligned with the implemented RCA workflow and schema set.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B"/>
            <w:vAlign w:val="center"/>
          </w:tcPr>
          <w:p>
            <w:pPr>
              <w:spacing w:after="40"/>
              <w:ind w:left="216"/>
            </w:pPr>
            <w:r>
              <w:t>• One ProcessedTextRecord is created per document chunk and is the authoritative bridge between raw documents, Chroma retrieval, and KG enrichment.</w:t>
            </w:r>
          </w:p>
          <w:p>
            <w:pPr>
              <w:spacing w:after="40"/>
              <w:ind w:left="216"/>
            </w:pPr>
            <w:r>
              <w:t>• embedding_text is a normalized retrieval surface, not raw text, so semantically equivalent aliases collapse into the same vector neighborhood.</w:t>
            </w:r>
          </w:p>
          <w:p>
            <w:pPr>
              <w:spacing w:after="40"/>
              <w:ind w:left="216"/>
            </w:pPr>
            <w:r>
              <w:t>• The output must remain usable both as a Chroma document/metadata record and as a structured source for downstream RCA reasoning.</w:t>
            </w:r>
          </w:p>
        </w:tc>
      </w:tr>
    </w:tbl>
    <w:p>
      <w:pPr>
        <w:spacing w:after="80"/>
      </w:pPr>
    </w:p>
    <w:p>
      <w:pPr>
        <w:pStyle w:val="Heading1"/>
      </w:pPr>
      <w:r>
        <w:t>1. Purpose and design intent</w:t>
      </w:r>
    </w:p>
    <w:p>
      <w:pPr>
        <w:spacing w:after="80"/>
      </w:pPr>
      <w:r>
        <w:t>This reference describes the document-processing pipeline that converts CR, WO, SOP, ECA, and related plant documents into structured ProcessedTextRecord objects. Those records serve three roles at the same time: they feed Chroma for semantic retrieval, provide structured metadata for hard filtering, and expose normalized entities/causal statements that can be promoted into the knowledge graph.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04"/>
            <w:shd w:fill="D9E2F3"/>
            <w:vAlign w:val="center"/>
          </w:tcPr>
          <w:p>
            <w:r>
              <w:rPr>
                <w:b/>
                <w:sz w:val="19"/>
              </w:rPr>
              <w:t>Design decision</w:t>
            </w:r>
          </w:p>
        </w:tc>
        <w:tc>
          <w:tcPr>
            <w:tcW w:type="dxa" w:w="3672"/>
            <w:shd w:fill="D9E2F3"/>
            <w:vAlign w:val="center"/>
          </w:tcPr>
          <w:p>
            <w:r>
              <w:rPr>
                <w:b/>
                <w:sz w:val="19"/>
              </w:rPr>
              <w:t>Rationale</w:t>
            </w:r>
          </w:p>
        </w:tc>
        <w:tc>
          <w:tcPr>
            <w:tcW w:type="dxa" w:w="3384"/>
            <w:shd w:fill="D9E2F3"/>
            <w:vAlign w:val="center"/>
          </w:tcPr>
          <w:p>
            <w:r>
              <w:rPr>
                <w:b/>
                <w:sz w:val="19"/>
              </w:rPr>
              <w:t>Implementation consequence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Constructed embedding_text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9"/>
              </w:rPr>
              <w:t>Avoids alias drift, unresolved references, and noisy raw prose in vector search.</w:t>
            </w:r>
          </w:p>
        </w:tc>
        <w:tc>
          <w:tcPr>
            <w:tcW w:type="dxa" w:w="3384"/>
            <w:vAlign w:val="center"/>
          </w:tcPr>
          <w:p>
            <w:r>
              <w:rPr>
                <w:sz w:val="19"/>
              </w:rPr>
              <w:t>Embed canonical labels, normalized failure-mode names, causal spans, and key measurements.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Typed metadata block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9"/>
              </w:rPr>
              <w:t>Supports deterministic Chroma pre-filters before semantic ranking.</w:t>
            </w:r>
          </w:p>
        </w:tc>
        <w:tc>
          <w:tcPr>
            <w:tcW w:type="dxa" w:w="3384"/>
            <w:vAlign w:val="center"/>
          </w:tcPr>
          <w:p>
            <w:r>
              <w:rPr>
                <w:sz w:val="19"/>
              </w:rPr>
              <w:t>Asset, component, document type, authority, extraction quality, and lifecycle state remain first-class fields.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Structured extracted_entities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9"/>
              </w:rPr>
              <w:t>One NLP pass should feed both vector search and KG enrichment.</w:t>
            </w:r>
          </w:p>
        </w:tc>
        <w:tc>
          <w:tcPr>
            <w:tcW w:type="dxa" w:w="3384"/>
            <w:vAlign w:val="center"/>
          </w:tcPr>
          <w:p>
            <w:r>
              <w:rPr>
                <w:sz w:val="19"/>
              </w:rPr>
              <w:t>Resolved entities become Chroma metadata and also drive node/edge creation or merge logic.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Causal statement extraction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9"/>
              </w:rPr>
              <w:t>Historical text should seed the same reasoning space used later by event RCA.</w:t>
            </w:r>
          </w:p>
        </w:tc>
        <w:tc>
          <w:tcPr>
            <w:tcW w:type="dxa" w:w="3384"/>
            <w:vAlign w:val="center"/>
          </w:tcPr>
          <w:p>
            <w:r>
              <w:rPr>
                <w:sz w:val="19"/>
              </w:rPr>
              <w:t>Textual cause/effect statements become retrieval features and can bootstrap TSKR and historical event linkage.</w:t>
            </w:r>
          </w:p>
        </w:tc>
      </w:tr>
    </w:tbl>
    <w:p>
      <w:pPr>
        <w:spacing w:after="80"/>
      </w:pPr>
    </w:p>
    <w:p>
      <w:pPr>
        <w:pStyle w:val="Heading1"/>
      </w:pPr>
      <w:r>
        <w:t>2. Canonical processed text record</w:t>
      </w:r>
    </w:p>
    <w:p>
      <w:pPr>
        <w:spacing w:after="80"/>
      </w:pPr>
      <w:r>
        <w:t>The current implementation should be treated as producing a record with the logical sections below. Exact field names live in processed_text_record.json, but the contract is intentionally organized around these responsibilities: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944"/>
            <w:shd w:fill="D9E2F3"/>
            <w:vAlign w:val="center"/>
          </w:tcPr>
          <w:p>
            <w:r>
              <w:rPr>
                <w:b/>
                <w:sz w:val="19"/>
              </w:rPr>
              <w:t>Section</w:t>
            </w:r>
          </w:p>
        </w:tc>
        <w:tc>
          <w:tcPr>
            <w:tcW w:type="dxa" w:w="4752"/>
            <w:shd w:fill="D9E2F3"/>
            <w:vAlign w:val="center"/>
          </w:tcPr>
          <w:p>
            <w:r>
              <w:rPr>
                <w:b/>
                <w:sz w:val="19"/>
              </w:rPr>
              <w:t>Required contents</w:t>
            </w:r>
          </w:p>
        </w:tc>
        <w:tc>
          <w:tcPr>
            <w:tcW w:type="dxa" w:w="2808"/>
            <w:shd w:fill="D9E2F3"/>
            <w:vAlign w:val="center"/>
          </w:tcPr>
          <w:p>
            <w:r>
              <w:rPr>
                <w:b/>
                <w:sz w:val="19"/>
              </w:rPr>
              <w:t>Used by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9"/>
              </w:rPr>
              <w:t>record identity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9"/>
              </w:rPr>
              <w:t>record_id, doc_id, chunk_index, source_hash, provenance</w:t>
            </w:r>
          </w:p>
        </w:tc>
        <w:tc>
          <w:tcPr>
            <w:tcW w:type="dxa" w:w="2808"/>
            <w:vAlign w:val="center"/>
          </w:tcPr>
          <w:p>
            <w:r>
              <w:rPr>
                <w:sz w:val="19"/>
              </w:rPr>
              <w:t>Traceability, incremental reprocessing, deduplication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9"/>
              </w:rPr>
              <w:t>embedding_text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9"/>
              </w:rPr>
              <w:t>Normalized retrieval string built from canonical labels and selected semantic spans</w:t>
            </w:r>
          </w:p>
        </w:tc>
        <w:tc>
          <w:tcPr>
            <w:tcW w:type="dxa" w:w="2808"/>
            <w:vAlign w:val="center"/>
          </w:tcPr>
          <w:p>
            <w:r>
              <w:rPr>
                <w:sz w:val="19"/>
              </w:rPr>
              <w:t>Chroma embedding + returned document text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9"/>
              </w:rPr>
              <w:t>metadata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9"/>
              </w:rPr>
              <w:t>doc_type, authority, status, asset/component/FM IDs, extraction quality, flags, section path</w:t>
            </w:r>
          </w:p>
        </w:tc>
        <w:tc>
          <w:tcPr>
            <w:tcW w:type="dxa" w:w="2808"/>
            <w:vAlign w:val="center"/>
          </w:tcPr>
          <w:p>
            <w:r>
              <w:rPr>
                <w:sz w:val="19"/>
              </w:rPr>
              <w:t>Chroma metadata filtering, UI display, analytics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9"/>
              </w:rPr>
              <w:t>extracted_entities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9"/>
              </w:rPr>
              <w:t>assets, components, failure modes, degradation phenomena, measurements, actions, temporal markers</w:t>
            </w:r>
          </w:p>
        </w:tc>
        <w:tc>
          <w:tcPr>
            <w:tcW w:type="dxa" w:w="2808"/>
            <w:vAlign w:val="center"/>
          </w:tcPr>
          <w:p>
            <w:r>
              <w:rPr>
                <w:sz w:val="19"/>
              </w:rPr>
              <w:t>KG creation, retrieval filters, RCA scoring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9"/>
              </w:rPr>
              <w:t>extracted_causal_statements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9"/>
              </w:rPr>
              <w:t>cause span, effect span, connectors, confidence, optional FM resolution</w:t>
            </w:r>
          </w:p>
        </w:tc>
        <w:tc>
          <w:tcPr>
            <w:tcW w:type="dxa" w:w="2808"/>
            <w:vAlign w:val="center"/>
          </w:tcPr>
          <w:p>
            <w:r>
              <w:rPr>
                <w:sz w:val="19"/>
              </w:rPr>
              <w:t>Historical cause mining, reasoning seeding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9"/>
              </w:rPr>
              <w:t>raw_text_ref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9"/>
              </w:rPr>
              <w:t>Pointer to original source and chunk span, not raw-text duplication</w:t>
            </w:r>
          </w:p>
        </w:tc>
        <w:tc>
          <w:tcPr>
            <w:tcW w:type="dxa" w:w="2808"/>
            <w:vAlign w:val="center"/>
          </w:tcPr>
          <w:p>
            <w:r>
              <w:rPr>
                <w:sz w:val="19"/>
              </w:rPr>
              <w:t>Audit and re-open original material</w:t>
            </w:r>
          </w:p>
        </w:tc>
      </w:tr>
    </w:tbl>
    <w:p>
      <w:pPr>
        <w:spacing w:after="80"/>
      </w:pPr>
    </w:p>
    <w:p>
      <w:pPr>
        <w:pStyle w:val="Heading2"/>
      </w:pPr>
      <w:r>
        <w:t>Illustrative normalized embedding_text construction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7F7"/>
          </w:tcPr>
          <w:p>
            <w:r>
              <w:rPr>
                <w:rFonts w:ascii="Courier New" w:hAnsi="Courier New"/>
                <w:sz w:val="17"/>
              </w:rPr>
              <w:t>[asset labels] + [component labels] + [failure-mode labels] + [degradation categories] + [cause -&gt; effect text spans] + [key measurements with units/in_spec] + [maintenance actions] + [doc_type|authority tags]</w:t>
            </w:r>
          </w:p>
        </w:tc>
      </w:tr>
    </w:tbl>
    <w:p>
      <w:pPr>
        <w:spacing w:after="80"/>
      </w:pPr>
    </w:p>
    <w:p>
      <w:pPr>
        <w:pStyle w:val="Heading1"/>
      </w:pPr>
      <w:r>
        <w:t>3. Pipeline stages</w:t>
      </w:r>
    </w:p>
    <w:p>
      <w:pPr>
        <w:pStyle w:val="Heading2"/>
      </w:pPr>
      <w:r>
        <w:t>Stage 1 — Ingestion and format normalization</w:t>
      </w:r>
    </w:p>
    <w:p>
      <w:pPr>
        <w:spacing w:after="80"/>
      </w:pPr>
      <w:r>
        <w:t>Convert PDF, DOCX, CMMS exports, or plain text into a clean text representation with page, section, table, and extraction-quality annotations. OCR should be explicit, not hidden. Low-confidence pages must be flagged so later stages can down-weight or reject them.</w:t>
      </w:r>
    </w:p>
    <w:p>
      <w:pPr>
        <w:pStyle w:val="Heading2"/>
      </w:pPr>
      <w:r>
        <w:t>Stage 2 — Structure parsing and chunking</w:t>
      </w:r>
    </w:p>
    <w:p>
      <w:pPr>
        <w:spacing w:after="80"/>
      </w:pPr>
      <w:r>
        <w:t>Apply document-type-aware chunking. CR and ECA narratives should break by semantic field; WO content should preserve as-found / work-performed / as-left separation; SOP content should chunk by procedure step or step group. Each chunk carries chunk_index, section_path, page span, and truncation flags.</w:t>
      </w:r>
    </w:p>
    <w:p>
      <w:pPr>
        <w:pStyle w:val="Heading2"/>
      </w:pPr>
      <w:r>
        <w:t>Stage 3 — Syntactic NLP</w:t>
      </w:r>
    </w:p>
    <w:p>
      <w:pPr>
        <w:spacing w:after="80"/>
      </w:pPr>
      <w:r>
        <w:t>Sentence segmentation, tokenization, POS tagging, dependency parsing, and coreference resolution are performed per chunk. This stage supplies the dependency backbone later used by entity extraction and causal-span extraction.</w:t>
      </w:r>
    </w:p>
    <w:p>
      <w:pPr>
        <w:pStyle w:val="Heading2"/>
      </w:pPr>
      <w:r>
        <w:t>Stage 4 — Semantic entity extraction</w:t>
      </w:r>
    </w:p>
    <w:p>
      <w:pPr>
        <w:spacing w:after="80"/>
      </w:pPr>
      <w:r>
        <w:t>Resolve plant assets/components against the MBSE registry, map failure modes to the FMEA taxonomy, normalize degradation phenomena, measurements, maintenance actions, and temporal markers. Resolved identifiers are retained separately from surface forms.</w:t>
      </w:r>
    </w:p>
    <w:p>
      <w:pPr>
        <w:pStyle w:val="Heading2"/>
      </w:pPr>
      <w:r>
        <w:t>Stage 5 — Causal and condition extraction</w:t>
      </w:r>
    </w:p>
    <w:p>
      <w:pPr>
        <w:spacing w:after="80"/>
      </w:pPr>
      <w:r>
        <w:t>Extract explicit causal claims, as-found / as-left condition states, and SOP deviation indicators. Confidence should combine parse confidence with entity-resolution confidence so low-quality text can be filtered or down-weighted.</w:t>
      </w:r>
    </w:p>
    <w:p>
      <w:pPr>
        <w:pStyle w:val="Heading2"/>
      </w:pPr>
      <w:r>
        <w:t>Stage 6 — Record assembly and storage</w:t>
      </w:r>
    </w:p>
    <w:p>
      <w:pPr>
        <w:spacing w:after="80"/>
      </w:pPr>
      <w:r>
        <w:t>Perform final entity resolution, build embedding_text, populate metadata, validate against schema, upsert to Chroma, and optionally emit KG merges/edges for resolved entities and high-confidence textual causal relations.</w:t>
      </w:r>
    </w:p>
    <w:p>
      <w:pPr>
        <w:pStyle w:val="Heading1"/>
      </w:pPr>
      <w:r>
        <w:t>4. Document-type-specific guidance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728"/>
            <w:shd w:fill="D9E2F3"/>
            <w:vAlign w:val="center"/>
          </w:tcPr>
          <w:p>
            <w:r>
              <w:rPr>
                <w:b/>
                <w:sz w:val="19"/>
              </w:rPr>
              <w:t>Document type</w:t>
            </w:r>
          </w:p>
        </w:tc>
        <w:tc>
          <w:tcPr>
            <w:tcW w:type="dxa" w:w="4320"/>
            <w:shd w:fill="D9E2F3"/>
            <w:vAlign w:val="center"/>
          </w:tcPr>
          <w:p>
            <w:r>
              <w:rPr>
                <w:b/>
                <w:sz w:val="19"/>
              </w:rPr>
              <w:t>Preferred chunk boundaries</w:t>
            </w:r>
          </w:p>
        </w:tc>
        <w:tc>
          <w:tcPr>
            <w:tcW w:type="dxa" w:w="3456"/>
            <w:shd w:fill="D9E2F3"/>
            <w:vAlign w:val="center"/>
          </w:tcPr>
          <w:p>
            <w:r>
              <w:rPr>
                <w:b/>
                <w:sz w:val="19"/>
              </w:rPr>
              <w:t>Most important outputs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9"/>
              </w:rPr>
              <w:t>CR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Description, immediate actions, cause statement, corrective actions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9"/>
              </w:rPr>
              <w:t>Cause statements, degradation phenomena, asset/component resolution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9"/>
              </w:rPr>
              <w:t>WO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Scope, as-found, work performed, as-left, parts replaced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9"/>
              </w:rPr>
              <w:t>Condition assessment, measurements, maintenance actions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9"/>
              </w:rPr>
              <w:t>SOP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Step or step-group boundaries, safety holds, preconditions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9"/>
              </w:rPr>
              <w:t>Procedural deviations, required actions, parameter expectations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9"/>
              </w:rPr>
              <w:t>ECA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Causal factors, evidence items, rationale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9"/>
              </w:rPr>
              <w:t>High-confidence causal spans and corroborating evidence</w:t>
            </w:r>
          </w:p>
        </w:tc>
      </w:tr>
    </w:tbl>
    <w:p>
      <w:pPr>
        <w:spacing w:after="80"/>
      </w:pPr>
    </w:p>
    <w:p>
      <w:pPr>
        <w:pStyle w:val="Heading1"/>
      </w:pPr>
      <w:r>
        <w:t>5. Chroma and KG integration</w:t>
      </w:r>
    </w:p>
    <w:p>
      <w:pPr>
        <w:spacing w:after="80"/>
      </w:pPr>
      <w:r>
        <w:t>The same processed-text record must satisfy both the vector store and graph workflows. To keep the contract stable, use the following split of responsibility: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944"/>
            <w:shd w:fill="D9E2F3"/>
            <w:vAlign w:val="center"/>
          </w:tcPr>
          <w:p>
            <w:r>
              <w:rPr>
                <w:b/>
                <w:sz w:val="19"/>
              </w:rPr>
              <w:t>Store / subsystem</w:t>
            </w:r>
          </w:p>
        </w:tc>
        <w:tc>
          <w:tcPr>
            <w:tcW w:type="dxa" w:w="3672"/>
            <w:shd w:fill="D9E2F3"/>
            <w:vAlign w:val="center"/>
          </w:tcPr>
          <w:p>
            <w:r>
              <w:rPr>
                <w:b/>
                <w:sz w:val="19"/>
              </w:rPr>
              <w:t>What is stored</w:t>
            </w:r>
          </w:p>
        </w:tc>
        <w:tc>
          <w:tcPr>
            <w:tcW w:type="dxa" w:w="3888"/>
            <w:shd w:fill="D9E2F3"/>
            <w:vAlign w:val="center"/>
          </w:tcPr>
          <w:p>
            <w:r>
              <w:rPr>
                <w:b/>
                <w:sz w:val="19"/>
              </w:rPr>
              <w:t>Why it matters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9"/>
              </w:rPr>
              <w:t>Chroma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9"/>
              </w:rPr>
              <w:t>embedding_text, record_id, typed metadata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9"/>
              </w:rPr>
              <w:t>Fast retrieval with semantic ranking plus deterministic filtering by asset, component, doc type, quality, and status.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9"/>
              </w:rPr>
              <w:t>Knowledge graph (Neo4j)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9"/>
              </w:rPr>
              <w:t>Resolved entities, entity-document relationships, optional textual-cause edges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9"/>
              </w:rPr>
              <w:t>Preserves structured system context and lets later RCA stages connect documents to equipment, failure modes, and historical evidence.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9"/>
              </w:rPr>
              <w:t>Raw source repository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9"/>
              </w:rPr>
              <w:t>Original document plus page/section references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9"/>
              </w:rPr>
              <w:t>Allows auditors and engineers to verify exact wording without polluting vector storage with raw text duplication.</w:t>
            </w:r>
          </w:p>
        </w:tc>
      </w:tr>
    </w:tbl>
    <w:p>
      <w:pPr>
        <w:spacing w:after="80"/>
      </w:pPr>
    </w:p>
    <w:p>
      <w:pPr>
        <w:pStyle w:val="Heading2"/>
      </w:pPr>
      <w:r>
        <w:t>Recommended KG merge policy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7F7"/>
          </w:tcPr>
          <w:p>
            <w:r>
              <w:rPr>
                <w:rFonts w:ascii="Courier New" w:hAnsi="Courier New"/>
                <w:sz w:val="17"/>
              </w:rPr>
              <w:t>MERGE (:Document {doc_id})</w:t>
              <w:br/>
              <w:t>MERGE (:ProcessedTextRecord {record_id})</w:t>
              <w:br/>
              <w:t>MERGE (d)-[:HAS_CHUNK]-&gt;(ptr)</w:t>
              <w:br/>
              <w:t>MERGE (ptr)-[:MENTIONS]-&gt;(:FailureMode|:Component|:Asset)</w:t>
              <w:br/>
              <w:t>CREATE/merge textual-cause edges only when confidence exceeds threshold and both ends resolve canonically</w:t>
            </w:r>
          </w:p>
        </w:tc>
      </w:tr>
    </w:tbl>
    <w:p>
      <w:pPr>
        <w:spacing w:after="80"/>
      </w:pPr>
    </w:p>
    <w:p>
      <w:pPr>
        <w:pStyle w:val="Heading1"/>
      </w:pPr>
      <w:r>
        <w:t>6. Provenance, quality, and operational rules</w:t>
      </w:r>
    </w:p>
    <w:p>
      <w:pPr>
        <w:pStyle w:val="ListBullet"/>
        <w:spacing w:after="20"/>
      </w:pPr>
      <w:r>
        <w:t>Every record should carry processed_at, pipeline version, entity-resolution version, embedding model identifier, and source_hash.</w:t>
      </w:r>
    </w:p>
    <w:p>
      <w:pPr>
        <w:pStyle w:val="ListBullet"/>
        <w:spacing w:after="20"/>
      </w:pPr>
      <w:r>
        <w:t>Invalid records must fail schema validation before Chroma upsert; do not silently store malformed chunks.</w:t>
      </w:r>
    </w:p>
    <w:p>
      <w:pPr>
        <w:pStyle w:val="ListBullet"/>
        <w:spacing w:after="20"/>
      </w:pPr>
      <w:r>
        <w:t>Do not create orphan KG nodes from unresolved aliases. Keep unresolved mentions for review but only merge canonical entities.</w:t>
      </w:r>
    </w:p>
    <w:p>
      <w:pPr>
        <w:pStyle w:val="ListBullet"/>
        <w:spacing w:after="20"/>
      </w:pPr>
      <w:r>
        <w:t>Extraction quality must remain queryable so downstream retrieval can de-prioritize OCR-heavy or low-confidence chunks.</w:t>
      </w:r>
    </w:p>
    <w:p>
      <w:pPr>
        <w:pStyle w:val="ListBullet"/>
        <w:spacing w:after="20"/>
      </w:pPr>
      <w:r>
        <w:t>Changes in field_label_map, condition vocabulary, causal connector lists, or entity dictionaries should be versioned because they affect reproducibility.</w:t>
      </w:r>
    </w:p>
    <w:p>
      <w:pPr>
        <w:pStyle w:val="Heading1"/>
      </w:pPr>
      <w:r>
        <w:t>7. Configuration files expected by developers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fill="D9E2F3"/>
            <w:vAlign w:val="center"/>
          </w:tcPr>
          <w:p>
            <w:r>
              <w:rPr>
                <w:b/>
                <w:sz w:val="19"/>
              </w:rPr>
              <w:t>File</w:t>
            </w:r>
          </w:p>
        </w:tc>
        <w:tc>
          <w:tcPr>
            <w:tcW w:type="dxa" w:w="6624"/>
            <w:shd w:fill="D9E2F3"/>
            <w:vAlign w:val="center"/>
          </w:tcPr>
          <w:p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9"/>
              </w:rPr>
              <w:t>field_label_map.yaml</w:t>
            </w:r>
          </w:p>
        </w:tc>
        <w:tc>
          <w:tcPr>
            <w:tcW w:type="dxa" w:w="6624"/>
            <w:vAlign w:val="center"/>
          </w:tcPr>
          <w:p>
            <w:r>
              <w:rPr>
                <w:sz w:val="19"/>
              </w:rPr>
              <w:t>Maps plant- or CMMS-specific field labels to canonical chunk roles such as as_found or cause_statement.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9"/>
              </w:rPr>
              <w:t>condition_vocabulary.yaml</w:t>
            </w:r>
          </w:p>
        </w:tc>
        <w:tc>
          <w:tcPr>
            <w:tcW w:type="dxa" w:w="6624"/>
            <w:vAlign w:val="center"/>
          </w:tcPr>
          <w:p>
            <w:r>
              <w:rPr>
                <w:sz w:val="19"/>
              </w:rPr>
              <w:t>Maps free-text condition descriptors to acceptable / degraded / failed / unknown.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9"/>
              </w:rPr>
              <w:t>causal_connector_list.yaml</w:t>
            </w:r>
          </w:p>
        </w:tc>
        <w:tc>
          <w:tcPr>
            <w:tcW w:type="dxa" w:w="6624"/>
            <w:vAlign w:val="center"/>
          </w:tcPr>
          <w:p>
            <w:r>
              <w:rPr>
                <w:sz w:val="19"/>
              </w:rPr>
              <w:t>Defines trigger verbs and phrases for dependency-guided causal extraction.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9"/>
              </w:rPr>
              <w:t>entity_dictionary/*</w:t>
            </w:r>
          </w:p>
        </w:tc>
        <w:tc>
          <w:tcPr>
            <w:tcW w:type="dxa" w:w="6624"/>
            <w:vAlign w:val="center"/>
          </w:tcPr>
          <w:p>
            <w:r>
              <w:rPr>
                <w:sz w:val="19"/>
              </w:rPr>
              <w:t>Nuclear domain dictionaries partitioned by class (components, materials, degradation, tools, procedures).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9"/>
              </w:rPr>
              <w:t>chunking_config.yaml</w:t>
            </w:r>
          </w:p>
        </w:tc>
        <w:tc>
          <w:tcPr>
            <w:tcW w:type="dxa" w:w="6624"/>
            <w:vAlign w:val="center"/>
          </w:tcPr>
          <w:p>
            <w:r>
              <w:rPr>
                <w:sz w:val="19"/>
              </w:rPr>
              <w:t>Per-document-type chunk size and truncation controls.</w:t>
            </w:r>
          </w:p>
        </w:tc>
      </w:tr>
    </w:tbl>
    <w:p>
      <w:pPr>
        <w:spacing w:after="80"/>
      </w:pPr>
    </w:p>
    <w:p>
      <w:pPr>
        <w:pStyle w:val="Heading1"/>
      </w:pPr>
      <w:r>
        <w:t>8. Current implementation guidance</w:t>
      </w:r>
    </w:p>
    <w:p>
      <w:pPr>
        <w:spacing w:after="80"/>
      </w:pPr>
      <w:r>
        <w:t>For the next code iteration, developers should treat this document as the reference for the text-to-ProcessedTextRecord contract. The concrete implementation may evolve, but any change should continue to preserve: (1) normalized embedding_text, (2) typed metadata usable by Chroma filters, and (3) resolved entities and causal statements usable by the KG and RCA stages.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86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DACKAR RCA Reference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Processed text pipeline and Chroma/KG contract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59595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