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317A" w14:textId="77777777" w:rsidR="00673451" w:rsidRPr="00C51BD8" w:rsidRDefault="00673451" w:rsidP="00673451">
      <w:pPr>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shd w:val="clear" w:color="auto" w:fill="FFFFFF"/>
          <w:lang w:eastAsia="en-GB"/>
          <w14:ligatures w14:val="none"/>
        </w:rPr>
        <w:t>Suggested reviewers :</w:t>
      </w:r>
    </w:p>
    <w:p w14:paraId="576EF2E8" w14:textId="77777777" w:rsidR="00673451" w:rsidRPr="00C51BD8" w:rsidRDefault="00673451" w:rsidP="00673451">
      <w:pPr>
        <w:rPr>
          <w:rFonts w:ascii="Times New Roman" w:eastAsia="Times New Roman" w:hAnsi="Times New Roman" w:cs="Times New Roman"/>
          <w:kern w:val="0"/>
          <w:lang w:eastAsia="en-GB"/>
          <w14:ligatures w14:val="none"/>
        </w:rPr>
      </w:pPr>
    </w:p>
    <w:p w14:paraId="56698319" w14:textId="77777777" w:rsidR="00673451" w:rsidRPr="00C51BD8" w:rsidRDefault="00673451" w:rsidP="00673451">
      <w:pPr>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 xml:space="preserve">Mario Feldman (Washington University in St Louis, </w:t>
      </w:r>
      <w:hyperlink r:id="rId4" w:history="1">
        <w:r w:rsidRPr="00C51BD8">
          <w:rPr>
            <w:rFonts w:ascii="Arial" w:eastAsia="Times New Roman" w:hAnsi="Arial" w:cs="Arial"/>
            <w:color w:val="1155CC"/>
            <w:kern w:val="0"/>
            <w:sz w:val="22"/>
            <w:szCs w:val="22"/>
            <w:u w:val="single"/>
            <w:lang w:eastAsia="en-GB"/>
            <w14:ligatures w14:val="none"/>
          </w:rPr>
          <w:t>mariofeldman@wustl.edu</w:t>
        </w:r>
      </w:hyperlink>
      <w:r w:rsidRPr="00C51BD8">
        <w:rPr>
          <w:rFonts w:ascii="Arial" w:eastAsia="Times New Roman" w:hAnsi="Arial" w:cs="Arial"/>
          <w:color w:val="000000"/>
          <w:kern w:val="0"/>
          <w:sz w:val="22"/>
          <w:szCs w:val="22"/>
          <w:lang w:eastAsia="en-GB"/>
          <w14:ligatures w14:val="none"/>
        </w:rPr>
        <w:t>)</w:t>
      </w:r>
    </w:p>
    <w:p w14:paraId="28D7479A" w14:textId="77777777" w:rsidR="00673451" w:rsidRPr="00C51BD8" w:rsidRDefault="00673451" w:rsidP="00673451">
      <w:pPr>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 xml:space="preserve">Kaspar Locher (ETH Zürich, </w:t>
      </w:r>
      <w:hyperlink r:id="rId5" w:history="1">
        <w:r w:rsidRPr="00C51BD8">
          <w:rPr>
            <w:rFonts w:ascii="Arial" w:eastAsia="Times New Roman" w:hAnsi="Arial" w:cs="Arial"/>
            <w:color w:val="1155CC"/>
            <w:kern w:val="0"/>
            <w:sz w:val="22"/>
            <w:szCs w:val="22"/>
            <w:u w:val="single"/>
            <w:lang w:eastAsia="en-GB"/>
            <w14:ligatures w14:val="none"/>
          </w:rPr>
          <w:t>locher@mol.biol.ethz.ch</w:t>
        </w:r>
      </w:hyperlink>
      <w:r w:rsidRPr="00C51BD8">
        <w:rPr>
          <w:rFonts w:ascii="Arial" w:eastAsia="Times New Roman" w:hAnsi="Arial" w:cs="Arial"/>
          <w:color w:val="000000"/>
          <w:kern w:val="0"/>
          <w:sz w:val="22"/>
          <w:szCs w:val="22"/>
          <w:lang w:eastAsia="en-GB"/>
          <w14:ligatures w14:val="none"/>
        </w:rPr>
        <w:t>)</w:t>
      </w:r>
    </w:p>
    <w:p w14:paraId="65E2998A" w14:textId="77777777" w:rsidR="00673451" w:rsidRPr="00C51BD8" w:rsidRDefault="00673451" w:rsidP="00673451">
      <w:pPr>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 xml:space="preserve">Antonio Molinaro (University of Napoli Federico II, </w:t>
      </w:r>
      <w:hyperlink r:id="rId6" w:history="1">
        <w:r w:rsidRPr="00C51BD8">
          <w:rPr>
            <w:rFonts w:ascii="Arial" w:eastAsia="Times New Roman" w:hAnsi="Arial" w:cs="Arial"/>
            <w:color w:val="1155CC"/>
            <w:kern w:val="0"/>
            <w:sz w:val="22"/>
            <w:szCs w:val="22"/>
            <w:u w:val="single"/>
            <w:lang w:eastAsia="en-GB"/>
            <w14:ligatures w14:val="none"/>
          </w:rPr>
          <w:t>molinaro@unina.it</w:t>
        </w:r>
      </w:hyperlink>
      <w:r w:rsidRPr="00C51BD8">
        <w:rPr>
          <w:rFonts w:ascii="Arial" w:eastAsia="Times New Roman" w:hAnsi="Arial" w:cs="Arial"/>
          <w:color w:val="000000"/>
          <w:kern w:val="0"/>
          <w:sz w:val="22"/>
          <w:szCs w:val="22"/>
          <w:lang w:eastAsia="en-GB"/>
          <w14:ligatures w14:val="none"/>
        </w:rPr>
        <w:t>)</w:t>
      </w:r>
    </w:p>
    <w:p w14:paraId="41291E9F" w14:textId="77777777" w:rsidR="00673451" w:rsidRPr="00C51BD8" w:rsidRDefault="00673451" w:rsidP="00673451">
      <w:pPr>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 xml:space="preserve">Chris Whitfield (University of Guelph; </w:t>
      </w:r>
      <w:hyperlink r:id="rId7" w:history="1">
        <w:r w:rsidRPr="00C51BD8">
          <w:rPr>
            <w:rFonts w:ascii="Arial" w:eastAsia="Times New Roman" w:hAnsi="Arial" w:cs="Arial"/>
            <w:color w:val="1155CC"/>
            <w:kern w:val="0"/>
            <w:sz w:val="22"/>
            <w:szCs w:val="22"/>
            <w:u w:val="single"/>
            <w:lang w:eastAsia="en-GB"/>
            <w14:ligatures w14:val="none"/>
          </w:rPr>
          <w:t>cwhitfie@uoguelph.ca</w:t>
        </w:r>
      </w:hyperlink>
      <w:r w:rsidRPr="00C51BD8">
        <w:rPr>
          <w:rFonts w:ascii="Arial" w:eastAsia="Times New Roman" w:hAnsi="Arial" w:cs="Arial"/>
          <w:color w:val="000000"/>
          <w:kern w:val="0"/>
          <w:sz w:val="22"/>
          <w:szCs w:val="22"/>
          <w:lang w:eastAsia="en-GB"/>
          <w14:ligatures w14:val="none"/>
        </w:rPr>
        <w:t>)</w:t>
      </w:r>
    </w:p>
    <w:p w14:paraId="61888B48" w14:textId="77777777" w:rsidR="00673451" w:rsidRPr="00C51BD8" w:rsidRDefault="00673451" w:rsidP="00673451">
      <w:pPr>
        <w:rPr>
          <w:rFonts w:ascii="Times New Roman" w:eastAsia="Times New Roman" w:hAnsi="Times New Roman" w:cs="Times New Roman"/>
          <w:kern w:val="0"/>
          <w:lang w:eastAsia="en-GB"/>
          <w14:ligatures w14:val="none"/>
        </w:rPr>
      </w:pPr>
      <w:r w:rsidRPr="00C51BD8">
        <w:rPr>
          <w:rFonts w:ascii="Arial" w:eastAsia="Times New Roman" w:hAnsi="Arial" w:cs="Arial"/>
          <w:color w:val="000000"/>
          <w:kern w:val="0"/>
          <w:sz w:val="22"/>
          <w:szCs w:val="22"/>
          <w:lang w:eastAsia="en-GB"/>
          <w14:ligatures w14:val="none"/>
        </w:rPr>
        <w:t>Jochen Zimmer (</w:t>
      </w:r>
      <w:r w:rsidRPr="00C51BD8">
        <w:rPr>
          <w:rFonts w:ascii="Arial" w:eastAsia="Times New Roman" w:hAnsi="Arial" w:cs="Arial"/>
          <w:color w:val="000000"/>
          <w:kern w:val="0"/>
          <w:sz w:val="20"/>
          <w:szCs w:val="20"/>
          <w:lang w:eastAsia="en-GB"/>
          <w14:ligatures w14:val="none"/>
        </w:rPr>
        <w:t xml:space="preserve">University of Virginia, </w:t>
      </w:r>
      <w:hyperlink r:id="rId8" w:history="1">
        <w:r w:rsidRPr="00C51BD8">
          <w:rPr>
            <w:rFonts w:ascii="Arial" w:eastAsia="Times New Roman" w:hAnsi="Arial" w:cs="Arial"/>
            <w:color w:val="1155CC"/>
            <w:kern w:val="0"/>
            <w:sz w:val="20"/>
            <w:szCs w:val="20"/>
            <w:u w:val="single"/>
            <w:lang w:eastAsia="en-GB"/>
            <w14:ligatures w14:val="none"/>
          </w:rPr>
          <w:t>jz3x@virginia.edu</w:t>
        </w:r>
      </w:hyperlink>
      <w:r w:rsidRPr="00C51BD8">
        <w:rPr>
          <w:rFonts w:ascii="Arial" w:eastAsia="Times New Roman" w:hAnsi="Arial" w:cs="Arial"/>
          <w:color w:val="000000"/>
          <w:kern w:val="0"/>
          <w:sz w:val="20"/>
          <w:szCs w:val="20"/>
          <w:lang w:eastAsia="en-GB"/>
          <w14:ligatures w14:val="none"/>
        </w:rPr>
        <w:t>)</w:t>
      </w:r>
    </w:p>
    <w:p w14:paraId="78213588" w14:textId="77777777" w:rsidR="00EF0B0E" w:rsidRDefault="00EF0B0E"/>
    <w:p w14:paraId="29B49564" w14:textId="77777777" w:rsidR="00E367BB" w:rsidRPr="00E367BB" w:rsidRDefault="00E367BB" w:rsidP="00E367BB">
      <w:pPr>
        <w:spacing w:before="400" w:after="120"/>
        <w:outlineLvl w:val="0"/>
        <w:rPr>
          <w:rFonts w:ascii="Times New Roman" w:eastAsia="Times New Roman" w:hAnsi="Times New Roman" w:cs="Times New Roman"/>
          <w:b/>
          <w:bCs/>
          <w:kern w:val="36"/>
          <w:sz w:val="48"/>
          <w:szCs w:val="48"/>
          <w:lang w:eastAsia="en-GB"/>
          <w14:ligatures w14:val="none"/>
        </w:rPr>
      </w:pPr>
      <w:r w:rsidRPr="00E367BB">
        <w:rPr>
          <w:rFonts w:ascii="Arial" w:eastAsia="Times New Roman" w:hAnsi="Arial" w:cs="Arial"/>
          <w:color w:val="000000"/>
          <w:kern w:val="36"/>
          <w:sz w:val="40"/>
          <w:szCs w:val="40"/>
          <w:lang w:eastAsia="en-GB"/>
          <w14:ligatures w14:val="none"/>
        </w:rPr>
        <w:t>Diversity of sugar-diphospholipid-utilizing glycosyltransferase families</w:t>
      </w:r>
    </w:p>
    <w:p w14:paraId="0FD3F167" w14:textId="77777777" w:rsidR="00E367BB" w:rsidRPr="00E367BB" w:rsidRDefault="00E367BB" w:rsidP="00E367BB">
      <w:pPr>
        <w:rPr>
          <w:rFonts w:ascii="Times New Roman" w:eastAsia="Times New Roman" w:hAnsi="Times New Roman" w:cs="Times New Roman"/>
          <w:kern w:val="0"/>
          <w:lang w:eastAsia="en-GB"/>
          <w14:ligatures w14:val="none"/>
        </w:rPr>
      </w:pPr>
    </w:p>
    <w:p w14:paraId="50E0A840" w14:textId="77777777" w:rsidR="00E367BB" w:rsidRPr="00E367BB" w:rsidRDefault="00E367BB" w:rsidP="00E367BB">
      <w:pPr>
        <w:spacing w:before="320" w:after="80"/>
        <w:outlineLvl w:val="2"/>
        <w:rPr>
          <w:rFonts w:ascii="Times New Roman" w:eastAsia="Times New Roman" w:hAnsi="Times New Roman" w:cs="Times New Roman"/>
          <w:b/>
          <w:bCs/>
          <w:kern w:val="0"/>
          <w:sz w:val="27"/>
          <w:szCs w:val="27"/>
          <w:lang w:eastAsia="en-GB"/>
          <w14:ligatures w14:val="none"/>
        </w:rPr>
      </w:pPr>
      <w:r w:rsidRPr="00E367BB">
        <w:rPr>
          <w:rFonts w:ascii="Arial" w:eastAsia="Times New Roman" w:hAnsi="Arial" w:cs="Arial"/>
          <w:color w:val="434343"/>
          <w:kern w:val="0"/>
          <w:sz w:val="28"/>
          <w:szCs w:val="28"/>
          <w:lang w:eastAsia="en-GB"/>
          <w14:ligatures w14:val="none"/>
        </w:rPr>
        <w:t>Ida Meitil</w:t>
      </w:r>
      <w:r w:rsidRPr="00E367BB">
        <w:rPr>
          <w:rFonts w:ascii="Arial" w:eastAsia="Times New Roman" w:hAnsi="Arial" w:cs="Arial"/>
          <w:color w:val="434343"/>
          <w:kern w:val="0"/>
          <w:sz w:val="17"/>
          <w:szCs w:val="17"/>
          <w:vertAlign w:val="superscript"/>
          <w:lang w:eastAsia="en-GB"/>
          <w14:ligatures w14:val="none"/>
        </w:rPr>
        <w:t>1</w:t>
      </w:r>
      <w:r w:rsidRPr="00E367BB">
        <w:rPr>
          <w:rFonts w:ascii="Arial" w:eastAsia="Times New Roman" w:hAnsi="Arial" w:cs="Arial"/>
          <w:color w:val="434343"/>
          <w:kern w:val="0"/>
          <w:sz w:val="28"/>
          <w:szCs w:val="28"/>
          <w:lang w:eastAsia="en-GB"/>
          <w14:ligatures w14:val="none"/>
        </w:rPr>
        <w:t>, Garry P. Gippert</w:t>
      </w:r>
      <w:r w:rsidRPr="00E367BB">
        <w:rPr>
          <w:rFonts w:ascii="Arial" w:eastAsia="Times New Roman" w:hAnsi="Arial" w:cs="Arial"/>
          <w:color w:val="434343"/>
          <w:kern w:val="0"/>
          <w:sz w:val="17"/>
          <w:szCs w:val="17"/>
          <w:vertAlign w:val="superscript"/>
          <w:lang w:eastAsia="en-GB"/>
          <w14:ligatures w14:val="none"/>
        </w:rPr>
        <w:t>1</w:t>
      </w:r>
      <w:r w:rsidRPr="00E367BB">
        <w:rPr>
          <w:rFonts w:ascii="Arial" w:eastAsia="Times New Roman" w:hAnsi="Arial" w:cs="Arial"/>
          <w:color w:val="434343"/>
          <w:kern w:val="0"/>
          <w:sz w:val="28"/>
          <w:szCs w:val="28"/>
          <w:lang w:eastAsia="en-GB"/>
          <w14:ligatures w14:val="none"/>
        </w:rPr>
        <w:t>, Kristian Barrett</w:t>
      </w:r>
      <w:r w:rsidRPr="00E367BB">
        <w:rPr>
          <w:rFonts w:ascii="Arial" w:eastAsia="Times New Roman" w:hAnsi="Arial" w:cs="Arial"/>
          <w:color w:val="434343"/>
          <w:kern w:val="0"/>
          <w:sz w:val="17"/>
          <w:szCs w:val="17"/>
          <w:vertAlign w:val="superscript"/>
          <w:lang w:eastAsia="en-GB"/>
          <w14:ligatures w14:val="none"/>
        </w:rPr>
        <w:t>1</w:t>
      </w:r>
      <w:r w:rsidRPr="00E367BB">
        <w:rPr>
          <w:rFonts w:ascii="Arial" w:eastAsia="Times New Roman" w:hAnsi="Arial" w:cs="Arial"/>
          <w:color w:val="434343"/>
          <w:kern w:val="0"/>
          <w:sz w:val="28"/>
          <w:szCs w:val="28"/>
          <w:lang w:eastAsia="en-GB"/>
          <w14:ligatures w14:val="none"/>
        </w:rPr>
        <w:t>, Cameron J. Hunt</w:t>
      </w:r>
      <w:r w:rsidRPr="00E367BB">
        <w:rPr>
          <w:rFonts w:ascii="Arial" w:eastAsia="Times New Roman" w:hAnsi="Arial" w:cs="Arial"/>
          <w:color w:val="434343"/>
          <w:kern w:val="0"/>
          <w:sz w:val="17"/>
          <w:szCs w:val="17"/>
          <w:vertAlign w:val="superscript"/>
          <w:lang w:eastAsia="en-GB"/>
          <w14:ligatures w14:val="none"/>
        </w:rPr>
        <w:t>1</w:t>
      </w:r>
      <w:r w:rsidRPr="00E367BB">
        <w:rPr>
          <w:rFonts w:ascii="Arial" w:eastAsia="Times New Roman" w:hAnsi="Arial" w:cs="Arial"/>
          <w:color w:val="434343"/>
          <w:kern w:val="0"/>
          <w:sz w:val="28"/>
          <w:szCs w:val="28"/>
          <w:lang w:eastAsia="en-GB"/>
          <w14:ligatures w14:val="none"/>
        </w:rPr>
        <w:t>, Bernard Henrissat</w:t>
      </w:r>
      <w:r w:rsidRPr="00E367BB">
        <w:rPr>
          <w:rFonts w:ascii="Arial" w:eastAsia="Times New Roman" w:hAnsi="Arial" w:cs="Arial"/>
          <w:color w:val="434343"/>
          <w:kern w:val="0"/>
          <w:sz w:val="17"/>
          <w:szCs w:val="17"/>
          <w:vertAlign w:val="superscript"/>
          <w:lang w:eastAsia="en-GB"/>
          <w14:ligatures w14:val="none"/>
        </w:rPr>
        <w:t>1,2,3</w:t>
      </w:r>
      <w:r w:rsidRPr="00E367BB">
        <w:rPr>
          <w:rFonts w:ascii="Cambria Math" w:eastAsia="Times New Roman" w:hAnsi="Cambria Math" w:cs="Cambria Math"/>
          <w:color w:val="434343"/>
          <w:kern w:val="0"/>
          <w:sz w:val="28"/>
          <w:szCs w:val="28"/>
          <w:lang w:eastAsia="en-GB"/>
          <w14:ligatures w14:val="none"/>
        </w:rPr>
        <w:t>∗</w:t>
      </w:r>
    </w:p>
    <w:p w14:paraId="55A3830E" w14:textId="77777777" w:rsidR="00E367BB" w:rsidRPr="00E367BB" w:rsidRDefault="00E367BB" w:rsidP="00E367BB">
      <w:pPr>
        <w:rPr>
          <w:rFonts w:ascii="Times New Roman" w:eastAsia="Times New Roman" w:hAnsi="Times New Roman" w:cs="Times New Roman"/>
          <w:kern w:val="0"/>
          <w:lang w:eastAsia="en-GB"/>
          <w14:ligatures w14:val="none"/>
        </w:rPr>
      </w:pPr>
    </w:p>
    <w:p w14:paraId="7CE787D3"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color w:val="000000"/>
          <w:kern w:val="0"/>
          <w:sz w:val="13"/>
          <w:szCs w:val="13"/>
          <w:vertAlign w:val="superscript"/>
          <w:lang w:eastAsia="en-GB"/>
          <w14:ligatures w14:val="none"/>
        </w:rPr>
        <w:t>1</w:t>
      </w:r>
      <w:r w:rsidRPr="00E367BB">
        <w:rPr>
          <w:rFonts w:ascii="Arial" w:eastAsia="Times New Roman" w:hAnsi="Arial" w:cs="Arial"/>
          <w:color w:val="000000"/>
          <w:kern w:val="0"/>
          <w:sz w:val="22"/>
          <w:szCs w:val="22"/>
          <w:lang w:eastAsia="en-GB"/>
          <w14:ligatures w14:val="none"/>
        </w:rPr>
        <w:t xml:space="preserve"> Department of Biotechnology and Biomedicine, Technical University of Denmark, Kgs. Lyngby, Denmark, </w:t>
      </w:r>
    </w:p>
    <w:p w14:paraId="59529E64"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color w:val="000000"/>
          <w:kern w:val="0"/>
          <w:sz w:val="13"/>
          <w:szCs w:val="13"/>
          <w:vertAlign w:val="superscript"/>
          <w:lang w:eastAsia="en-GB"/>
          <w14:ligatures w14:val="none"/>
        </w:rPr>
        <w:t>2</w:t>
      </w:r>
      <w:r w:rsidRPr="00E367BB">
        <w:rPr>
          <w:rFonts w:ascii="Arial" w:eastAsia="Times New Roman" w:hAnsi="Arial" w:cs="Arial"/>
          <w:color w:val="000000"/>
          <w:kern w:val="0"/>
          <w:sz w:val="22"/>
          <w:szCs w:val="22"/>
          <w:lang w:eastAsia="en-GB"/>
          <w14:ligatures w14:val="none"/>
        </w:rPr>
        <w:t xml:space="preserve"> Architecture et Fonction des Macromolécules Biologiques, CNRS, Aix-Marseille Université, Marseille, France, </w:t>
      </w:r>
    </w:p>
    <w:p w14:paraId="51933C04"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color w:val="000000"/>
          <w:kern w:val="0"/>
          <w:sz w:val="13"/>
          <w:szCs w:val="13"/>
          <w:vertAlign w:val="superscript"/>
          <w:lang w:eastAsia="en-GB"/>
          <w14:ligatures w14:val="none"/>
        </w:rPr>
        <w:t>3</w:t>
      </w:r>
      <w:r w:rsidRPr="00E367BB">
        <w:rPr>
          <w:rFonts w:ascii="Arial" w:eastAsia="Times New Roman" w:hAnsi="Arial" w:cs="Arial"/>
          <w:color w:val="000000"/>
          <w:kern w:val="0"/>
          <w:sz w:val="22"/>
          <w:szCs w:val="22"/>
          <w:lang w:eastAsia="en-GB"/>
          <w14:ligatures w14:val="none"/>
        </w:rPr>
        <w:t xml:space="preserve"> Department of Biological Sciences, King Abdulaziz University, Jeddah, Saudi Arabia</w:t>
      </w:r>
    </w:p>
    <w:p w14:paraId="18724F8E" w14:textId="77777777" w:rsidR="00E367BB" w:rsidRPr="00E367BB" w:rsidRDefault="00E367BB" w:rsidP="00E367BB">
      <w:pPr>
        <w:rPr>
          <w:rFonts w:ascii="Times New Roman" w:eastAsia="Times New Roman" w:hAnsi="Times New Roman" w:cs="Times New Roman"/>
          <w:kern w:val="0"/>
          <w:lang w:eastAsia="en-GB"/>
          <w14:ligatures w14:val="none"/>
        </w:rPr>
      </w:pPr>
    </w:p>
    <w:p w14:paraId="09E7600A" w14:textId="3975AC0A" w:rsidR="00E367BB" w:rsidRDefault="00E367BB" w:rsidP="00C24168">
      <w:pPr>
        <w:rPr>
          <w:rFonts w:ascii="Times New Roman" w:eastAsia="Times New Roman" w:hAnsi="Times New Roman" w:cs="Times New Roman"/>
          <w:kern w:val="0"/>
          <w:lang w:eastAsia="en-GB"/>
          <w14:ligatures w14:val="none"/>
        </w:rPr>
      </w:pPr>
      <w:r w:rsidRPr="00E367BB">
        <w:rPr>
          <w:rFonts w:ascii="Arial" w:eastAsia="Times New Roman" w:hAnsi="Arial" w:cs="Arial"/>
          <w:b/>
          <w:bCs/>
          <w:color w:val="000000"/>
          <w:kern w:val="0"/>
          <w:sz w:val="22"/>
          <w:szCs w:val="22"/>
          <w:lang w:eastAsia="en-GB"/>
          <w14:ligatures w14:val="none"/>
        </w:rPr>
        <w:t xml:space="preserve">Keywords: </w:t>
      </w:r>
      <w:r w:rsidRPr="00E367BB">
        <w:rPr>
          <w:rFonts w:ascii="Arial" w:eastAsia="Times New Roman" w:hAnsi="Arial" w:cs="Arial"/>
          <w:color w:val="000000"/>
          <w:kern w:val="0"/>
          <w:sz w:val="22"/>
          <w:szCs w:val="22"/>
          <w:lang w:eastAsia="en-GB"/>
          <w14:ligatures w14:val="none"/>
        </w:rPr>
        <w:t>glycosyltransferases; sequence similarity;  glycan similarity; classification; bacterial surface polysaccharides</w:t>
      </w:r>
    </w:p>
    <w:p w14:paraId="6352A476" w14:textId="77777777" w:rsidR="00C24168" w:rsidRPr="00E367BB" w:rsidRDefault="00C24168" w:rsidP="00C24168">
      <w:pPr>
        <w:rPr>
          <w:rFonts w:ascii="Times New Roman" w:eastAsia="Times New Roman" w:hAnsi="Times New Roman" w:cs="Times New Roman"/>
          <w:kern w:val="0"/>
          <w:lang w:eastAsia="en-GB"/>
          <w14:ligatures w14:val="none"/>
        </w:rPr>
      </w:pPr>
    </w:p>
    <w:p w14:paraId="0C5C0C12"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color w:val="000000"/>
          <w:kern w:val="0"/>
          <w:sz w:val="22"/>
          <w:szCs w:val="22"/>
          <w:lang w:eastAsia="en-GB"/>
          <w14:ligatures w14:val="none"/>
        </w:rPr>
        <w:t>*Author for correspondence: </w:t>
      </w:r>
    </w:p>
    <w:p w14:paraId="4247B700"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color w:val="000000"/>
          <w:kern w:val="0"/>
          <w:sz w:val="22"/>
          <w:szCs w:val="22"/>
          <w:lang w:eastAsia="en-GB"/>
          <w14:ligatures w14:val="none"/>
        </w:rPr>
        <w:t>Bernard Henrissat: ORCID number 0000-0002-3434-8588</w:t>
      </w:r>
    </w:p>
    <w:p w14:paraId="54445823"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color w:val="000000"/>
          <w:kern w:val="0"/>
          <w:sz w:val="22"/>
          <w:szCs w:val="22"/>
          <w:lang w:eastAsia="en-GB"/>
          <w14:ligatures w14:val="none"/>
        </w:rPr>
        <w:t xml:space="preserve">e-mail: </w:t>
      </w:r>
      <w:hyperlink r:id="rId9" w:history="1">
        <w:r w:rsidRPr="00E367BB">
          <w:rPr>
            <w:rFonts w:ascii="Arial" w:eastAsia="Times New Roman" w:hAnsi="Arial" w:cs="Arial"/>
            <w:color w:val="1155CC"/>
            <w:kern w:val="0"/>
            <w:sz w:val="22"/>
            <w:szCs w:val="22"/>
            <w:u w:val="single"/>
            <w:lang w:eastAsia="en-GB"/>
            <w14:ligatures w14:val="none"/>
          </w:rPr>
          <w:t>behen@dtu.dk</w:t>
        </w:r>
      </w:hyperlink>
    </w:p>
    <w:p w14:paraId="5CF60816" w14:textId="77777777" w:rsidR="00E367BB" w:rsidRPr="00E367BB" w:rsidRDefault="00E367BB" w:rsidP="00E367BB">
      <w:pPr>
        <w:spacing w:after="240"/>
        <w:rPr>
          <w:rFonts w:ascii="Times New Roman" w:eastAsia="Times New Roman" w:hAnsi="Times New Roman" w:cs="Times New Roman"/>
          <w:kern w:val="0"/>
          <w:lang w:eastAsia="en-GB"/>
          <w14:ligatures w14:val="none"/>
        </w:rPr>
      </w:pPr>
    </w:p>
    <w:p w14:paraId="65A117DF"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b/>
          <w:bCs/>
          <w:color w:val="000000"/>
          <w:kern w:val="0"/>
          <w:sz w:val="22"/>
          <w:szCs w:val="22"/>
          <w:lang w:eastAsia="en-GB"/>
          <w14:ligatures w14:val="none"/>
        </w:rPr>
        <w:t>ORCID numbers:</w:t>
      </w:r>
    </w:p>
    <w:p w14:paraId="701DA4B8"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color w:val="000000"/>
          <w:kern w:val="0"/>
          <w:sz w:val="22"/>
          <w:szCs w:val="22"/>
          <w:lang w:eastAsia="en-GB"/>
          <w14:ligatures w14:val="none"/>
        </w:rPr>
        <w:t>Ida Meitil: 0000-0001-9214-0980</w:t>
      </w:r>
    </w:p>
    <w:p w14:paraId="3C451776"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color w:val="000000"/>
          <w:kern w:val="0"/>
          <w:sz w:val="22"/>
          <w:szCs w:val="22"/>
          <w:lang w:eastAsia="en-GB"/>
          <w14:ligatures w14:val="none"/>
        </w:rPr>
        <w:t xml:space="preserve">Garry P. Gippert: </w:t>
      </w:r>
      <w:r w:rsidRPr="00E367BB">
        <w:rPr>
          <w:rFonts w:ascii="Arial" w:eastAsia="Times New Roman" w:hAnsi="Arial" w:cs="Arial"/>
          <w:color w:val="494A4C"/>
          <w:kern w:val="0"/>
          <w:sz w:val="23"/>
          <w:szCs w:val="23"/>
          <w:lang w:eastAsia="en-GB"/>
          <w14:ligatures w14:val="none"/>
        </w:rPr>
        <w:t>0000-0002-6803-9951</w:t>
      </w:r>
    </w:p>
    <w:p w14:paraId="41A1E402"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color w:val="000000"/>
          <w:kern w:val="0"/>
          <w:sz w:val="22"/>
          <w:szCs w:val="22"/>
          <w:lang w:eastAsia="en-GB"/>
          <w14:ligatures w14:val="none"/>
        </w:rPr>
        <w:t>Kristian Barrett: 0000-0002-4170-4253</w:t>
      </w:r>
    </w:p>
    <w:p w14:paraId="7AB4E7E8" w14:textId="77777777" w:rsidR="00E367BB" w:rsidRPr="00E367BB" w:rsidRDefault="00E367BB" w:rsidP="00E367BB">
      <w:pPr>
        <w:rPr>
          <w:rFonts w:ascii="Times New Roman" w:eastAsia="Times New Roman" w:hAnsi="Times New Roman" w:cs="Times New Roman"/>
          <w:kern w:val="0"/>
          <w:lang w:eastAsia="en-GB"/>
          <w14:ligatures w14:val="none"/>
        </w:rPr>
      </w:pPr>
      <w:r w:rsidRPr="00E367BB">
        <w:rPr>
          <w:rFonts w:ascii="Arial" w:eastAsia="Times New Roman" w:hAnsi="Arial" w:cs="Arial"/>
          <w:color w:val="000000"/>
          <w:kern w:val="0"/>
          <w:sz w:val="22"/>
          <w:szCs w:val="22"/>
          <w:lang w:eastAsia="en-GB"/>
          <w14:ligatures w14:val="none"/>
        </w:rPr>
        <w:t>Cameron J. Hunt: 0000-0002-8495-0542</w:t>
      </w:r>
    </w:p>
    <w:p w14:paraId="3BEF6B52" w14:textId="77777777" w:rsidR="00E367BB" w:rsidRDefault="00E367BB"/>
    <w:p w14:paraId="0237B91B" w14:textId="329F45ED" w:rsidR="00C24168" w:rsidRPr="00C24168" w:rsidRDefault="00C24168">
      <w:pPr>
        <w:rPr>
          <w:b/>
          <w:bCs/>
          <w:lang w:val="da-DK"/>
        </w:rPr>
      </w:pPr>
      <w:r>
        <w:rPr>
          <w:b/>
          <w:bCs/>
          <w:lang w:val="da-DK"/>
        </w:rPr>
        <w:t>Abstract</w:t>
      </w:r>
    </w:p>
    <w:p w14:paraId="5F390694" w14:textId="3DA62AEA" w:rsidR="00C24168" w:rsidRDefault="00C24168">
      <w:r w:rsidRPr="00C24168">
        <w:t xml:space="preserve">Glycosyltransferases, the enzymes that assemble glycans from activated sugar donors, are classified in 116 sequence-based families in the carbohydrate-active enzymes database (CAZy; www.cazy.org). Because these families correlate with enzyme structure, mechanism and some aspects of reaction products, they provide predictive power for inferring enzyme properties from sequence only. Here we expand the CAZy family classification of GT-C glycosyltransferases that utilize an oligosaccharide activated by a diphospholipid. While straightforward for some families, the sequence diversity of bacterial polysaccharide polymerases prevented the creation of a single family. To address this, we employed sequence similarity networks to define groups of alignable sequences, HMMs were built for each group, and the resulting HMMs were aligned to form families, many of which could not be identified by global multiple sequence alignment. In total, we identified 17 families and </w:t>
      </w:r>
      <w:r w:rsidRPr="00C24168">
        <w:lastRenderedPageBreak/>
        <w:t>analyzed the donor and acceptor substrates to assess their correlation with the products' chemical structure. The families exhibited conservation of reaction stereochemistry and structural resemblance of synthesized glycans, a feature for which we developed an original similarity score in the absence of an existing scoring system. Additionally, distant interfamily relationships that shared the stereochemistry of the created glycosidic bond, were used to define ‘clans’ of related families.</w:t>
      </w:r>
    </w:p>
    <w:sectPr w:rsidR="00C24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0E"/>
    <w:rsid w:val="00673451"/>
    <w:rsid w:val="00842B4C"/>
    <w:rsid w:val="00C24168"/>
    <w:rsid w:val="00E367BB"/>
    <w:rsid w:val="00EC1FDC"/>
    <w:rsid w:val="00EF0B0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B1A9536"/>
  <w15:chartTrackingRefBased/>
  <w15:docId w15:val="{1AADA702-C3F3-6D4D-8C3A-6E0D8294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451"/>
  </w:style>
  <w:style w:type="paragraph" w:styleId="Heading1">
    <w:name w:val="heading 1"/>
    <w:basedOn w:val="Normal"/>
    <w:link w:val="Heading1Char"/>
    <w:uiPriority w:val="9"/>
    <w:qFormat/>
    <w:rsid w:val="00E367B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link w:val="Heading3Char"/>
    <w:uiPriority w:val="9"/>
    <w:qFormat/>
    <w:rsid w:val="00E367B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7BB"/>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rsid w:val="00E367BB"/>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E367B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E367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65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z3x@virginia.edu" TargetMode="External"/><Relationship Id="rId3" Type="http://schemas.openxmlformats.org/officeDocument/2006/relationships/webSettings" Target="webSettings.xml"/><Relationship Id="rId7" Type="http://schemas.openxmlformats.org/officeDocument/2006/relationships/hyperlink" Target="mailto:cwhitfie@uoguelph.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olinaro@unina.it" TargetMode="External"/><Relationship Id="rId11" Type="http://schemas.openxmlformats.org/officeDocument/2006/relationships/theme" Target="theme/theme1.xml"/><Relationship Id="rId5" Type="http://schemas.openxmlformats.org/officeDocument/2006/relationships/hyperlink" Target="mailto:locher@mol.biol.ethz.ch" TargetMode="External"/><Relationship Id="rId10" Type="http://schemas.openxmlformats.org/officeDocument/2006/relationships/fontTable" Target="fontTable.xml"/><Relationship Id="rId4" Type="http://schemas.openxmlformats.org/officeDocument/2006/relationships/hyperlink" Target="mailto:mariofeldman@wustl.edu" TargetMode="External"/><Relationship Id="rId9" Type="http://schemas.openxmlformats.org/officeDocument/2006/relationships/hyperlink" Target="mailto:behen@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Kristine Sandford Meitil</dc:creator>
  <cp:keywords/>
  <dc:description/>
  <cp:lastModifiedBy>Ida Kristine Sandford Meitil</cp:lastModifiedBy>
  <cp:revision>2</cp:revision>
  <dcterms:created xsi:type="dcterms:W3CDTF">2023-09-08T13:14:00Z</dcterms:created>
  <dcterms:modified xsi:type="dcterms:W3CDTF">2023-09-08T13:14:00Z</dcterms:modified>
</cp:coreProperties>
</file>