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C0000"/>
          <w:sz w:val="56"/>
        </w:rPr>
        <w:t>OpenShift Node Tuning Field Guide</w:t>
      </w:r>
    </w:p>
    <w:tbl>
      <w:tblPr>
        <w:tblStyle w:val="TableGrid"/>
        <w:tblW w:type="pct" w:w="5000"/>
        <w:jc w:val="center"/>
        <w:tblLook w:firstColumn="1" w:firstRow="1" w:lastColumn="0" w:lastRow="0" w:noHBand="0" w:noVBand="1" w:val="04A0"/>
      </w:tblPr>
      <w:tblGrid>
        <w:gridCol w:w="4536"/>
        <w:gridCol w:w="4536"/>
      </w:tblGrid>
      <w:tr>
        <w:trPr>
          <w:cantSplit w:val="true"/>
          <w:tblHeader w:val="true"/>
        </w:trPr>
        <w:tc>
          <w:tcPr>
            <w:tcW w:type="dxa" w:w="4536"/>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Customer</w:t>
            </w:r>
          </w:p>
        </w:tc>
        <w:tc>
          <w:tcPr>
            <w:tcW w:type="dxa" w:w="4536"/>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IAF — Unit Ofek 324</w:t>
            </w:r>
          </w:p>
        </w:tc>
      </w:tr>
      <w:tr>
        <w:trPr>
          <w:cantSplit w:val="true"/>
        </w:trPr>
        <w:tc>
          <w:tcPr>
            <w:tcW w:type="dxa" w:w="4536"/>
            <w:vAlign w:val="center"/>
            <w:tcMar>
              <w:top w:w="60" w:type="dxa"/>
              <w:bottom w:w="60" w:type="dxa"/>
              <w:left w:w="100" w:type="dxa"/>
              <w:right w:w="100" w:type="dxa"/>
            </w:tcMar>
          </w:tcPr>
          <w:p>
            <w:pPr>
              <w:spacing w:before="60" w:after="60"/>
              <w:jc w:val="center"/>
            </w:pPr>
            <w:r/>
            <w:r>
              <w:rPr>
                <w:rFonts w:ascii="Red Hat Text" w:hAnsi="Red Hat Text"/>
                <w:sz w:val="16"/>
              </w:rPr>
              <w:t>Platform</w:t>
            </w:r>
          </w:p>
        </w:tc>
        <w:tc>
          <w:tcPr>
            <w:tcW w:type="dxa" w:w="4536"/>
            <w:vAlign w:val="center"/>
            <w:tcMar>
              <w:top w:w="60" w:type="dxa"/>
              <w:bottom w:w="60" w:type="dxa"/>
              <w:left w:w="100" w:type="dxa"/>
              <w:right w:w="100" w:type="dxa"/>
            </w:tcMar>
          </w:tcPr>
          <w:p>
            <w:pPr>
              <w:spacing w:before="60" w:after="60"/>
              <w:jc w:val="center"/>
            </w:pPr>
            <w:r/>
            <w:r>
              <w:rPr>
                <w:rFonts w:ascii="Red Hat Text" w:hAnsi="Red Hat Text"/>
                <w:sz w:val="16"/>
              </w:rPr>
              <w:t>OpenShift Container Platform 4.16+</w:t>
            </w:r>
          </w:p>
        </w:tc>
      </w:tr>
      <w:tr>
        <w:trPr>
          <w:cantSplit w:val="true"/>
        </w:trPr>
        <w:tc>
          <w:tcPr>
            <w:tcW w:type="dxa" w:w="4536"/>
            <w:vAlign w:val="center"/>
            <w:tcMar>
              <w:top w:w="60" w:type="dxa"/>
              <w:bottom w:w="60" w:type="dxa"/>
              <w:left w:w="100" w:type="dxa"/>
              <w:right w:w="100" w:type="dxa"/>
            </w:tcMar>
            <w:shd w:fill="F5F5F5"/>
          </w:tcPr>
          <w:p>
            <w:pPr>
              <w:spacing w:before="60" w:after="60"/>
              <w:jc w:val="center"/>
            </w:pPr>
            <w:r/>
            <w:r>
              <w:rPr>
                <w:rFonts w:ascii="Red Hat Text" w:hAnsi="Red Hat Text"/>
                <w:sz w:val="16"/>
              </w:rPr>
              <w:t>Date</w:t>
            </w:r>
          </w:p>
        </w:tc>
        <w:tc>
          <w:tcPr>
            <w:tcW w:type="dxa" w:w="4536"/>
            <w:vAlign w:val="center"/>
            <w:tcMar>
              <w:top w:w="60" w:type="dxa"/>
              <w:bottom w:w="60" w:type="dxa"/>
              <w:left w:w="100" w:type="dxa"/>
              <w:right w:w="100" w:type="dxa"/>
            </w:tcMar>
            <w:shd w:fill="F5F5F5"/>
          </w:tcPr>
          <w:p>
            <w:pPr>
              <w:spacing w:before="60" w:after="60"/>
              <w:jc w:val="center"/>
            </w:pPr>
            <w:r/>
            <w:r>
              <w:rPr>
                <w:rFonts w:ascii="Red Hat Text" w:hAnsi="Red Hat Text"/>
                <w:sz w:val="16"/>
              </w:rPr>
              <w:t>October 2026</w:t>
            </w:r>
          </w:p>
        </w:tc>
      </w:tr>
      <w:tr>
        <w:trPr>
          <w:cantSplit w:val="true"/>
        </w:trPr>
        <w:tc>
          <w:tcPr>
            <w:tcW w:type="dxa" w:w="4536"/>
            <w:vAlign w:val="center"/>
            <w:tcMar>
              <w:top w:w="60" w:type="dxa"/>
              <w:bottom w:w="60" w:type="dxa"/>
              <w:left w:w="100" w:type="dxa"/>
              <w:right w:w="100" w:type="dxa"/>
            </w:tcMar>
          </w:tcPr>
          <w:p>
            <w:pPr>
              <w:spacing w:before="60" w:after="60"/>
              <w:jc w:val="center"/>
            </w:pPr>
            <w:r/>
            <w:r>
              <w:rPr>
                <w:rFonts w:ascii="Red Hat Text" w:hAnsi="Red Hat Text"/>
                <w:sz w:val="16"/>
              </w:rPr>
              <w:t>Author</w:t>
            </w:r>
          </w:p>
        </w:tc>
        <w:tc>
          <w:tcPr>
            <w:tcW w:type="dxa" w:w="4536"/>
            <w:vAlign w:val="center"/>
            <w:tcMar>
              <w:top w:w="60" w:type="dxa"/>
              <w:bottom w:w="60" w:type="dxa"/>
              <w:left w:w="100" w:type="dxa"/>
              <w:right w:w="100" w:type="dxa"/>
            </w:tcMar>
          </w:tcPr>
          <w:p>
            <w:pPr>
              <w:spacing w:before="60" w:after="60"/>
              <w:jc w:val="center"/>
            </w:pPr>
            <w:r/>
            <w:r>
              <w:rPr>
                <w:rFonts w:ascii="Red Hat Text" w:hAnsi="Red Hat Text"/>
                <w:sz w:val="16"/>
              </w:rPr>
              <w:t>Idan Herman, Consultant, PS IGC</w:t>
            </w:r>
          </w:p>
        </w:tc>
      </w:tr>
      <w:tr>
        <w:trPr>
          <w:cantSplit w:val="true"/>
        </w:trPr>
        <w:tc>
          <w:tcPr>
            <w:tcW w:type="dxa" w:w="4536"/>
            <w:vAlign w:val="center"/>
            <w:tcMar>
              <w:top w:w="60" w:type="dxa"/>
              <w:bottom w:w="60" w:type="dxa"/>
              <w:left w:w="100" w:type="dxa"/>
              <w:right w:w="100" w:type="dxa"/>
            </w:tcMar>
            <w:shd w:fill="F5F5F5"/>
          </w:tcPr>
          <w:p>
            <w:pPr>
              <w:spacing w:before="60" w:after="60"/>
              <w:jc w:val="center"/>
            </w:pPr>
            <w:r/>
            <w:r>
              <w:rPr>
                <w:rFonts w:ascii="Red Hat Text" w:hAnsi="Red Hat Text"/>
                <w:sz w:val="16"/>
              </w:rPr>
              <w:t>Classification</w:t>
            </w:r>
          </w:p>
        </w:tc>
        <w:tc>
          <w:tcPr>
            <w:tcW w:type="dxa" w:w="4536"/>
            <w:vAlign w:val="center"/>
            <w:tcMar>
              <w:top w:w="60" w:type="dxa"/>
              <w:bottom w:w="60" w:type="dxa"/>
              <w:left w:w="100" w:type="dxa"/>
              <w:right w:w="100" w:type="dxa"/>
            </w:tcMar>
            <w:shd w:fill="F5F5F5"/>
          </w:tcPr>
          <w:p>
            <w:pPr>
              <w:spacing w:before="60" w:after="60"/>
              <w:jc w:val="center"/>
            </w:pPr>
            <w:r/>
            <w:r>
              <w:rPr>
                <w:rFonts w:ascii="Red Hat Text" w:hAnsi="Red Hat Text"/>
                <w:sz w:val="16"/>
              </w:rPr>
              <w:t>Customer Confidential</w:t>
            </w:r>
          </w:p>
        </w:tc>
      </w:tr>
    </w:tbl>
    <w:tbl>
      <w:tblPr>
        <w:tblStyle w:val="TableGrid"/>
        <w:tblW w:type="pct" w:w="5000"/>
        <w:jc w:val="center"/>
        <w:tblLook w:firstColumn="1" w:firstRow="1" w:lastColumn="0" w:lastRow="0" w:noHBand="0" w:noVBand="1" w:val="04A0"/>
      </w:tblPr>
      <w:tblGrid>
        <w:gridCol w:w="2268"/>
        <w:gridCol w:w="2268"/>
        <w:gridCol w:w="2268"/>
        <w:gridCol w:w="2268"/>
      </w:tblGrid>
      <w:tr>
        <w:trPr>
          <w:cantSplit w:val="true"/>
          <w:tblHeader w:val="true"/>
        </w:trPr>
        <w:tc>
          <w:tcPr>
            <w:tcW w:type="dxa" w:w="2268"/>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Version</w:t>
            </w:r>
          </w:p>
        </w:tc>
        <w:tc>
          <w:tcPr>
            <w:tcW w:type="dxa" w:w="2268"/>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Date</w:t>
            </w:r>
          </w:p>
        </w:tc>
        <w:tc>
          <w:tcPr>
            <w:tcW w:type="dxa" w:w="2268"/>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Author</w:t>
            </w:r>
          </w:p>
        </w:tc>
        <w:tc>
          <w:tcPr>
            <w:tcW w:type="dxa" w:w="2268"/>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Changes</w:t>
            </w:r>
          </w:p>
        </w:tc>
      </w:tr>
      <w:tr>
        <w:trPr>
          <w:cantSplit w:val="true"/>
        </w:trPr>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1.0</w:t>
            </w:r>
          </w:p>
        </w:tc>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Oct 2026</w:t>
            </w:r>
          </w:p>
        </w:tc>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Idan Herman</w:t>
            </w:r>
          </w:p>
        </w:tc>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Initial release</w:t>
            </w:r>
          </w:p>
        </w:tc>
      </w:tr>
    </w:tbl>
    <w:tbl>
      <w:tblPr>
        <w:tblStyle w:val="TableGrid"/>
        <w:tblW w:type="auto" w:w="0"/>
        <w:tblLook w:firstColumn="1" w:firstRow="1" w:lastColumn="0" w:lastRow="0" w:noHBand="0" w:noVBand="1" w:val="04A0"/>
      </w:tblPr>
      <w:tblGrid>
        <w:gridCol w:w="2268"/>
        <w:gridCol w:w="2268"/>
        <w:gridCol w:w="2268"/>
        <w:gridCol w:w="2268"/>
      </w:tblGrid>
      <w:tr>
        <w:tc>
          <w:tcPr>
            <w:tcW w:type="dxa" w:w="2268"/>
            <w:vAlign w:val="center"/>
            <w:tcMar>
              <w:top w:w="60" w:type="dxa"/>
              <w:bottom w:w="60" w:type="dxa"/>
              <w:left w:w="100" w:type="dxa"/>
              <w:right w:w="100" w:type="dxa"/>
            </w:tcMar>
            <w:shd w:fill="E8E8E8"/>
          </w:tcPr>
          <w:p>
            <w:r/>
            <w:r>
              <w:rPr>
                <w:b/>
                <w:sz w:val="20"/>
              </w:rPr>
              <w:t>Role</w:t>
            </w:r>
          </w:p>
        </w:tc>
        <w:tc>
          <w:tcPr>
            <w:tcW w:type="dxa" w:w="2268"/>
            <w:vAlign w:val="center"/>
            <w:tcMar>
              <w:top w:w="60" w:type="dxa"/>
              <w:bottom w:w="60" w:type="dxa"/>
              <w:left w:w="100" w:type="dxa"/>
              <w:right w:w="100" w:type="dxa"/>
            </w:tcMar>
            <w:shd w:fill="E8E8E8"/>
          </w:tcPr>
          <w:p>
            <w:r/>
            <w:r>
              <w:rPr>
                <w:b/>
                <w:sz w:val="20"/>
              </w:rPr>
              <w:t>Name</w:t>
            </w:r>
          </w:p>
        </w:tc>
        <w:tc>
          <w:tcPr>
            <w:tcW w:type="dxa" w:w="2268"/>
            <w:vAlign w:val="center"/>
            <w:tcMar>
              <w:top w:w="60" w:type="dxa"/>
              <w:bottom w:w="60" w:type="dxa"/>
              <w:left w:w="100" w:type="dxa"/>
              <w:right w:w="100" w:type="dxa"/>
            </w:tcMar>
            <w:shd w:fill="E8E8E8"/>
          </w:tcPr>
          <w:p>
            <w:r/>
            <w:r>
              <w:rPr>
                <w:b/>
                <w:sz w:val="20"/>
              </w:rPr>
              <w:t>Position</w:t>
            </w:r>
          </w:p>
        </w:tc>
        <w:tc>
          <w:tcPr>
            <w:tcW w:type="dxa" w:w="2268"/>
            <w:vAlign w:val="center"/>
            <w:tcMar>
              <w:top w:w="60" w:type="dxa"/>
              <w:bottom w:w="60" w:type="dxa"/>
              <w:left w:w="100" w:type="dxa"/>
              <w:right w:w="100" w:type="dxa"/>
            </w:tcMar>
            <w:shd w:fill="E8E8E8"/>
          </w:tcPr>
          <w:p>
            <w:r/>
            <w:r>
              <w:rPr>
                <w:b/>
                <w:sz w:val="20"/>
              </w:rPr>
              <w:t>Date</w:t>
            </w:r>
          </w:p>
        </w:tc>
      </w:tr>
      <w:tr>
        <w:tc>
          <w:tcPr>
            <w:tcW w:type="dxa" w:w="2268"/>
            <w:vAlign w:val="center"/>
            <w:tcMar>
              <w:top w:w="60" w:type="dxa"/>
              <w:bottom w:w="60" w:type="dxa"/>
              <w:left w:w="100" w:type="dxa"/>
              <w:right w:w="100" w:type="dxa"/>
            </w:tcMar>
          </w:tcPr>
          <w:p>
            <w:r/>
            <w:r>
              <w:rPr>
                <w:sz w:val="20"/>
              </w:rPr>
              <w:t>Main author</w:t>
            </w:r>
          </w:p>
        </w:tc>
        <w:tc>
          <w:tcPr>
            <w:tcW w:type="dxa" w:w="2268"/>
            <w:vAlign w:val="center"/>
            <w:tcMar>
              <w:top w:w="60" w:type="dxa"/>
              <w:bottom w:w="60" w:type="dxa"/>
              <w:left w:w="100" w:type="dxa"/>
              <w:right w:w="100" w:type="dxa"/>
            </w:tcMar>
          </w:tcPr>
          <w:p>
            <w:r/>
            <w:r>
              <w:rPr>
                <w:sz w:val="20"/>
              </w:rPr>
              <w:t>Idan Herman</w:t>
            </w:r>
          </w:p>
        </w:tc>
        <w:tc>
          <w:tcPr>
            <w:tcW w:type="dxa" w:w="2268"/>
            <w:vAlign w:val="center"/>
            <w:tcMar>
              <w:top w:w="60" w:type="dxa"/>
              <w:bottom w:w="60" w:type="dxa"/>
              <w:left w:w="100" w:type="dxa"/>
              <w:right w:w="100" w:type="dxa"/>
            </w:tcMar>
          </w:tcPr>
          <w:p>
            <w:r/>
            <w:r>
              <w:rPr>
                <w:sz w:val="20"/>
              </w:rPr>
              <w:t>Consultant, PS IGC</w:t>
            </w:r>
          </w:p>
        </w:tc>
        <w:tc>
          <w:tcPr>
            <w:tcW w:type="dxa" w:w="2268"/>
            <w:vAlign w:val="center"/>
            <w:tcMar>
              <w:top w:w="60" w:type="dxa"/>
              <w:bottom w:w="60" w:type="dxa"/>
              <w:left w:w="100" w:type="dxa"/>
              <w:right w:w="100" w:type="dxa"/>
            </w:tcMar>
          </w:tcPr>
          <w:p>
            <w:r/>
            <w:r>
              <w:rPr>
                <w:sz w:val="20"/>
              </w:rPr>
              <w:t>October 2026</w:t>
            </w:r>
          </w:p>
        </w:tc>
      </w:tr>
      <w:tr>
        <w:tc>
          <w:tcPr>
            <w:tcW w:type="dxa" w:w="2268"/>
            <w:vAlign w:val="center"/>
            <w:tcMar>
              <w:top w:w="60" w:type="dxa"/>
              <w:bottom w:w="60" w:type="dxa"/>
              <w:left w:w="100" w:type="dxa"/>
              <w:right w:w="100" w:type="dxa"/>
            </w:tcMar>
          </w:tcPr>
          <w:p>
            <w:r/>
            <w:r>
              <w:rPr>
                <w:sz w:val="20"/>
              </w:rPr>
              <w:t>Contributor</w:t>
            </w:r>
          </w:p>
        </w:tc>
        <w:tc>
          <w:tcPr>
            <w:tcW w:type="dxa" w:w="2268"/>
            <w:vAlign w:val="center"/>
            <w:tcMar>
              <w:top w:w="60" w:type="dxa"/>
              <w:bottom w:w="60" w:type="dxa"/>
              <w:left w:w="100" w:type="dxa"/>
              <w:right w:w="100" w:type="dxa"/>
            </w:tcMar>
          </w:tcPr>
          <w:p>
            <w:r/>
            <w:r>
              <w:rPr>
                <w:sz w:val="20"/>
              </w:rPr>
            </w:r>
          </w:p>
        </w:tc>
        <w:tc>
          <w:tcPr>
            <w:tcW w:type="dxa" w:w="2268"/>
            <w:vAlign w:val="center"/>
            <w:tcMar>
              <w:top w:w="60" w:type="dxa"/>
              <w:bottom w:w="60" w:type="dxa"/>
              <w:left w:w="100" w:type="dxa"/>
              <w:right w:w="100" w:type="dxa"/>
            </w:tcMar>
          </w:tcPr>
          <w:p>
            <w:r/>
            <w:r>
              <w:rPr>
                <w:sz w:val="20"/>
              </w:rPr>
            </w:r>
          </w:p>
        </w:tc>
        <w:tc>
          <w:tcPr>
            <w:tcW w:type="dxa" w:w="2268"/>
            <w:vAlign w:val="center"/>
            <w:tcMar>
              <w:top w:w="60" w:type="dxa"/>
              <w:bottom w:w="60" w:type="dxa"/>
              <w:left w:w="100" w:type="dxa"/>
              <w:right w:w="100" w:type="dxa"/>
            </w:tcMar>
          </w:tcPr>
          <w:p>
            <w:r/>
            <w:r>
              <w:rPr>
                <w:sz w:val="20"/>
              </w:rPr>
            </w:r>
          </w:p>
        </w:tc>
      </w:tr>
    </w:tbl>
    <w:p>
      <w:pPr>
        <w:spacing w:after="200"/>
      </w:pPr>
    </w:p>
    <w:p>
      <w:pPr>
        <w:pStyle w:val="Heading1"/>
        <w:spacing w:before="360" w:after="200"/>
      </w:pPr>
      <w:r>
        <w:rPr>
          <w:color w:val="CC0000"/>
        </w:rPr>
        <w:t>Table of Contents</w:t>
      </w:r>
    </w:p>
    <w:p>
      <w:r>
        <w:fldChar w:fldCharType="begin"/>
      </w:r>
      <w:r>
        <w:instrText xml:space="preserve"> TOC \o "1-3" \h \z \u </w:instrText>
      </w:r>
      <w:r>
        <w:fldChar w:fldCharType="separate"/>
      </w:r>
      <w:r>
        <w:rPr>
          <w:i/>
          <w:color w:val="888888"/>
        </w:rPr>
        <w:t>[Right-click and Update Field to generate TOC]</w:t>
      </w:r>
      <w:r>
        <w:fldChar w:fldCharType="end"/>
      </w:r>
    </w:p>
    <w:p>
      <w:r>
        <w:br w:type="page"/>
      </w:r>
    </w:p>
    <w:p>
      <w:pPr>
        <w:pStyle w:val="Heading1"/>
      </w:pPr>
      <w:r>
        <w:t>Executive Summary</w:t>
      </w:r>
    </w:p>
    <w:p>
      <w:pPr>
        <w:ind w:left="283"/>
      </w:pPr>
      <w:r>
        <w:rPr>
          <w:sz w:val="20"/>
        </w:rPr>
        <w:t xml:space="preserve">This guide is a comprehensive reference for tuning OpenShift nodes across four configuration layers: </w:t>
      </w:r>
      <w:r>
        <w:rPr>
          <w:b/>
          <w:sz w:val="20"/>
        </w:rPr>
        <w:t>KubeletConfig</w:t>
      </w:r>
      <w:r>
        <w:rPr>
          <w:sz w:val="20"/>
        </w:rPr>
        <w:t xml:space="preserve">, </w:t>
      </w:r>
      <w:r>
        <w:rPr>
          <w:b/>
          <w:sz w:val="20"/>
        </w:rPr>
        <w:t>PerformanceProfile</w:t>
      </w:r>
      <w:r>
        <w:rPr>
          <w:sz w:val="20"/>
        </w:rPr>
        <w:t xml:space="preserve">, </w:t>
      </w:r>
      <w:r>
        <w:rPr>
          <w:b/>
          <w:sz w:val="20"/>
        </w:rPr>
        <w:t>MachineConfig</w:t>
      </w:r>
      <w:r>
        <w:rPr>
          <w:sz w:val="20"/>
        </w:rPr>
        <w:t xml:space="preserve">, and </w:t>
      </w:r>
      <w:r>
        <w:rPr>
          <w:b/>
          <w:sz w:val="20"/>
        </w:rPr>
        <w:t>Node Tuning Operator (TuneD)</w:t>
      </w:r>
      <w:r>
        <w:rPr>
          <w:sz w:val="20"/>
        </w:rPr>
        <w:t>. It covers every tunable parameter an OpenShift administrator should consider, with per-parameter analysis of when to change the default, which direction to tune, and how the recommendation varies by node archetype.</w:t>
      </w:r>
    </w:p>
    <w:p>
      <w:pPr>
        <w:ind w:left="283"/>
      </w:pPr>
      <w:r>
        <w:rPr>
          <w:sz w:val="20"/>
        </w:rPr>
        <w:t>Three findings require immediate action. Each change requires an MCO rolling reboot of the affected MachineConfigPool, so a rollout plan with maintenance windows is needed.</w:t>
      </w:r>
    </w:p>
    <w:p>
      <w:pPr>
        <w:pStyle w:val="ListNumber"/>
        <w:ind w:left="850"/>
      </w:pPr>
      <w:r>
        <w:rPr>
          <w:sz w:val="20"/>
        </w:rPr>
        <w:t xml:space="preserve">**CRITICAL — </w:t>
      </w:r>
      <w:r>
        <w:rPr>
          <w:rFonts w:ascii="Red Hat Mono" w:hAnsi="Red Hat Mono"/>
          <w:color w:val="CC0000"/>
          <w:sz w:val="18"/>
        </w:rPr>
        <w:t>podPidsLimit=1024</w:t>
      </w:r>
      <w:r>
        <w:rPr>
          <w:sz w:val="20"/>
        </w:rPr>
        <w:t xml:space="preserve"> on infra-kubeletconfig and tuned-worker-kubeletconfig.</w:t>
      </w:r>
      <w:r>
        <w:rPr>
          <w:b/>
          <w:sz w:val="20"/>
        </w:rPr>
        <w:t xml:space="preserve"> This value was deliberately set during the July 2023 CRI-O panic crisis (Case 03548427) as an emergency measure against 10,000+ zombie processes. It did not fix the issue — the real fix was the CRI-O bugfix in 4.12.30 — and was never reverted. In June 2026, it directly caused a Multus thread exhaustion outage on OCP 4.16 (Case 04472910). Raise to 4096 (the OCP 4.11+ default). </w:t>
      </w:r>
      <w:r>
        <w:rPr>
          <w:sz w:val="20"/>
        </w:rPr>
        <w:t>Lesson: emergency changes need a revert ticket.**</w:t>
      </w:r>
    </w:p>
    <w:p>
      <w:pPr>
        <w:pStyle w:val="ListNumber"/>
        <w:ind w:left="850"/>
      </w:pPr>
      <w:r>
        <w:rPr>
          <w:sz w:val="20"/>
        </w:rPr>
        <w:t xml:space="preserve">**CRITICAL — </w:t>
      </w:r>
      <w:r>
        <w:rPr>
          <w:rFonts w:ascii="Red Hat Mono" w:hAnsi="Red Hat Mono"/>
          <w:color w:val="CC0000"/>
          <w:sz w:val="18"/>
        </w:rPr>
        <w:t>systemReserved.memory=500Mi</w:t>
      </w:r>
      <w:r>
        <w:rPr>
          <w:sz w:val="20"/>
        </w:rPr>
        <w:t xml:space="preserve"> on tuned-worker-kubeletconfig.** Red Hat engineering recommended 10Gi for these 756GB bare-metal nodes (Case 03562048). The current value is 20x below that recommendation. Increase to at least 10Gi.</w:t>
      </w:r>
    </w:p>
    <w:p>
      <w:pPr>
        <w:pStyle w:val="ListNumber"/>
        <w:ind w:left="850"/>
      </w:pPr>
      <w:r>
        <w:rPr>
          <w:sz w:val="20"/>
        </w:rPr>
        <w:t xml:space="preserve">**CRITICAL — </w:t>
      </w:r>
      <w:r>
        <w:rPr>
          <w:rFonts w:ascii="Red Hat Mono" w:hAnsi="Red Hat Mono"/>
          <w:color w:val="CC0000"/>
          <w:sz w:val="18"/>
        </w:rPr>
        <w:t>net.ipv4.tcp_rmem</w:t>
      </w:r>
      <w:r>
        <w:rPr>
          <w:sz w:val="20"/>
        </w:rPr>
        <w:t xml:space="preserve"> TuneD fix for enic bare-metal nodes.** The RHEL 9.4 TCP window auto-tuning regression (KCS 7127975) causes multi-hour container image pulls on Cisco enic NICs. The TuneD fix must be deployed before any workload churn on those nodes.</w:t>
      </w:r>
    </w:p>
    <w:p>
      <w:pPr>
        <w:ind w:left="283"/>
      </w:pPr>
      <w:r>
        <w:rPr>
          <w:sz w:val="20"/>
        </w:rPr>
        <w:t xml:space="preserve">Additionally, the </w:t>
      </w:r>
      <w:r>
        <w:rPr>
          <w:b/>
          <w:sz w:val="20"/>
        </w:rPr>
        <w:t>normal-worker pool</w:t>
      </w:r>
      <w:r>
        <w:rPr>
          <w:sz w:val="20"/>
        </w:rPr>
        <w:t xml:space="preserve"> runs </w:t>
      </w:r>
      <w:r>
        <w:rPr>
          <w:rFonts w:ascii="Red Hat Mono" w:hAnsi="Red Hat Mono"/>
          <w:color w:val="CC0000"/>
          <w:sz w:val="18"/>
        </w:rPr>
        <w:t>maxPods: 500</w:t>
      </w:r>
      <w:r>
        <w:rPr>
          <w:sz w:val="20"/>
        </w:rPr>
        <w:t xml:space="preserve"> with </w:t>
      </w:r>
      <w:r>
        <w:rPr>
          <w:rFonts w:ascii="Red Hat Mono" w:hAnsi="Red Hat Mono"/>
          <w:color w:val="CC0000"/>
          <w:sz w:val="18"/>
        </w:rPr>
        <w:t>autoSizingReserved: true</w:t>
      </w:r>
      <w:r>
        <w:rPr>
          <w:sz w:val="20"/>
        </w:rPr>
        <w:t xml:space="preserve"> and default </w:t>
      </w:r>
      <w:r>
        <w:rPr>
          <w:rFonts w:ascii="Red Hat Mono" w:hAnsi="Red Hat Mono"/>
          <w:color w:val="CC0000"/>
          <w:sz w:val="18"/>
        </w:rPr>
        <w:t>kubeAPIQPS: 50</w:t>
      </w:r>
      <w:r>
        <w:rPr>
          <w:sz w:val="20"/>
        </w:rPr>
        <w:t xml:space="preserve">. Per this guide's own rules (§1 and §2), that pool is under-provisioned: auto-sizing reserves only 500m CPU (the enforced minimum) for a workload that needs 4000m+, and the default QPS is too low for 500 pods. This pool needs the same manual </w:t>
      </w:r>
      <w:r>
        <w:rPr>
          <w:rFonts w:ascii="Red Hat Mono" w:hAnsi="Red Hat Mono"/>
          <w:color w:val="CC0000"/>
          <w:sz w:val="18"/>
        </w:rPr>
        <w:t>systemReserved</w:t>
      </w:r>
      <w:r>
        <w:rPr>
          <w:sz w:val="20"/>
        </w:rPr>
        <w:t xml:space="preserve"> and raised </w:t>
      </w:r>
      <w:r>
        <w:rPr>
          <w:rFonts w:ascii="Red Hat Mono" w:hAnsi="Red Hat Mono"/>
          <w:color w:val="CC0000"/>
          <w:sz w:val="18"/>
        </w:rPr>
        <w:t>kubeAPIQPS/Burst</w:t>
      </w:r>
      <w:r>
        <w:rPr>
          <w:sz w:val="20"/>
        </w:rPr>
        <w:t xml:space="preserve"> as the tuned-worker pool.</w:t>
      </w:r>
    </w:p>
    <w:p>
      <w:r>
        <w:br w:type="page"/>
      </w:r>
    </w:p>
    <w:p>
      <w:pPr>
        <w:pStyle w:val="Heading1"/>
      </w:pPr>
      <w:r>
        <w:t>How to Use This Guide</w:t>
      </w:r>
    </w:p>
    <w:p>
      <w:pPr>
        <w:pStyle w:val="Heading2"/>
        <w:ind w:left="283"/>
      </w:pPr>
      <w:r>
        <w:t>Node Archetypes</w:t>
      </w:r>
    </w:p>
    <w:p>
      <w:pPr>
        <w:ind w:left="283"/>
      </w:pPr>
      <w:r>
        <w:rPr>
          <w:sz w:val="20"/>
        </w:rPr>
        <w:t>This guide uses two axes to determine tuning recommendations:</w:t>
      </w:r>
    </w:p>
    <w:tbl>
      <w:tblPr>
        <w:tblStyle w:val="TableGrid"/>
        <w:tblW w:type="pct" w:w="5000"/>
        <w:jc w:val="center"/>
        <w:tblLook w:firstColumn="1" w:firstRow="1" w:lastColumn="0" w:lastRow="0" w:noHBand="0" w:noVBand="1" w:val="04A0"/>
      </w:tblPr>
      <w:tblGrid>
        <w:gridCol w:w="3024"/>
        <w:gridCol w:w="3024"/>
        <w:gridCol w:w="3024"/>
      </w:tblGrid>
      <w:tr>
        <w:trPr>
          <w:cantSplit w:val="true"/>
          <w:tblHeader w:val="true"/>
        </w:trPr>
        <w:tc>
          <w:tcPr>
            <w:tcW w:type="dxa" w:w="302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Axis</w:t>
            </w:r>
          </w:p>
        </w:tc>
        <w:tc>
          <w:tcPr>
            <w:tcW w:type="dxa" w:w="302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Options</w:t>
            </w:r>
          </w:p>
        </w:tc>
        <w:tc>
          <w:tcPr>
            <w:tcW w:type="dxa" w:w="302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Impact on tuning</w:t>
            </w:r>
          </w:p>
        </w:tc>
      </w:tr>
      <w:tr>
        <w:trPr>
          <w:cantSplit w:val="true"/>
        </w:trPr>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Role</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control-plane, infra, worker</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Workload type, pod density, criticality</w:t>
            </w:r>
          </w:p>
        </w:tc>
      </w:tr>
      <w:tr>
        <w:trPr>
          <w:cantSplit w:val="true"/>
        </w:trPr>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Hardware</w:t>
            </w:r>
          </w:p>
        </w:tc>
        <w:tc>
          <w:tcPr>
            <w:tcW w:type="dxa" w:w="3024"/>
            <w:vAlign w:val="center"/>
            <w:tcMar>
              <w:top w:w="60" w:type="dxa"/>
              <w:bottom w:w="60" w:type="dxa"/>
              <w:left w:w="100" w:type="dxa"/>
              <w:right w:w="100" w:type="dxa"/>
            </w:tcMar>
            <w:shd w:fill="F5F5F5"/>
          </w:tcPr>
          <w:p>
            <w:pPr>
              <w:spacing w:before="60" w:after="60"/>
              <w:jc w:val="left"/>
            </w:pPr>
            <w:r/>
            <w:r>
              <w:rPr>
                <w:rFonts w:ascii="Red Hat Text" w:hAnsi="Red Hat Text"/>
                <w:sz w:val="16"/>
              </w:rPr>
              <w:t>VM (4–20 cores, 16–130GB) or BM (56+ cores, 756GB+)</w:t>
            </w:r>
          </w:p>
        </w:tc>
        <w:tc>
          <w:tcPr>
            <w:tcW w:type="dxa" w:w="3024"/>
            <w:vAlign w:val="center"/>
            <w:tcMar>
              <w:top w:w="60" w:type="dxa"/>
              <w:bottom w:w="60" w:type="dxa"/>
              <w:left w:w="100" w:type="dxa"/>
              <w:right w:w="100" w:type="dxa"/>
            </w:tcMar>
            <w:shd w:fill="F5F5F5"/>
          </w:tcPr>
          <w:p>
            <w:pPr>
              <w:spacing w:before="60" w:after="60"/>
              <w:jc w:val="left"/>
            </w:pPr>
            <w:r/>
            <w:r>
              <w:rPr>
                <w:rFonts w:ascii="Red Hat Text" w:hAnsi="Red Hat Text"/>
                <w:sz w:val="16"/>
              </w:rPr>
              <w:t>NUMA topology, systemReserved sizing, NIC driver tuning, C-states</w:t>
            </w:r>
          </w:p>
        </w:tc>
      </w:tr>
    </w:tbl>
    <w:p>
      <w:pPr>
        <w:ind w:left="283"/>
      </w:pPr>
      <w:r>
        <w:rPr>
          <w:sz w:val="20"/>
        </w:rPr>
        <w:t>The customer's four KubeletConfig pools:</w:t>
      </w:r>
    </w:p>
    <w:tbl>
      <w:tblPr>
        <w:tblStyle w:val="TableGrid"/>
        <w:tblW w:type="pct" w:w="5000"/>
        <w:jc w:val="center"/>
        <w:tblLook w:firstColumn="1" w:firstRow="1" w:lastColumn="0" w:lastRow="0" w:noHBand="0" w:noVBand="1" w:val="04A0"/>
      </w:tblPr>
      <w:tblGrid>
        <w:gridCol w:w="1296"/>
        <w:gridCol w:w="1296"/>
        <w:gridCol w:w="1296"/>
        <w:gridCol w:w="1296"/>
        <w:gridCol w:w="1296"/>
        <w:gridCol w:w="1296"/>
        <w:gridCol w:w="1296"/>
      </w:tblGrid>
      <w:tr>
        <w:trPr>
          <w:cantSplit w:val="true"/>
          <w:tblHeader w:val="true"/>
        </w:trPr>
        <w:tc>
          <w:tcPr>
            <w:tcW w:type="dxa" w:w="1296"/>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Pool</w:t>
            </w:r>
          </w:p>
        </w:tc>
        <w:tc>
          <w:tcPr>
            <w:tcW w:type="dxa" w:w="1296"/>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Role</w:t>
            </w:r>
          </w:p>
        </w:tc>
        <w:tc>
          <w:tcPr>
            <w:tcW w:type="dxa" w:w="1296"/>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HW</w:t>
            </w:r>
          </w:p>
        </w:tc>
        <w:tc>
          <w:tcPr>
            <w:tcW w:type="dxa" w:w="1296"/>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Cores</w:t>
            </w:r>
          </w:p>
        </w:tc>
        <w:tc>
          <w:tcPr>
            <w:tcW w:type="dxa" w:w="1296"/>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RAM</w:t>
            </w:r>
          </w:p>
        </w:tc>
        <w:tc>
          <w:tcPr>
            <w:tcW w:type="dxa" w:w="1296"/>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maxPods</w:t>
            </w:r>
          </w:p>
        </w:tc>
        <w:tc>
          <w:tcPr>
            <w:tcW w:type="dxa" w:w="1296"/>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Key differences</w:t>
            </w:r>
          </w:p>
        </w:tc>
      </w:tr>
      <w:tr>
        <w:trPr>
          <w:cantSplit w:val="true"/>
        </w:trPr>
        <w:tc>
          <w:tcPr>
            <w:tcW w:type="dxa" w:w="1296"/>
            <w:vAlign w:val="center"/>
            <w:tcMar>
              <w:top w:w="60" w:type="dxa"/>
              <w:bottom w:w="60" w:type="dxa"/>
              <w:left w:w="100" w:type="dxa"/>
              <w:right w:w="100" w:type="dxa"/>
            </w:tcMar>
          </w:tcPr>
          <w:p>
            <w:pPr>
              <w:spacing w:before="60" w:after="60"/>
              <w:jc w:val="center"/>
            </w:pPr>
            <w:r/>
            <w:r>
              <w:rPr>
                <w:rFonts w:ascii="Red Hat Text" w:hAnsi="Red Hat Text"/>
                <w:sz w:val="16"/>
              </w:rPr>
              <w:t>master-kubeletconfig</w:t>
            </w:r>
          </w:p>
        </w:tc>
        <w:tc>
          <w:tcPr>
            <w:tcW w:type="dxa" w:w="1296"/>
            <w:vAlign w:val="center"/>
            <w:tcMar>
              <w:top w:w="60" w:type="dxa"/>
              <w:bottom w:w="60" w:type="dxa"/>
              <w:left w:w="100" w:type="dxa"/>
              <w:right w:w="100" w:type="dxa"/>
            </w:tcMar>
          </w:tcPr>
          <w:p>
            <w:pPr>
              <w:spacing w:before="60" w:after="60"/>
              <w:jc w:val="center"/>
            </w:pPr>
            <w:r/>
            <w:r>
              <w:rPr>
                <w:rFonts w:ascii="Red Hat Text" w:hAnsi="Red Hat Text"/>
                <w:sz w:val="16"/>
              </w:rPr>
              <w:t>control-plane</w:t>
            </w:r>
          </w:p>
        </w:tc>
        <w:tc>
          <w:tcPr>
            <w:tcW w:type="dxa" w:w="1296"/>
            <w:vAlign w:val="center"/>
            <w:tcMar>
              <w:top w:w="60" w:type="dxa"/>
              <w:bottom w:w="60" w:type="dxa"/>
              <w:left w:w="100" w:type="dxa"/>
              <w:right w:w="100" w:type="dxa"/>
            </w:tcMar>
          </w:tcPr>
          <w:p>
            <w:pPr>
              <w:spacing w:before="60" w:after="60"/>
              <w:jc w:val="center"/>
            </w:pPr>
            <w:r/>
            <w:r>
              <w:rPr>
                <w:rFonts w:ascii="Red Hat Text" w:hAnsi="Red Hat Text"/>
                <w:sz w:val="16"/>
              </w:rPr>
              <w:t>VM</w:t>
            </w:r>
          </w:p>
        </w:tc>
        <w:tc>
          <w:tcPr>
            <w:tcW w:type="dxa" w:w="1296"/>
            <w:vAlign w:val="center"/>
            <w:tcMar>
              <w:top w:w="60" w:type="dxa"/>
              <w:bottom w:w="60" w:type="dxa"/>
              <w:left w:w="100" w:type="dxa"/>
              <w:right w:w="100" w:type="dxa"/>
            </w:tcMar>
          </w:tcPr>
          <w:p>
            <w:pPr>
              <w:spacing w:before="60" w:after="60"/>
              <w:jc w:val="center"/>
            </w:pPr>
            <w:r/>
            <w:r>
              <w:rPr>
                <w:rFonts w:ascii="Red Hat Text" w:hAnsi="Red Hat Text"/>
                <w:sz w:val="16"/>
              </w:rPr>
              <w:t>20</w:t>
            </w:r>
          </w:p>
        </w:tc>
        <w:tc>
          <w:tcPr>
            <w:tcW w:type="dxa" w:w="1296"/>
            <w:vAlign w:val="center"/>
            <w:tcMar>
              <w:top w:w="60" w:type="dxa"/>
              <w:bottom w:w="60" w:type="dxa"/>
              <w:left w:w="100" w:type="dxa"/>
              <w:right w:w="100" w:type="dxa"/>
            </w:tcMar>
          </w:tcPr>
          <w:p>
            <w:pPr>
              <w:spacing w:before="60" w:after="60"/>
              <w:jc w:val="center"/>
            </w:pPr>
            <w:r/>
            <w:r>
              <w:rPr>
                <w:rFonts w:ascii="Red Hat Text" w:hAnsi="Red Hat Text"/>
                <w:sz w:val="16"/>
              </w:rPr>
              <w:t>130GB</w:t>
            </w:r>
          </w:p>
        </w:tc>
        <w:tc>
          <w:tcPr>
            <w:tcW w:type="dxa" w:w="1296"/>
            <w:vAlign w:val="center"/>
            <w:tcMar>
              <w:top w:w="60" w:type="dxa"/>
              <w:bottom w:w="60" w:type="dxa"/>
              <w:left w:w="100" w:type="dxa"/>
              <w:right w:w="100" w:type="dxa"/>
            </w:tcMar>
          </w:tcPr>
          <w:p>
            <w:pPr>
              <w:spacing w:before="60" w:after="60"/>
              <w:jc w:val="center"/>
            </w:pPr>
            <w:r/>
            <w:r>
              <w:rPr>
                <w:rFonts w:ascii="Red Hat Text" w:hAnsi="Red Hat Text"/>
                <w:sz w:val="16"/>
              </w:rPr>
              <w:t>250</w:t>
            </w:r>
          </w:p>
        </w:tc>
        <w:tc>
          <w:tcPr>
            <w:tcW w:type="dxa" w:w="1296"/>
            <w:vAlign w:val="center"/>
            <w:tcMar>
              <w:top w:w="60" w:type="dxa"/>
              <w:bottom w:w="60" w:type="dxa"/>
              <w:left w:w="100" w:type="dxa"/>
              <w:right w:w="100" w:type="dxa"/>
            </w:tcMar>
          </w:tcPr>
          <w:p>
            <w:pPr>
              <w:spacing w:before="60" w:after="60"/>
              <w:jc w:val="center"/>
            </w:pPr>
            <w:r/>
            <w:r>
              <w:rPr>
                <w:rFonts w:ascii="Red Hat Text" w:hAnsi="Red Hat Text"/>
                <w:sz w:val="16"/>
              </w:rPr>
              <w:t>autoSizingReserved only</w:t>
            </w:r>
          </w:p>
        </w:tc>
      </w:tr>
      <w:tr>
        <w:trPr>
          <w:cantSplit w:val="true"/>
        </w:trPr>
        <w:tc>
          <w:tcPr>
            <w:tcW w:type="dxa" w:w="1296"/>
            <w:vAlign w:val="center"/>
            <w:tcMar>
              <w:top w:w="60" w:type="dxa"/>
              <w:bottom w:w="60" w:type="dxa"/>
              <w:left w:w="100" w:type="dxa"/>
              <w:right w:w="100" w:type="dxa"/>
            </w:tcMar>
            <w:shd w:fill="F5F5F5"/>
          </w:tcPr>
          <w:p>
            <w:pPr>
              <w:spacing w:before="60" w:after="60"/>
              <w:jc w:val="center"/>
            </w:pPr>
            <w:r/>
            <w:r>
              <w:rPr>
                <w:rFonts w:ascii="Red Hat Text" w:hAnsi="Red Hat Text"/>
                <w:sz w:val="16"/>
              </w:rPr>
              <w:t>infra-kubeletconfig</w:t>
            </w:r>
          </w:p>
        </w:tc>
        <w:tc>
          <w:tcPr>
            <w:tcW w:type="dxa" w:w="1296"/>
            <w:vAlign w:val="center"/>
            <w:tcMar>
              <w:top w:w="60" w:type="dxa"/>
              <w:bottom w:w="60" w:type="dxa"/>
              <w:left w:w="100" w:type="dxa"/>
              <w:right w:w="100" w:type="dxa"/>
            </w:tcMar>
            <w:shd w:fill="F5F5F5"/>
          </w:tcPr>
          <w:p>
            <w:pPr>
              <w:spacing w:before="60" w:after="60"/>
              <w:jc w:val="center"/>
            </w:pPr>
            <w:r/>
            <w:r>
              <w:rPr>
                <w:rFonts w:ascii="Red Hat Text" w:hAnsi="Red Hat Text"/>
                <w:sz w:val="16"/>
              </w:rPr>
              <w:t>infra</w:t>
            </w:r>
          </w:p>
        </w:tc>
        <w:tc>
          <w:tcPr>
            <w:tcW w:type="dxa" w:w="1296"/>
            <w:vAlign w:val="center"/>
            <w:tcMar>
              <w:top w:w="60" w:type="dxa"/>
              <w:bottom w:w="60" w:type="dxa"/>
              <w:left w:w="100" w:type="dxa"/>
              <w:right w:w="100" w:type="dxa"/>
            </w:tcMar>
            <w:shd w:fill="F5F5F5"/>
          </w:tcPr>
          <w:p>
            <w:pPr>
              <w:spacing w:before="60" w:after="60"/>
              <w:jc w:val="center"/>
            </w:pPr>
            <w:r/>
            <w:r>
              <w:rPr>
                <w:rFonts w:ascii="Red Hat Text" w:hAnsi="Red Hat Text"/>
                <w:sz w:val="16"/>
              </w:rPr>
              <w:t>VM</w:t>
            </w:r>
          </w:p>
        </w:tc>
        <w:tc>
          <w:tcPr>
            <w:tcW w:type="dxa" w:w="1296"/>
            <w:vAlign w:val="center"/>
            <w:tcMar>
              <w:top w:w="60" w:type="dxa"/>
              <w:bottom w:w="60" w:type="dxa"/>
              <w:left w:w="100" w:type="dxa"/>
              <w:right w:w="100" w:type="dxa"/>
            </w:tcMar>
            <w:shd w:fill="F5F5F5"/>
          </w:tcPr>
          <w:p>
            <w:pPr>
              <w:spacing w:before="60" w:after="60"/>
              <w:jc w:val="center"/>
            </w:pPr>
            <w:r/>
            <w:r>
              <w:rPr>
                <w:rFonts w:ascii="Red Hat Text" w:hAnsi="Red Hat Text"/>
                <w:sz w:val="16"/>
              </w:rPr>
              <w:t>12</w:t>
            </w:r>
          </w:p>
        </w:tc>
        <w:tc>
          <w:tcPr>
            <w:tcW w:type="dxa" w:w="1296"/>
            <w:vAlign w:val="center"/>
            <w:tcMar>
              <w:top w:w="60" w:type="dxa"/>
              <w:bottom w:w="60" w:type="dxa"/>
              <w:left w:w="100" w:type="dxa"/>
              <w:right w:w="100" w:type="dxa"/>
            </w:tcMar>
            <w:shd w:fill="F5F5F5"/>
          </w:tcPr>
          <w:p>
            <w:pPr>
              <w:spacing w:before="60" w:after="60"/>
              <w:jc w:val="center"/>
            </w:pPr>
            <w:r/>
            <w:r>
              <w:rPr>
                <w:rFonts w:ascii="Red Hat Text" w:hAnsi="Red Hat Text"/>
                <w:sz w:val="16"/>
              </w:rPr>
              <w:t>42GB</w:t>
            </w:r>
          </w:p>
        </w:tc>
        <w:tc>
          <w:tcPr>
            <w:tcW w:type="dxa" w:w="1296"/>
            <w:vAlign w:val="center"/>
            <w:tcMar>
              <w:top w:w="60" w:type="dxa"/>
              <w:bottom w:w="60" w:type="dxa"/>
              <w:left w:w="100" w:type="dxa"/>
              <w:right w:w="100" w:type="dxa"/>
            </w:tcMar>
            <w:shd w:fill="F5F5F5"/>
          </w:tcPr>
          <w:p>
            <w:pPr>
              <w:spacing w:before="60" w:after="60"/>
              <w:jc w:val="center"/>
            </w:pPr>
            <w:r/>
            <w:r>
              <w:rPr>
                <w:rFonts w:ascii="Red Hat Text" w:hAnsi="Red Hat Text"/>
                <w:sz w:val="16"/>
              </w:rPr>
              <w:t>100</w:t>
            </w:r>
          </w:p>
        </w:tc>
        <w:tc>
          <w:tcPr>
            <w:tcW w:type="dxa" w:w="1296"/>
            <w:vAlign w:val="center"/>
            <w:tcMar>
              <w:top w:w="60" w:type="dxa"/>
              <w:bottom w:w="60" w:type="dxa"/>
              <w:left w:w="100" w:type="dxa"/>
              <w:right w:w="100" w:type="dxa"/>
            </w:tcMar>
            <w:shd w:fill="F5F5F5"/>
          </w:tcPr>
          <w:p>
            <w:pPr>
              <w:spacing w:before="60" w:after="60"/>
              <w:jc w:val="center"/>
            </w:pPr>
            <w:r/>
            <w:r>
              <w:rPr>
                <w:rFonts w:ascii="Red Hat Text" w:hAnsi="Red Hat Text"/>
                <w:sz w:val="16"/>
              </w:rPr>
              <w:t>podPidsLimit=1024 (CRITICAL)</w:t>
            </w:r>
          </w:p>
        </w:tc>
      </w:tr>
      <w:tr>
        <w:trPr>
          <w:cantSplit w:val="true"/>
        </w:trPr>
        <w:tc>
          <w:tcPr>
            <w:tcW w:type="dxa" w:w="1296"/>
            <w:vAlign w:val="center"/>
            <w:tcMar>
              <w:top w:w="60" w:type="dxa"/>
              <w:bottom w:w="60" w:type="dxa"/>
              <w:left w:w="100" w:type="dxa"/>
              <w:right w:w="100" w:type="dxa"/>
            </w:tcMar>
          </w:tcPr>
          <w:p>
            <w:pPr>
              <w:spacing w:before="60" w:after="60"/>
              <w:jc w:val="center"/>
            </w:pPr>
            <w:r/>
            <w:r>
              <w:rPr>
                <w:rFonts w:ascii="Red Hat Text" w:hAnsi="Red Hat Text"/>
                <w:sz w:val="16"/>
              </w:rPr>
              <w:t>normal-worker-kubeletconfig</w:t>
            </w:r>
          </w:p>
        </w:tc>
        <w:tc>
          <w:tcPr>
            <w:tcW w:type="dxa" w:w="1296"/>
            <w:vAlign w:val="center"/>
            <w:tcMar>
              <w:top w:w="60" w:type="dxa"/>
              <w:bottom w:w="60" w:type="dxa"/>
              <w:left w:w="100" w:type="dxa"/>
              <w:right w:w="100" w:type="dxa"/>
            </w:tcMar>
          </w:tcPr>
          <w:p>
            <w:pPr>
              <w:spacing w:before="60" w:after="60"/>
              <w:jc w:val="center"/>
            </w:pPr>
            <w:r/>
            <w:r>
              <w:rPr>
                <w:rFonts w:ascii="Red Hat Text" w:hAnsi="Red Hat Text"/>
                <w:sz w:val="16"/>
              </w:rPr>
              <w:t>worker</w:t>
            </w:r>
          </w:p>
        </w:tc>
        <w:tc>
          <w:tcPr>
            <w:tcW w:type="dxa" w:w="1296"/>
            <w:vAlign w:val="center"/>
            <w:tcMar>
              <w:top w:w="60" w:type="dxa"/>
              <w:bottom w:w="60" w:type="dxa"/>
              <w:left w:w="100" w:type="dxa"/>
              <w:right w:w="100" w:type="dxa"/>
            </w:tcMar>
          </w:tcPr>
          <w:p>
            <w:pPr>
              <w:spacing w:before="60" w:after="60"/>
              <w:jc w:val="center"/>
            </w:pPr>
            <w:r/>
            <w:r>
              <w:rPr>
                <w:rFonts w:ascii="Red Hat Text" w:hAnsi="Red Hat Text"/>
                <w:sz w:val="16"/>
              </w:rPr>
              <w:t>BM</w:t>
            </w:r>
          </w:p>
        </w:tc>
        <w:tc>
          <w:tcPr>
            <w:tcW w:type="dxa" w:w="1296"/>
            <w:vAlign w:val="center"/>
            <w:tcMar>
              <w:top w:w="60" w:type="dxa"/>
              <w:bottom w:w="60" w:type="dxa"/>
              <w:left w:w="100" w:type="dxa"/>
              <w:right w:w="100" w:type="dxa"/>
            </w:tcMar>
          </w:tcPr>
          <w:p>
            <w:pPr>
              <w:spacing w:before="60" w:after="60"/>
              <w:jc w:val="center"/>
            </w:pPr>
            <w:r/>
            <w:r>
              <w:rPr>
                <w:rFonts w:ascii="Red Hat Text" w:hAnsi="Red Hat Text"/>
                <w:sz w:val="16"/>
              </w:rPr>
              <w:t>56</w:t>
            </w:r>
          </w:p>
        </w:tc>
        <w:tc>
          <w:tcPr>
            <w:tcW w:type="dxa" w:w="1296"/>
            <w:vAlign w:val="center"/>
            <w:tcMar>
              <w:top w:w="60" w:type="dxa"/>
              <w:bottom w:w="60" w:type="dxa"/>
              <w:left w:w="100" w:type="dxa"/>
              <w:right w:w="100" w:type="dxa"/>
            </w:tcMar>
          </w:tcPr>
          <w:p>
            <w:pPr>
              <w:spacing w:before="60" w:after="60"/>
              <w:jc w:val="center"/>
            </w:pPr>
            <w:r/>
            <w:r>
              <w:rPr>
                <w:rFonts w:ascii="Red Hat Text" w:hAnsi="Red Hat Text"/>
                <w:sz w:val="16"/>
              </w:rPr>
              <w:t>756GB</w:t>
            </w:r>
          </w:p>
        </w:tc>
        <w:tc>
          <w:tcPr>
            <w:tcW w:type="dxa" w:w="1296"/>
            <w:vAlign w:val="center"/>
            <w:tcMar>
              <w:top w:w="60" w:type="dxa"/>
              <w:bottom w:w="60" w:type="dxa"/>
              <w:left w:w="100" w:type="dxa"/>
              <w:right w:w="100" w:type="dxa"/>
            </w:tcMar>
          </w:tcPr>
          <w:p>
            <w:pPr>
              <w:spacing w:before="60" w:after="60"/>
              <w:jc w:val="center"/>
            </w:pPr>
            <w:r/>
            <w:r>
              <w:rPr>
                <w:rFonts w:ascii="Red Hat Text" w:hAnsi="Red Hat Text"/>
                <w:sz w:val="16"/>
              </w:rPr>
              <w:t>500</w:t>
            </w:r>
          </w:p>
        </w:tc>
        <w:tc>
          <w:tcPr>
            <w:tcW w:type="dxa" w:w="1296"/>
            <w:vAlign w:val="center"/>
            <w:tcMar>
              <w:top w:w="60" w:type="dxa"/>
              <w:bottom w:w="60" w:type="dxa"/>
              <w:left w:w="100" w:type="dxa"/>
              <w:right w:w="100" w:type="dxa"/>
            </w:tcMar>
          </w:tcPr>
          <w:p>
            <w:pPr>
              <w:spacing w:before="60" w:after="60"/>
              <w:jc w:val="left"/>
            </w:pPr>
            <w:r/>
            <w:r>
              <w:rPr>
                <w:rFonts w:ascii="Red Hat Text" w:hAnsi="Red Hat Text"/>
                <w:sz w:val="16"/>
              </w:rPr>
              <w:t>autoSizingReserved + maxPods=500 but default QPS (WARNING)</w:t>
            </w:r>
          </w:p>
        </w:tc>
      </w:tr>
      <w:tr>
        <w:trPr>
          <w:cantSplit w:val="true"/>
        </w:trPr>
        <w:tc>
          <w:tcPr>
            <w:tcW w:type="dxa" w:w="1296"/>
            <w:vAlign w:val="center"/>
            <w:tcMar>
              <w:top w:w="60" w:type="dxa"/>
              <w:bottom w:w="60" w:type="dxa"/>
              <w:left w:w="100" w:type="dxa"/>
              <w:right w:w="100" w:type="dxa"/>
            </w:tcMar>
            <w:shd w:fill="F5F5F5"/>
          </w:tcPr>
          <w:p>
            <w:pPr>
              <w:spacing w:before="60" w:after="60"/>
              <w:jc w:val="center"/>
            </w:pPr>
            <w:r/>
            <w:r>
              <w:rPr>
                <w:rFonts w:ascii="Red Hat Text" w:hAnsi="Red Hat Text"/>
                <w:sz w:val="16"/>
              </w:rPr>
              <w:t>tuned-worker-kubeletconfig</w:t>
            </w:r>
          </w:p>
        </w:tc>
        <w:tc>
          <w:tcPr>
            <w:tcW w:type="dxa" w:w="1296"/>
            <w:vAlign w:val="center"/>
            <w:tcMar>
              <w:top w:w="60" w:type="dxa"/>
              <w:bottom w:w="60" w:type="dxa"/>
              <w:left w:w="100" w:type="dxa"/>
              <w:right w:w="100" w:type="dxa"/>
            </w:tcMar>
            <w:shd w:fill="F5F5F5"/>
          </w:tcPr>
          <w:p>
            <w:pPr>
              <w:spacing w:before="60" w:after="60"/>
              <w:jc w:val="center"/>
            </w:pPr>
            <w:r/>
            <w:r>
              <w:rPr>
                <w:rFonts w:ascii="Red Hat Text" w:hAnsi="Red Hat Text"/>
                <w:sz w:val="16"/>
              </w:rPr>
              <w:t>worker</w:t>
            </w:r>
          </w:p>
        </w:tc>
        <w:tc>
          <w:tcPr>
            <w:tcW w:type="dxa" w:w="1296"/>
            <w:vAlign w:val="center"/>
            <w:tcMar>
              <w:top w:w="60" w:type="dxa"/>
              <w:bottom w:w="60" w:type="dxa"/>
              <w:left w:w="100" w:type="dxa"/>
              <w:right w:w="100" w:type="dxa"/>
            </w:tcMar>
            <w:shd w:fill="F5F5F5"/>
          </w:tcPr>
          <w:p>
            <w:pPr>
              <w:spacing w:before="60" w:after="60"/>
              <w:jc w:val="center"/>
            </w:pPr>
            <w:r/>
            <w:r>
              <w:rPr>
                <w:rFonts w:ascii="Red Hat Text" w:hAnsi="Red Hat Text"/>
                <w:sz w:val="16"/>
              </w:rPr>
              <w:t>BM</w:t>
            </w:r>
          </w:p>
        </w:tc>
        <w:tc>
          <w:tcPr>
            <w:tcW w:type="dxa" w:w="1296"/>
            <w:vAlign w:val="center"/>
            <w:tcMar>
              <w:top w:w="60" w:type="dxa"/>
              <w:bottom w:w="60" w:type="dxa"/>
              <w:left w:w="100" w:type="dxa"/>
              <w:right w:w="100" w:type="dxa"/>
            </w:tcMar>
            <w:shd w:fill="F5F5F5"/>
          </w:tcPr>
          <w:p>
            <w:pPr>
              <w:spacing w:before="60" w:after="60"/>
              <w:jc w:val="center"/>
            </w:pPr>
            <w:r/>
            <w:r>
              <w:rPr>
                <w:rFonts w:ascii="Red Hat Text" w:hAnsi="Red Hat Text"/>
                <w:sz w:val="16"/>
              </w:rPr>
              <w:t>56</w:t>
            </w:r>
          </w:p>
        </w:tc>
        <w:tc>
          <w:tcPr>
            <w:tcW w:type="dxa" w:w="1296"/>
            <w:vAlign w:val="center"/>
            <w:tcMar>
              <w:top w:w="60" w:type="dxa"/>
              <w:bottom w:w="60" w:type="dxa"/>
              <w:left w:w="100" w:type="dxa"/>
              <w:right w:w="100" w:type="dxa"/>
            </w:tcMar>
            <w:shd w:fill="F5F5F5"/>
          </w:tcPr>
          <w:p>
            <w:pPr>
              <w:spacing w:before="60" w:after="60"/>
              <w:jc w:val="center"/>
            </w:pPr>
            <w:r/>
            <w:r>
              <w:rPr>
                <w:rFonts w:ascii="Red Hat Text" w:hAnsi="Red Hat Text"/>
                <w:sz w:val="16"/>
              </w:rPr>
              <w:t>756GB</w:t>
            </w:r>
          </w:p>
        </w:tc>
        <w:tc>
          <w:tcPr>
            <w:tcW w:type="dxa" w:w="1296"/>
            <w:vAlign w:val="center"/>
            <w:tcMar>
              <w:top w:w="60" w:type="dxa"/>
              <w:bottom w:w="60" w:type="dxa"/>
              <w:left w:w="100" w:type="dxa"/>
              <w:right w:w="100" w:type="dxa"/>
            </w:tcMar>
            <w:shd w:fill="F5F5F5"/>
          </w:tcPr>
          <w:p>
            <w:pPr>
              <w:spacing w:before="60" w:after="60"/>
              <w:jc w:val="center"/>
            </w:pPr>
            <w:r/>
            <w:r>
              <w:rPr>
                <w:rFonts w:ascii="Red Hat Text" w:hAnsi="Red Hat Text"/>
                <w:sz w:val="16"/>
              </w:rPr>
              <w:t>500</w:t>
            </w:r>
          </w:p>
        </w:tc>
        <w:tc>
          <w:tcPr>
            <w:tcW w:type="dxa" w:w="1296"/>
            <w:vAlign w:val="center"/>
            <w:tcMar>
              <w:top w:w="60" w:type="dxa"/>
              <w:bottom w:w="60" w:type="dxa"/>
              <w:left w:w="100" w:type="dxa"/>
              <w:right w:w="100" w:type="dxa"/>
            </w:tcMar>
            <w:shd w:fill="F5F5F5"/>
          </w:tcPr>
          <w:p>
            <w:pPr>
              <w:spacing w:before="60" w:after="60"/>
              <w:jc w:val="left"/>
            </w:pPr>
            <w:r/>
            <w:r>
              <w:rPr>
                <w:rFonts w:ascii="Red Hat Text" w:hAnsi="Red Hat Text"/>
                <w:sz w:val="16"/>
              </w:rPr>
              <w:t>Manual systemReserved, custom eviction, 14 config-dump artifacts</w:t>
            </w:r>
          </w:p>
        </w:tc>
      </w:tr>
    </w:tbl>
    <w:p>
      <w:pPr>
        <w:ind w:left="283"/>
      </w:pPr>
      <w:r>
        <w:rPr>
          <w:sz w:val="20"/>
        </w:rPr>
        <w:t>Throughout this guide, per-archetype guidance uses these labels:</w:t>
      </w:r>
    </w:p>
    <w:p>
      <w:pPr>
        <w:pStyle w:val="ListBullet"/>
        <w:ind w:left="850"/>
      </w:pPr>
      <w:r>
        <w:rPr>
          <w:b/>
          <w:sz w:val="20"/>
        </w:rPr>
        <w:t>Master VM</w:t>
      </w:r>
      <w:r>
        <w:rPr>
          <w:sz w:val="20"/>
        </w:rPr>
        <w:t xml:space="preserve"> — control-plane virtual machines</w:t>
      </w:r>
    </w:p>
    <w:p>
      <w:pPr>
        <w:pStyle w:val="ListBullet"/>
        <w:ind w:left="850"/>
      </w:pPr>
      <w:r>
        <w:rPr>
          <w:b/>
          <w:sz w:val="20"/>
        </w:rPr>
        <w:t>Infra VM</w:t>
      </w:r>
      <w:r>
        <w:rPr>
          <w:sz w:val="20"/>
        </w:rPr>
        <w:t xml:space="preserve"> — infrastructure virtual machines (routers, monitoring)</w:t>
      </w:r>
    </w:p>
    <w:p>
      <w:pPr>
        <w:pStyle w:val="ListBullet"/>
        <w:ind w:left="850"/>
      </w:pPr>
      <w:r>
        <w:rPr>
          <w:b/>
          <w:sz w:val="20"/>
        </w:rPr>
        <w:t>Worker BM</w:t>
      </w:r>
      <w:r>
        <w:rPr>
          <w:sz w:val="20"/>
        </w:rPr>
        <w:t xml:space="preserve"> — bare-metal worker nodes (both normal-worker and tuned-worker pools share this hardware profile; differences in their KubeletConfig are noted where relevant)</w:t>
      </w:r>
    </w:p>
    <w:p>
      <w:pPr>
        <w:pStyle w:val="Heading2"/>
        <w:ind w:left="283"/>
      </w:pPr>
      <w:r>
        <w:t>Severity Levels</w:t>
      </w:r>
    </w:p>
    <w:tbl>
      <w:tblPr>
        <w:tblStyle w:val="TableGrid"/>
        <w:tblW w:type="pct" w:w="5000"/>
        <w:jc w:val="center"/>
        <w:tblLook w:firstColumn="1" w:firstRow="1" w:lastColumn="0" w:lastRow="0" w:noHBand="0" w:noVBand="1" w:val="04A0"/>
      </w:tblPr>
      <w:tblGrid>
        <w:gridCol w:w="4536"/>
        <w:gridCol w:w="4536"/>
      </w:tblGrid>
      <w:tr>
        <w:trPr>
          <w:cantSplit w:val="true"/>
          <w:tblHeader w:val="true"/>
        </w:trPr>
        <w:tc>
          <w:tcPr>
            <w:tcW w:type="dxa" w:w="4536"/>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Level</w:t>
            </w:r>
          </w:p>
        </w:tc>
        <w:tc>
          <w:tcPr>
            <w:tcW w:type="dxa" w:w="4536"/>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Meaning</w:t>
            </w:r>
          </w:p>
        </w:tc>
      </w:tr>
      <w:tr>
        <w:trPr>
          <w:cantSplit w:val="true"/>
        </w:trPr>
        <w:tc>
          <w:tcPr>
            <w:tcW w:type="dxa" w:w="4536"/>
            <w:vAlign w:val="center"/>
            <w:tcMar>
              <w:top w:w="60" w:type="dxa"/>
              <w:bottom w:w="60" w:type="dxa"/>
              <w:left w:w="100" w:type="dxa"/>
              <w:right w:w="100" w:type="dxa"/>
            </w:tcMar>
          </w:tcPr>
          <w:p>
            <w:pPr>
              <w:spacing w:before="60" w:after="60"/>
              <w:jc w:val="center"/>
            </w:pPr>
            <w:r/>
            <w:r>
              <w:rPr>
                <w:rFonts w:ascii="Red Hat Text" w:hAnsi="Red Hat Text"/>
                <w:sz w:val="16"/>
              </w:rPr>
              <w:t>CRITICAL</w:t>
            </w:r>
          </w:p>
        </w:tc>
        <w:tc>
          <w:tcPr>
            <w:tcW w:type="dxa" w:w="4536"/>
            <w:vAlign w:val="center"/>
            <w:tcMar>
              <w:top w:w="60" w:type="dxa"/>
              <w:bottom w:w="60" w:type="dxa"/>
              <w:left w:w="100" w:type="dxa"/>
              <w:right w:w="100" w:type="dxa"/>
            </w:tcMar>
          </w:tcPr>
          <w:p>
            <w:pPr>
              <w:spacing w:before="60" w:after="60"/>
              <w:jc w:val="left"/>
            </w:pPr>
            <w:r/>
            <w:r>
              <w:rPr>
                <w:rFonts w:ascii="Red Hat Text" w:hAnsi="Red Hat Text"/>
                <w:sz w:val="16"/>
              </w:rPr>
              <w:t>Misconfiguration causing or risking production incidents</w:t>
            </w:r>
          </w:p>
        </w:tc>
      </w:tr>
      <w:tr>
        <w:trPr>
          <w:cantSplit w:val="true"/>
        </w:trPr>
        <w:tc>
          <w:tcPr>
            <w:tcW w:type="dxa" w:w="4536"/>
            <w:vAlign w:val="center"/>
            <w:tcMar>
              <w:top w:w="60" w:type="dxa"/>
              <w:bottom w:w="60" w:type="dxa"/>
              <w:left w:w="100" w:type="dxa"/>
              <w:right w:w="100" w:type="dxa"/>
            </w:tcMar>
            <w:shd w:fill="F5F5F5"/>
          </w:tcPr>
          <w:p>
            <w:pPr>
              <w:spacing w:before="60" w:after="60"/>
              <w:jc w:val="center"/>
            </w:pPr>
            <w:r/>
            <w:r>
              <w:rPr>
                <w:rFonts w:ascii="Red Hat Text" w:hAnsi="Red Hat Text"/>
                <w:sz w:val="16"/>
              </w:rPr>
              <w:t>WARNING</w:t>
            </w:r>
          </w:p>
        </w:tc>
        <w:tc>
          <w:tcPr>
            <w:tcW w:type="dxa" w:w="4536"/>
            <w:vAlign w:val="center"/>
            <w:tcMar>
              <w:top w:w="60" w:type="dxa"/>
              <w:bottom w:w="60" w:type="dxa"/>
              <w:left w:w="100" w:type="dxa"/>
              <w:right w:w="100" w:type="dxa"/>
            </w:tcMar>
            <w:shd w:fill="F5F5F5"/>
          </w:tcPr>
          <w:p>
            <w:pPr>
              <w:spacing w:before="60" w:after="60"/>
              <w:jc w:val="center"/>
            </w:pPr>
            <w:r/>
            <w:r>
              <w:rPr>
                <w:rFonts w:ascii="Red Hat Text" w:hAnsi="Red Hat Text"/>
                <w:sz w:val="16"/>
              </w:rPr>
              <w:t>Sub-optimal setting; should be reviewed</w:t>
            </w:r>
          </w:p>
        </w:tc>
      </w:tr>
      <w:tr>
        <w:trPr>
          <w:cantSplit w:val="true"/>
        </w:trPr>
        <w:tc>
          <w:tcPr>
            <w:tcW w:type="dxa" w:w="4536"/>
            <w:vAlign w:val="center"/>
            <w:tcMar>
              <w:top w:w="60" w:type="dxa"/>
              <w:bottom w:w="60" w:type="dxa"/>
              <w:left w:w="100" w:type="dxa"/>
              <w:right w:w="100" w:type="dxa"/>
            </w:tcMar>
          </w:tcPr>
          <w:p>
            <w:pPr>
              <w:spacing w:before="60" w:after="60"/>
              <w:jc w:val="center"/>
            </w:pPr>
            <w:r/>
            <w:r>
              <w:rPr>
                <w:rFonts w:ascii="Red Hat Text" w:hAnsi="Red Hat Text"/>
                <w:sz w:val="16"/>
              </w:rPr>
              <w:t>INFO</w:t>
            </w:r>
          </w:p>
        </w:tc>
        <w:tc>
          <w:tcPr>
            <w:tcW w:type="dxa" w:w="4536"/>
            <w:vAlign w:val="center"/>
            <w:tcMar>
              <w:top w:w="60" w:type="dxa"/>
              <w:bottom w:w="60" w:type="dxa"/>
              <w:left w:w="100" w:type="dxa"/>
              <w:right w:w="100" w:type="dxa"/>
            </w:tcMar>
          </w:tcPr>
          <w:p>
            <w:pPr>
              <w:spacing w:before="60" w:after="60"/>
              <w:jc w:val="left"/>
            </w:pPr>
            <w:r/>
            <w:r>
              <w:rPr>
                <w:rFonts w:ascii="Red Hat Text" w:hAnsi="Red Hat Text"/>
                <w:sz w:val="16"/>
              </w:rPr>
              <w:t>Worth understanding; default is usually acceptable</w:t>
            </w:r>
          </w:p>
        </w:tc>
      </w:tr>
      <w:tr>
        <w:trPr>
          <w:cantSplit w:val="true"/>
        </w:trPr>
        <w:tc>
          <w:tcPr>
            <w:tcW w:type="dxa" w:w="4536"/>
            <w:vAlign w:val="center"/>
            <w:tcMar>
              <w:top w:w="60" w:type="dxa"/>
              <w:bottom w:w="60" w:type="dxa"/>
              <w:left w:w="100" w:type="dxa"/>
              <w:right w:w="100" w:type="dxa"/>
            </w:tcMar>
            <w:shd w:fill="F5F5F5"/>
          </w:tcPr>
          <w:p>
            <w:pPr>
              <w:spacing w:before="60" w:after="60"/>
              <w:jc w:val="center"/>
            </w:pPr>
            <w:r/>
            <w:r>
              <w:rPr>
                <w:rFonts w:ascii="Red Hat Text" w:hAnsi="Red Hat Text"/>
                <w:sz w:val="16"/>
              </w:rPr>
              <w:t>DEFAULT OK</w:t>
            </w:r>
          </w:p>
        </w:tc>
        <w:tc>
          <w:tcPr>
            <w:tcW w:type="dxa" w:w="4536"/>
            <w:vAlign w:val="center"/>
            <w:tcMar>
              <w:top w:w="60" w:type="dxa"/>
              <w:bottom w:w="60" w:type="dxa"/>
              <w:left w:w="100" w:type="dxa"/>
              <w:right w:w="100" w:type="dxa"/>
            </w:tcMar>
            <w:shd w:fill="F5F5F5"/>
          </w:tcPr>
          <w:p>
            <w:pPr>
              <w:spacing w:before="60" w:after="60"/>
              <w:jc w:val="left"/>
            </w:pPr>
            <w:r/>
            <w:r>
              <w:rPr>
                <w:rFonts w:ascii="Red Hat Text" w:hAnsi="Red Hat Text"/>
                <w:sz w:val="16"/>
              </w:rPr>
              <w:t>Leave at default unless you have a specific, measured reason</w:t>
            </w:r>
          </w:p>
        </w:tc>
      </w:tr>
    </w:tbl>
    <w:p>
      <w:pPr>
        <w:pStyle w:val="Heading2"/>
        <w:ind w:left="283"/>
      </w:pPr>
      <w:r>
        <w:t>Configuration Layers</w:t>
      </w:r>
    </w:p>
    <w:tbl>
      <w:tblPr>
        <w:tblStyle w:val="TableGrid"/>
        <w:tblW w:type="pct" w:w="5000"/>
        <w:jc w:val="center"/>
        <w:tblLook w:firstColumn="1" w:firstRow="1" w:lastColumn="0" w:lastRow="0" w:noHBand="0" w:noVBand="1" w:val="04A0"/>
      </w:tblPr>
      <w:tblGrid>
        <w:gridCol w:w="2268"/>
        <w:gridCol w:w="2268"/>
        <w:gridCol w:w="2268"/>
        <w:gridCol w:w="2268"/>
      </w:tblGrid>
      <w:tr>
        <w:trPr>
          <w:cantSplit w:val="true"/>
          <w:tblHeader w:val="true"/>
        </w:trPr>
        <w:tc>
          <w:tcPr>
            <w:tcW w:type="dxa" w:w="2268"/>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Layer</w:t>
            </w:r>
          </w:p>
        </w:tc>
        <w:tc>
          <w:tcPr>
            <w:tcW w:type="dxa" w:w="2268"/>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Applied via</w:t>
            </w:r>
          </w:p>
        </w:tc>
        <w:tc>
          <w:tcPr>
            <w:tcW w:type="dxa" w:w="2268"/>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Requires reboot?</w:t>
            </w:r>
          </w:p>
        </w:tc>
        <w:tc>
          <w:tcPr>
            <w:tcW w:type="dxa" w:w="2268"/>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Scope</w:t>
            </w:r>
          </w:p>
        </w:tc>
      </w:tr>
      <w:tr>
        <w:trPr>
          <w:cantSplit w:val="true"/>
        </w:trPr>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KubeletConfig</w:t>
            </w:r>
          </w:p>
        </w:tc>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machineconfiguration.openshift.io/v1 CR</w:t>
            </w:r>
          </w:p>
        </w:tc>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Yes (MCO rollout)</w:t>
            </w:r>
          </w:p>
        </w:tc>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Kubelet process behavior</w:t>
            </w:r>
          </w:p>
        </w:tc>
      </w:tr>
      <w:tr>
        <w:trPr>
          <w:cantSplit w:val="true"/>
        </w:trPr>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PerformanceProfile</w:t>
            </w:r>
          </w:p>
        </w:tc>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performance.openshift.io/v2 CR</w:t>
            </w:r>
          </w:p>
        </w:tc>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Yes (MCO rollout)</w:t>
            </w:r>
          </w:p>
        </w:tc>
        <w:tc>
          <w:tcPr>
            <w:tcW w:type="dxa" w:w="2268"/>
            <w:vAlign w:val="center"/>
            <w:tcMar>
              <w:top w:w="60" w:type="dxa"/>
              <w:bottom w:w="60" w:type="dxa"/>
              <w:left w:w="100" w:type="dxa"/>
              <w:right w:w="100" w:type="dxa"/>
            </w:tcMar>
            <w:shd w:fill="F5F5F5"/>
          </w:tcPr>
          <w:p>
            <w:pPr>
              <w:spacing w:before="60" w:after="60"/>
              <w:jc w:val="left"/>
            </w:pPr>
            <w:r/>
            <w:r>
              <w:rPr>
                <w:rFonts w:ascii="Red Hat Text" w:hAnsi="Red Hat Text"/>
                <w:sz w:val="16"/>
              </w:rPr>
              <w:t>CPU pinning, NUMA, hugepages, kernel args</w:t>
            </w:r>
          </w:p>
        </w:tc>
      </w:tr>
      <w:tr>
        <w:trPr>
          <w:cantSplit w:val="true"/>
        </w:trPr>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MachineConfig</w:t>
            </w:r>
          </w:p>
        </w:tc>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machineconfiguration.openshift.io/v1 CR</w:t>
            </w:r>
          </w:p>
        </w:tc>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Yes (MCO rollout)</w:t>
            </w:r>
          </w:p>
        </w:tc>
        <w:tc>
          <w:tcPr>
            <w:tcW w:type="dxa" w:w="2268"/>
            <w:vAlign w:val="center"/>
            <w:tcMar>
              <w:top w:w="60" w:type="dxa"/>
              <w:bottom w:w="60" w:type="dxa"/>
              <w:left w:w="100" w:type="dxa"/>
              <w:right w:w="100" w:type="dxa"/>
            </w:tcMar>
          </w:tcPr>
          <w:p>
            <w:pPr>
              <w:spacing w:before="60" w:after="60"/>
              <w:jc w:val="left"/>
            </w:pPr>
            <w:r/>
            <w:r>
              <w:rPr>
                <w:rFonts w:ascii="Red Hat Text" w:hAnsi="Red Hat Text"/>
                <w:sz w:val="16"/>
              </w:rPr>
              <w:t>Kernel boot params, sysctl, systemd units</w:t>
            </w:r>
          </w:p>
        </w:tc>
      </w:tr>
      <w:tr>
        <w:trPr>
          <w:cantSplit w:val="true"/>
        </w:trPr>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TuneD (NTO)</w:t>
            </w:r>
          </w:p>
        </w:tc>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tuned.openshift.io/v1 CR</w:t>
            </w:r>
          </w:p>
        </w:tc>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No — applied live</w:t>
            </w:r>
          </w:p>
        </w:tc>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Sysctls, NIC hardware, CPU governor</w:t>
            </w:r>
          </w:p>
        </w:tc>
      </w:tr>
    </w:tbl>
    <w:p>
      <w:r>
        <w:br w:type="page"/>
      </w:r>
    </w:p>
    <w:p>
      <w:pPr>
        <w:pStyle w:val="Heading1"/>
      </w:pPr>
      <w:r>
        <w:t>Quick Reference Table</w:t>
      </w:r>
    </w:p>
    <w:p>
      <w:pPr>
        <w:ind w:left="283"/>
      </w:pPr>
      <w:r>
        <w:rPr>
          <w:sz w:val="20"/>
        </w:rPr>
        <w:t>Every tunable parameter at a glance. Deep-dive sections follow for parameters marked with a section reference.</w:t>
      </w:r>
    </w:p>
    <w:p>
      <w:pPr>
        <w:pStyle w:val="Heading2"/>
        <w:ind w:left="283"/>
      </w:pPr>
      <w:r>
        <w:t>KubeletConfig Parameters</w:t>
      </w:r>
    </w:p>
    <w:tbl>
      <w:tblPr>
        <w:tblStyle w:val="TableGrid"/>
        <w:tblW w:type="pct" w:w="5000"/>
        <w:jc w:val="center"/>
        <w:tblLook w:firstColumn="1" w:firstRow="1" w:lastColumn="0" w:lastRow="0" w:noHBand="0" w:noVBand="1" w:val="04A0"/>
      </w:tblPr>
      <w:tblGrid>
        <w:gridCol w:w="1814"/>
        <w:gridCol w:w="1814"/>
        <w:gridCol w:w="1814"/>
        <w:gridCol w:w="1814"/>
        <w:gridCol w:w="1814"/>
      </w:tblGrid>
      <w:tr>
        <w:trPr>
          <w:cantSplit w:val="true"/>
          <w:tblHeader w:val="true"/>
        </w:trPr>
        <w:tc>
          <w:tcPr>
            <w:tcW w:type="dxa" w:w="181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Parameter</w:t>
            </w:r>
          </w:p>
        </w:tc>
        <w:tc>
          <w:tcPr>
            <w:tcW w:type="dxa" w:w="181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OCP 4.16 Default</w:t>
            </w:r>
          </w:p>
        </w:tc>
        <w:tc>
          <w:tcPr>
            <w:tcW w:type="dxa" w:w="181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Category</w:t>
            </w:r>
          </w:p>
        </w:tc>
        <w:tc>
          <w:tcPr>
            <w:tcW w:type="dxa" w:w="181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Tune?</w:t>
            </w:r>
          </w:p>
        </w:tc>
        <w:tc>
          <w:tcPr>
            <w:tcW w:type="dxa" w:w="181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Section</w:t>
            </w:r>
          </w:p>
        </w:tc>
      </w:tr>
      <w:tr>
        <w:trPr>
          <w:cantSplit w:val="true"/>
        </w:trPr>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autoSizingReserved</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false</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System Resources</w:t>
            </w:r>
          </w:p>
        </w:tc>
        <w:tc>
          <w:tcPr>
            <w:tcW w:type="dxa" w:w="1814"/>
            <w:vAlign w:val="center"/>
            <w:tcMar>
              <w:top w:w="60" w:type="dxa"/>
              <w:bottom w:w="60" w:type="dxa"/>
              <w:left w:w="100" w:type="dxa"/>
              <w:right w:w="100" w:type="dxa"/>
            </w:tcMar>
          </w:tcPr>
          <w:p>
            <w:pPr>
              <w:spacing w:before="60" w:after="60"/>
              <w:jc w:val="left"/>
            </w:pPr>
            <w:r/>
            <w:r>
              <w:rPr>
                <w:rFonts w:ascii="Red Hat Text" w:hAnsi="Red Hat Text"/>
                <w:sz w:val="16"/>
              </w:rPr>
              <w:t>Enable on VMs; manual sizing for high-density BM</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§1</w:t>
            </w:r>
          </w:p>
        </w:tc>
      </w:tr>
      <w:tr>
        <w:trPr>
          <w:cantSplit w:val="true"/>
        </w:trPr>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systemReserved.cpu</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500m</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System Resources</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Manual only for high-density BM</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§1</w:t>
            </w:r>
          </w:p>
        </w:tc>
      </w:tr>
      <w:tr>
        <w:trPr>
          <w:cantSplit w:val="true"/>
        </w:trPr>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systemReserved.memory</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1Gi</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System Resources</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Manual only for high-density BM</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§1</w:t>
            </w:r>
          </w:p>
        </w:tc>
      </w:tr>
      <w:tr>
        <w:trPr>
          <w:cantSplit w:val="true"/>
        </w:trPr>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systemReserved.ephemeral-storage</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1Gi</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System Resources</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Rarely</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§1</w:t>
            </w:r>
          </w:p>
        </w:tc>
      </w:tr>
      <w:tr>
        <w:trPr>
          <w:cantSplit w:val="true"/>
        </w:trPr>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maxPods</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250</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Pod Density</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Yes, if pod density requires it</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§2</w:t>
            </w:r>
          </w:p>
        </w:tc>
      </w:tr>
      <w:tr>
        <w:trPr>
          <w:cantSplit w:val="true"/>
        </w:trPr>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podPidsLimit</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4096</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Pod Density</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CRITICAL — verify not 1024</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§2</w:t>
            </w:r>
          </w:p>
        </w:tc>
      </w:tr>
      <w:tr>
        <w:trPr>
          <w:cantSplit w:val="true"/>
        </w:trPr>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kubeAPIQPS</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50</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Pod Density</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Raise proportionally to maxPods</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§2</w:t>
            </w:r>
          </w:p>
        </w:tc>
      </w:tr>
      <w:tr>
        <w:trPr>
          <w:cantSplit w:val="true"/>
        </w:trPr>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kubeAPIBurst</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100</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Pod Density</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Raise proportionally to maxPods</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§2</w:t>
            </w:r>
          </w:p>
        </w:tc>
      </w:tr>
      <w:tr>
        <w:trPr>
          <w:cantSplit w:val="true"/>
        </w:trPr>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evictionHard.memory.available</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100Mi</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Eviction</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Raise on large-memory BM nodes</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§3</w:t>
            </w:r>
          </w:p>
        </w:tc>
      </w:tr>
      <w:tr>
        <w:trPr>
          <w:cantSplit w:val="true"/>
        </w:trPr>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evictionSoft.memory.available</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(not set)</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Eviction</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Configure on BM nodes</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§3</w:t>
            </w:r>
          </w:p>
        </w:tc>
      </w:tr>
      <w:tr>
        <w:trPr>
          <w:cantSplit w:val="true"/>
        </w:trPr>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evictionSoftGracePeriod</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(not set)</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Eviction</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Required if using soft eviction</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§3</w:t>
            </w:r>
          </w:p>
        </w:tc>
      </w:tr>
      <w:tr>
        <w:trPr>
          <w:cantSplit w:val="true"/>
        </w:trPr>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evictionPressureTransitionPeriod</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5m0s</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Eviction</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DEFAULT OK</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§3</w:t>
            </w:r>
          </w:p>
        </w:tc>
      </w:tr>
      <w:tr>
        <w:trPr>
          <w:cantSplit w:val="true"/>
        </w:trPr>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imageMinimumGCAge</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2m0s</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Image Lifecycle</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DEFAULT OK</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§4</w:t>
            </w:r>
          </w:p>
        </w:tc>
      </w:tr>
      <w:tr>
        <w:trPr>
          <w:cantSplit w:val="true"/>
        </w:trPr>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imageGCHighThresholdPercent</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85</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Image Lifecycle</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Lower on disk-constrained nodes</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§4</w:t>
            </w:r>
          </w:p>
        </w:tc>
      </w:tr>
      <w:tr>
        <w:trPr>
          <w:cantSplit w:val="true"/>
        </w:trPr>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imageGCLowThresholdPercent</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80</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Image Lifecycle</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Adjust with High threshold</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§4</w:t>
            </w:r>
          </w:p>
        </w:tc>
      </w:tr>
      <w:tr>
        <w:trPr>
          <w:cantSplit w:val="true"/>
        </w:trPr>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nodeStatusMaxImages</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50</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Image Lifecycle</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Raise with caution on image-heavy nodes</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§4</w:t>
            </w:r>
          </w:p>
        </w:tc>
      </w:tr>
      <w:tr>
        <w:trPr>
          <w:cantSplit w:val="true"/>
        </w:trPr>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topologyManagerPolicy</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none</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CPU &amp; NUMA</w:t>
            </w:r>
          </w:p>
        </w:tc>
        <w:tc>
          <w:tcPr>
            <w:tcW w:type="dxa" w:w="1814"/>
            <w:vAlign w:val="center"/>
            <w:tcMar>
              <w:top w:w="60" w:type="dxa"/>
              <w:bottom w:w="60" w:type="dxa"/>
              <w:left w:w="100" w:type="dxa"/>
              <w:right w:w="100" w:type="dxa"/>
            </w:tcMar>
          </w:tcPr>
          <w:p>
            <w:pPr>
              <w:spacing w:before="60" w:after="60"/>
              <w:jc w:val="left"/>
            </w:pPr>
            <w:r/>
            <w:r>
              <w:rPr>
                <w:rFonts w:ascii="Red Hat Text" w:hAnsi="Red Hat Text"/>
                <w:sz w:val="16"/>
              </w:rPr>
              <w:t>Change for NUMA-aware workloads (requires cpuManagerPolicy: static to be useful)</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§5</w:t>
            </w:r>
          </w:p>
        </w:tc>
      </w:tr>
      <w:tr>
        <w:trPr>
          <w:cantSplit w:val="true"/>
        </w:trPr>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topologyManagerScope</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container</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CPU &amp; NUMA</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DEFAULT OK</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§5</w:t>
            </w:r>
          </w:p>
        </w:tc>
      </w:tr>
      <w:tr>
        <w:trPr>
          <w:cantSplit w:val="true"/>
        </w:trPr>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cpuManagerPolicy</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none</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CPU &amp; NUMA</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static for exclusive core pinning</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§5</w:t>
            </w:r>
          </w:p>
        </w:tc>
      </w:tr>
      <w:tr>
        <w:trPr>
          <w:cantSplit w:val="true"/>
        </w:trPr>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memoryManagerPolicy</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None</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CPU &amp; NUMA</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DEFAULT OK</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§5</w:t>
            </w:r>
          </w:p>
        </w:tc>
      </w:tr>
      <w:tr>
        <w:trPr>
          <w:cantSplit w:val="true"/>
        </w:trPr>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allowedUnsafeSysctls</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(not set)</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Networking</w:t>
            </w:r>
          </w:p>
        </w:tc>
        <w:tc>
          <w:tcPr>
            <w:tcW w:type="dxa" w:w="1814"/>
            <w:vAlign w:val="center"/>
            <w:tcMar>
              <w:top w:w="60" w:type="dxa"/>
              <w:bottom w:w="60" w:type="dxa"/>
              <w:left w:w="100" w:type="dxa"/>
              <w:right w:w="100" w:type="dxa"/>
            </w:tcMar>
          </w:tcPr>
          <w:p>
            <w:pPr>
              <w:spacing w:before="60" w:after="60"/>
              <w:jc w:val="left"/>
            </w:pPr>
            <w:r/>
            <w:r>
              <w:rPr>
                <w:rFonts w:ascii="Red Hat Text" w:hAnsi="Red Hat Text"/>
                <w:sz w:val="16"/>
              </w:rPr>
              <w:t>Add sysctls pods need to set per-namespace</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§6</w:t>
            </w:r>
          </w:p>
        </w:tc>
      </w:tr>
      <w:tr>
        <w:trPr>
          <w:cantSplit w:val="true"/>
        </w:trPr>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registryPullQPS</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5</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Registry</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Raise for burst pod creation</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§7</w:t>
            </w:r>
          </w:p>
        </w:tc>
      </w:tr>
      <w:tr>
        <w:trPr>
          <w:cantSplit w:val="true"/>
        </w:trPr>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registryBurst</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10</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Registry</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Raise for burst pod creation</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§7</w:t>
            </w:r>
          </w:p>
        </w:tc>
      </w:tr>
      <w:tr>
        <w:trPr>
          <w:cantSplit w:val="true"/>
        </w:trPr>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serializeImagePulls</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false</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Registry</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DEFAULT OK (already parallel)</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§7</w:t>
            </w:r>
          </w:p>
        </w:tc>
      </w:tr>
      <w:tr>
        <w:trPr>
          <w:cantSplit w:val="true"/>
        </w:trPr>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runtimeRequestTimeout</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2m0s</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Timeouts</w:t>
            </w:r>
          </w:p>
        </w:tc>
        <w:tc>
          <w:tcPr>
            <w:tcW w:type="dxa" w:w="1814"/>
            <w:vAlign w:val="center"/>
            <w:tcMar>
              <w:top w:w="60" w:type="dxa"/>
              <w:bottom w:w="60" w:type="dxa"/>
              <w:left w:w="100" w:type="dxa"/>
              <w:right w:w="100" w:type="dxa"/>
            </w:tcMar>
          </w:tcPr>
          <w:p>
            <w:pPr>
              <w:spacing w:before="60" w:after="60"/>
              <w:jc w:val="left"/>
            </w:pPr>
            <w:r/>
            <w:r>
              <w:rPr>
                <w:rFonts w:ascii="Red Hat Text" w:hAnsi="Red Hat Text"/>
                <w:sz w:val="16"/>
              </w:rPr>
              <w:t>DEFAULT OK (does not apply to image pulls)</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§8</w:t>
            </w:r>
          </w:p>
        </w:tc>
      </w:tr>
      <w:tr>
        <w:trPr>
          <w:cantSplit w:val="true"/>
        </w:trPr>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streamingConnectionIdleTimeout</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4h0m0s</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Timeouts</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DEFAULT OK</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§8</w:t>
            </w:r>
          </w:p>
        </w:tc>
      </w:tr>
      <w:tr>
        <w:trPr>
          <w:cantSplit w:val="true"/>
        </w:trPr>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shutdownGracePeriod</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0s</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Shutdown</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Enable for graceful drain</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§8</w:t>
            </w:r>
          </w:p>
        </w:tc>
      </w:tr>
      <w:tr>
        <w:trPr>
          <w:cantSplit w:val="true"/>
        </w:trPr>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shutdownGracePeriodCriticalPods</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0s</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Shutdown</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Enable with shutdownGracePeriod</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§8</w:t>
            </w:r>
          </w:p>
        </w:tc>
      </w:tr>
      <w:tr>
        <w:trPr>
          <w:cantSplit w:val="true"/>
        </w:trPr>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containerLogMaxSize</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50Mi</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Logging</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DEFAULT OK</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§8</w:t>
            </w:r>
          </w:p>
        </w:tc>
      </w:tr>
      <w:tr>
        <w:trPr>
          <w:cantSplit w:val="true"/>
        </w:trPr>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containerLogMaxFiles</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5</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Logging</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DEFAULT OK</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§8</w:t>
            </w:r>
          </w:p>
        </w:tc>
      </w:tr>
      <w:tr>
        <w:trPr>
          <w:cantSplit w:val="true"/>
        </w:trPr>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logging.verbosity</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2</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Logging</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DEFAULT OK</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§8</w:t>
            </w:r>
          </w:p>
        </w:tc>
      </w:tr>
      <w:tr>
        <w:trPr>
          <w:cantSplit w:val="true"/>
        </w:trPr>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authentication.webhook.cacheTTL</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2m0s</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Auth Caching</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DEFAULT OK — do not set to 0</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§8</w:t>
            </w:r>
          </w:p>
        </w:tc>
      </w:tr>
      <w:tr>
        <w:trPr>
          <w:cantSplit w:val="true"/>
        </w:trPr>
        <w:tc>
          <w:tcPr>
            <w:tcW w:type="dxa" w:w="1814"/>
            <w:vAlign w:val="center"/>
            <w:tcMar>
              <w:top w:w="60" w:type="dxa"/>
              <w:bottom w:w="60" w:type="dxa"/>
              <w:left w:w="100" w:type="dxa"/>
              <w:right w:w="100" w:type="dxa"/>
            </w:tcMar>
          </w:tcPr>
          <w:p>
            <w:pPr>
              <w:spacing w:before="60" w:after="60"/>
              <w:jc w:val="left"/>
            </w:pPr>
            <w:r/>
            <w:r>
              <w:rPr>
                <w:rFonts w:ascii="Red Hat Text" w:hAnsi="Red Hat Text"/>
                <w:sz w:val="16"/>
              </w:rPr>
              <w:t>authorization.webhook.cacheAuthorizedTTL</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5m0s</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Auth Caching</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DEFAULT OK — do not set to 0</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§8</w:t>
            </w:r>
          </w:p>
        </w:tc>
      </w:tr>
    </w:tbl>
    <w:p>
      <w:pPr>
        <w:pStyle w:val="Heading2"/>
        <w:ind w:left="283"/>
      </w:pPr>
      <w:r>
        <w:t>PerformanceProfile Parameters</w:t>
      </w:r>
    </w:p>
    <w:tbl>
      <w:tblPr>
        <w:tblStyle w:val="TableGrid"/>
        <w:tblW w:type="pct" w:w="5000"/>
        <w:jc w:val="center"/>
        <w:tblLook w:firstColumn="1" w:firstRow="1" w:lastColumn="0" w:lastRow="0" w:noHBand="0" w:noVBand="1" w:val="04A0"/>
      </w:tblPr>
      <w:tblGrid>
        <w:gridCol w:w="1814"/>
        <w:gridCol w:w="1814"/>
        <w:gridCol w:w="1814"/>
        <w:gridCol w:w="1814"/>
        <w:gridCol w:w="1814"/>
      </w:tblGrid>
      <w:tr>
        <w:trPr>
          <w:cantSplit w:val="true"/>
          <w:tblHeader w:val="true"/>
        </w:trPr>
        <w:tc>
          <w:tcPr>
            <w:tcW w:type="dxa" w:w="181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Parameter</w:t>
            </w:r>
          </w:p>
        </w:tc>
        <w:tc>
          <w:tcPr>
            <w:tcW w:type="dxa" w:w="181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Default</w:t>
            </w:r>
          </w:p>
        </w:tc>
        <w:tc>
          <w:tcPr>
            <w:tcW w:type="dxa" w:w="181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Category</w:t>
            </w:r>
          </w:p>
        </w:tc>
        <w:tc>
          <w:tcPr>
            <w:tcW w:type="dxa" w:w="181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Tune?</w:t>
            </w:r>
          </w:p>
        </w:tc>
        <w:tc>
          <w:tcPr>
            <w:tcW w:type="dxa" w:w="181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Section</w:t>
            </w:r>
          </w:p>
        </w:tc>
      </w:tr>
      <w:tr>
        <w:trPr>
          <w:cantSplit w:val="true"/>
        </w:trPr>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spec.cpu.reserved</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(not set)</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CPU Pinning</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Yes, for latency-sensitive BM</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§5</w:t>
            </w:r>
          </w:p>
        </w:tc>
      </w:tr>
      <w:tr>
        <w:trPr>
          <w:cantSplit w:val="true"/>
        </w:trPr>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spec.cpu.isolated</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(not set)</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CPU Pinning</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Yes, for latency-sensitive BM</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§5</w:t>
            </w:r>
          </w:p>
        </w:tc>
      </w:tr>
      <w:tr>
        <w:trPr>
          <w:cantSplit w:val="true"/>
        </w:trPr>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spec.hugepages</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(not set)</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Memory</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For DPDK/SR-IOV workloads</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§9</w:t>
            </w:r>
          </w:p>
        </w:tc>
      </w:tr>
      <w:tr>
        <w:trPr>
          <w:cantSplit w:val="true"/>
        </w:trPr>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spec.realTimeKernel</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false</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Kernel</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For ultra-low-latency only</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§9</w:t>
            </w:r>
          </w:p>
        </w:tc>
      </w:tr>
      <w:tr>
        <w:trPr>
          <w:cantSplit w:val="true"/>
        </w:trPr>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spec.numa.topologyPolicy</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(not set)</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NUMA</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Sets kubelet topologyManager</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§5</w:t>
            </w:r>
          </w:p>
        </w:tc>
      </w:tr>
      <w:tr>
        <w:trPr>
          <w:cantSplit w:val="true"/>
        </w:trPr>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spec.globallyDisableIrqLoadBalancing</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false</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IRQ</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For isolated CPU workloads</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§9</w:t>
            </w:r>
          </w:p>
        </w:tc>
      </w:tr>
    </w:tbl>
    <w:p>
      <w:pPr>
        <w:pStyle w:val="Heading2"/>
        <w:ind w:left="283"/>
      </w:pPr>
      <w:r>
        <w:t>TuneD / NTO Parameters</w:t>
      </w:r>
    </w:p>
    <w:p>
      <w:pPr>
        <w:ind w:left="283"/>
      </w:pPr>
      <w:r>
        <w:rPr>
          <w:sz w:val="20"/>
        </w:rPr>
        <w:t>TuneD (via the Node Tuning Operator) applies settings live without reboots. These are the parameters currently managed through TuneD CRs in this environment:</w:t>
      </w:r>
    </w:p>
    <w:p>
      <w:pPr>
        <w:ind w:left="283"/>
      </w:pPr>
      <w:r>
        <w:rPr>
          <w:sz w:val="20"/>
        </w:rPr>
        <w:t>**Network sysctls (</w:t>
      </w:r>
      <w:r>
        <w:rPr>
          <w:rFonts w:ascii="Red Hat Mono" w:hAnsi="Red Hat Mono"/>
          <w:color w:val="CC0000"/>
          <w:sz w:val="18"/>
        </w:rPr>
        <w:t>[sysctl]</w:t>
      </w:r>
      <w:r>
        <w:rPr>
          <w:sz w:val="20"/>
        </w:rPr>
        <w:t xml:space="preserve"> section):**</w:t>
      </w:r>
    </w:p>
    <w:tbl>
      <w:tblPr>
        <w:tblStyle w:val="TableGrid"/>
        <w:tblW w:type="pct" w:w="5000"/>
        <w:jc w:val="center"/>
        <w:tblLook w:firstColumn="1" w:firstRow="1" w:lastColumn="0" w:lastRow="0" w:noHBand="0" w:noVBand="1" w:val="04A0"/>
      </w:tblPr>
      <w:tblGrid>
        <w:gridCol w:w="2268"/>
        <w:gridCol w:w="2268"/>
        <w:gridCol w:w="2268"/>
        <w:gridCol w:w="2268"/>
      </w:tblGrid>
      <w:tr>
        <w:trPr>
          <w:cantSplit w:val="true"/>
          <w:tblHeader w:val="true"/>
        </w:trPr>
        <w:tc>
          <w:tcPr>
            <w:tcW w:type="dxa" w:w="2268"/>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Parameter</w:t>
            </w:r>
          </w:p>
        </w:tc>
        <w:tc>
          <w:tcPr>
            <w:tcW w:type="dxa" w:w="2268"/>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Value</w:t>
            </w:r>
          </w:p>
        </w:tc>
        <w:tc>
          <w:tcPr>
            <w:tcW w:type="dxa" w:w="2268"/>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Severity</w:t>
            </w:r>
          </w:p>
        </w:tc>
        <w:tc>
          <w:tcPr>
            <w:tcW w:type="dxa" w:w="2268"/>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Applies to</w:t>
            </w:r>
          </w:p>
        </w:tc>
      </w:tr>
      <w:tr>
        <w:trPr>
          <w:cantSplit w:val="true"/>
        </w:trPr>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net.ipv4.tcp_rmem</w:t>
            </w:r>
          </w:p>
        </w:tc>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4096 3145728 6291456</w:t>
            </w:r>
          </w:p>
        </w:tc>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CRITICAL</w:t>
            </w:r>
          </w:p>
        </w:tc>
        <w:tc>
          <w:tcPr>
            <w:tcW w:type="dxa" w:w="2268"/>
            <w:vAlign w:val="center"/>
            <w:tcMar>
              <w:top w:w="60" w:type="dxa"/>
              <w:bottom w:w="60" w:type="dxa"/>
              <w:left w:w="100" w:type="dxa"/>
              <w:right w:w="100" w:type="dxa"/>
            </w:tcMar>
          </w:tcPr>
          <w:p>
            <w:pPr>
              <w:spacing w:before="60" w:after="60"/>
              <w:jc w:val="left"/>
            </w:pPr>
            <w:r/>
            <w:r>
              <w:rPr>
                <w:rFonts w:ascii="Red Hat Text" w:hAnsi="Red Hat Text"/>
                <w:sz w:val="16"/>
              </w:rPr>
              <w:t>enic only — fixes RHEL 9.4 TCP window regression (KCS 7127975) causing multi-hour image pulls</w:t>
            </w:r>
          </w:p>
        </w:tc>
      </w:tr>
      <w:tr>
        <w:trPr>
          <w:cantSplit w:val="true"/>
        </w:trPr>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net.core.netdev_budget</w:t>
            </w:r>
          </w:p>
        </w:tc>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600</w:t>
            </w:r>
          </w:p>
        </w:tc>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INFO</w:t>
            </w:r>
          </w:p>
        </w:tc>
        <w:tc>
          <w:tcPr>
            <w:tcW w:type="dxa" w:w="2268"/>
            <w:vAlign w:val="center"/>
            <w:tcMar>
              <w:top w:w="60" w:type="dxa"/>
              <w:bottom w:w="60" w:type="dxa"/>
              <w:left w:w="100" w:type="dxa"/>
              <w:right w:w="100" w:type="dxa"/>
            </w:tcMar>
            <w:shd w:fill="F5F5F5"/>
          </w:tcPr>
          <w:p>
            <w:pPr>
              <w:spacing w:before="60" w:after="60"/>
              <w:jc w:val="left"/>
            </w:pPr>
            <w:r/>
            <w:r>
              <w:rPr>
                <w:rFonts w:ascii="Red Hat Text" w:hAnsi="Red Hat Text"/>
                <w:sz w:val="16"/>
              </w:rPr>
              <w:t>BM only — increases NAPI polling budget to reduce softnet squeezes</w:t>
            </w:r>
          </w:p>
        </w:tc>
      </w:tr>
      <w:tr>
        <w:trPr>
          <w:cantSplit w:val="true"/>
        </w:trPr>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net.core.netdev_max_backlog</w:t>
            </w:r>
          </w:p>
        </w:tc>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5000</w:t>
            </w:r>
          </w:p>
        </w:tc>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INFO</w:t>
            </w:r>
          </w:p>
        </w:tc>
        <w:tc>
          <w:tcPr>
            <w:tcW w:type="dxa" w:w="2268"/>
            <w:vAlign w:val="center"/>
            <w:tcMar>
              <w:top w:w="60" w:type="dxa"/>
              <w:bottom w:w="60" w:type="dxa"/>
              <w:left w:w="100" w:type="dxa"/>
              <w:right w:w="100" w:type="dxa"/>
            </w:tcMar>
          </w:tcPr>
          <w:p>
            <w:pPr>
              <w:spacing w:before="60" w:after="60"/>
              <w:jc w:val="left"/>
            </w:pPr>
            <w:r/>
            <w:r>
              <w:rPr>
                <w:rFonts w:ascii="Red Hat Text" w:hAnsi="Red Hat Text"/>
                <w:sz w:val="16"/>
              </w:rPr>
              <w:t>BM only — increases per-CPU backlog queue for high packet rates</w:t>
            </w:r>
          </w:p>
        </w:tc>
      </w:tr>
      <w:tr>
        <w:trPr>
          <w:cantSplit w:val="true"/>
        </w:trPr>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net.core.rmem_max</w:t>
            </w:r>
          </w:p>
        </w:tc>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16777216 (16MB)</w:t>
            </w:r>
          </w:p>
        </w:tc>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INFO</w:t>
            </w:r>
          </w:p>
        </w:tc>
        <w:tc>
          <w:tcPr>
            <w:tcW w:type="dxa" w:w="2268"/>
            <w:vAlign w:val="center"/>
            <w:tcMar>
              <w:top w:w="60" w:type="dxa"/>
              <w:bottom w:w="60" w:type="dxa"/>
              <w:left w:w="100" w:type="dxa"/>
              <w:right w:w="100" w:type="dxa"/>
            </w:tcMar>
            <w:shd w:fill="F5F5F5"/>
          </w:tcPr>
          <w:p>
            <w:pPr>
              <w:spacing w:before="60" w:after="60"/>
              <w:jc w:val="left"/>
            </w:pPr>
            <w:r/>
            <w:r>
              <w:rPr>
                <w:rFonts w:ascii="Red Hat Text" w:hAnsi="Red Hat Text"/>
                <w:sz w:val="16"/>
              </w:rPr>
              <w:t>BM — ceiling for receive socket buffer size (memory allocated on demand, not pre-allocated)</w:t>
            </w:r>
          </w:p>
        </w:tc>
      </w:tr>
      <w:tr>
        <w:trPr>
          <w:cantSplit w:val="true"/>
        </w:trPr>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net.core.wmem_max</w:t>
            </w:r>
          </w:p>
        </w:tc>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16777216 (16MB)</w:t>
            </w:r>
          </w:p>
        </w:tc>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INFO</w:t>
            </w:r>
          </w:p>
        </w:tc>
        <w:tc>
          <w:tcPr>
            <w:tcW w:type="dxa" w:w="2268"/>
            <w:vAlign w:val="center"/>
            <w:tcMar>
              <w:top w:w="60" w:type="dxa"/>
              <w:bottom w:w="60" w:type="dxa"/>
              <w:left w:w="100" w:type="dxa"/>
              <w:right w:w="100" w:type="dxa"/>
            </w:tcMar>
          </w:tcPr>
          <w:p>
            <w:pPr>
              <w:spacing w:before="60" w:after="60"/>
              <w:jc w:val="left"/>
            </w:pPr>
            <w:r/>
            <w:r>
              <w:rPr>
                <w:rFonts w:ascii="Red Hat Text" w:hAnsi="Red Hat Text"/>
                <w:sz w:val="16"/>
              </w:rPr>
              <w:t>BM — ceiling for send socket buffer size</w:t>
            </w:r>
          </w:p>
        </w:tc>
      </w:tr>
      <w:tr>
        <w:trPr>
          <w:cantSplit w:val="true"/>
        </w:trPr>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net.core.somaxconn</w:t>
            </w:r>
          </w:p>
        </w:tc>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10240</w:t>
            </w:r>
          </w:p>
        </w:tc>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INFO</w:t>
            </w:r>
          </w:p>
        </w:tc>
        <w:tc>
          <w:tcPr>
            <w:tcW w:type="dxa" w:w="2268"/>
            <w:vAlign w:val="center"/>
            <w:tcMar>
              <w:top w:w="60" w:type="dxa"/>
              <w:bottom w:w="60" w:type="dxa"/>
              <w:left w:w="100" w:type="dxa"/>
              <w:right w:w="100" w:type="dxa"/>
            </w:tcMar>
            <w:shd w:fill="F5F5F5"/>
          </w:tcPr>
          <w:p>
            <w:pPr>
              <w:spacing w:before="60" w:after="60"/>
              <w:jc w:val="left"/>
            </w:pPr>
            <w:r/>
            <w:r>
              <w:rPr>
                <w:rFonts w:ascii="Red Hat Text" w:hAnsi="Red Hat Text"/>
                <w:sz w:val="16"/>
              </w:rPr>
              <w:t>Infra only — listen backlog for host-network routers. Ordinary pods in their own network namespace get the kernel default (4096) regardless of this setting.</w:t>
            </w:r>
          </w:p>
        </w:tc>
      </w:tr>
      <w:tr>
        <w:trPr>
          <w:cantSplit w:val="true"/>
        </w:trPr>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net.ipv4.tcp_max_syn_backlog</w:t>
            </w:r>
          </w:p>
        </w:tc>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8192</w:t>
            </w:r>
          </w:p>
        </w:tc>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INFO</w:t>
            </w:r>
          </w:p>
        </w:tc>
        <w:tc>
          <w:tcPr>
            <w:tcW w:type="dxa" w:w="2268"/>
            <w:vAlign w:val="center"/>
            <w:tcMar>
              <w:top w:w="60" w:type="dxa"/>
              <w:bottom w:w="60" w:type="dxa"/>
              <w:left w:w="100" w:type="dxa"/>
              <w:right w:w="100" w:type="dxa"/>
            </w:tcMar>
          </w:tcPr>
          <w:p>
            <w:pPr>
              <w:spacing w:before="60" w:after="60"/>
              <w:jc w:val="left"/>
            </w:pPr>
            <w:r/>
            <w:r>
              <w:rPr>
                <w:rFonts w:ascii="Red Hat Text" w:hAnsi="Red Hat Text"/>
                <w:sz w:val="16"/>
              </w:rPr>
              <w:t>Infra only — SYN queue depth for high connection rates</w:t>
            </w:r>
          </w:p>
        </w:tc>
      </w:tr>
      <w:tr>
        <w:trPr>
          <w:cantSplit w:val="true"/>
        </w:trPr>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fs.file-max</w:t>
            </w:r>
          </w:p>
        </w:tc>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2097152</w:t>
            </w:r>
          </w:p>
        </w:tc>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INFO</w:t>
            </w:r>
          </w:p>
        </w:tc>
        <w:tc>
          <w:tcPr>
            <w:tcW w:type="dxa" w:w="2268"/>
            <w:vAlign w:val="center"/>
            <w:tcMar>
              <w:top w:w="60" w:type="dxa"/>
              <w:bottom w:w="60" w:type="dxa"/>
              <w:left w:w="100" w:type="dxa"/>
              <w:right w:w="100" w:type="dxa"/>
            </w:tcMar>
            <w:shd w:fill="F5F5F5"/>
          </w:tcPr>
          <w:p>
            <w:pPr>
              <w:spacing w:before="60" w:after="60"/>
              <w:jc w:val="left"/>
            </w:pPr>
            <w:r/>
            <w:r>
              <w:rPr>
                <w:rFonts w:ascii="Red Hat Text" w:hAnsi="Red Hat Text"/>
                <w:sz w:val="16"/>
              </w:rPr>
              <w:t>Infra only — maximum open file descriptors system-wide</w:t>
            </w:r>
          </w:p>
        </w:tc>
      </w:tr>
      <w:tr>
        <w:trPr>
          <w:cantSplit w:val="true"/>
        </w:trPr>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net.ipv4.ip_local_port_range</w:t>
            </w:r>
          </w:p>
        </w:tc>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1024 65535</w:t>
            </w:r>
          </w:p>
        </w:tc>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WARNING</w:t>
            </w:r>
          </w:p>
        </w:tc>
        <w:tc>
          <w:tcPr>
            <w:tcW w:type="dxa" w:w="2268"/>
            <w:vAlign w:val="center"/>
            <w:tcMar>
              <w:top w:w="60" w:type="dxa"/>
              <w:bottom w:w="60" w:type="dxa"/>
              <w:left w:w="100" w:type="dxa"/>
              <w:right w:w="100" w:type="dxa"/>
            </w:tcMar>
          </w:tcPr>
          <w:p>
            <w:pPr>
              <w:spacing w:before="60" w:after="60"/>
              <w:jc w:val="left"/>
            </w:pPr>
            <w:r/>
            <w:r>
              <w:rPr>
                <w:rFonts w:ascii="Red Hat Text" w:hAnsi="Red Hat Text"/>
                <w:sz w:val="16"/>
              </w:rPr>
              <w:t>Infra only — widens ephemeral port range. Starting at 1024 risks conflicts with services that bind to ports in the 1024–32767 range. Consider 10240 65535 or 32768 65535 instead.</w:t>
            </w:r>
          </w:p>
        </w:tc>
      </w:tr>
      <w:tr>
        <w:trPr>
          <w:cantSplit w:val="true"/>
        </w:trPr>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vm.max_map_count</w:t>
            </w:r>
          </w:p>
        </w:tc>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262144</w:t>
            </w:r>
          </w:p>
        </w:tc>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INFO</w:t>
            </w:r>
          </w:p>
        </w:tc>
        <w:tc>
          <w:tcPr>
            <w:tcW w:type="dxa" w:w="2268"/>
            <w:vAlign w:val="center"/>
            <w:tcMar>
              <w:top w:w="60" w:type="dxa"/>
              <w:bottom w:w="60" w:type="dxa"/>
              <w:left w:w="100" w:type="dxa"/>
              <w:right w:w="100" w:type="dxa"/>
            </w:tcMar>
            <w:shd w:fill="F5F5F5"/>
          </w:tcPr>
          <w:p>
            <w:pPr>
              <w:spacing w:before="60" w:after="60"/>
              <w:jc w:val="left"/>
            </w:pPr>
            <w:r/>
            <w:r>
              <w:rPr>
                <w:rFonts w:ascii="Red Hat Text" w:hAnsi="Red Hat Text"/>
                <w:sz w:val="16"/>
              </w:rPr>
              <w:t>Infra only — for Elasticsearch/Java workloads</w:t>
            </w:r>
          </w:p>
        </w:tc>
      </w:tr>
    </w:tbl>
    <w:p>
      <w:pPr>
        <w:ind w:left="283"/>
      </w:pPr>
      <w:r>
        <w:rPr>
          <w:sz w:val="20"/>
        </w:rPr>
        <w:t>**NIC hardware settings (</w:t>
      </w:r>
      <w:r>
        <w:rPr>
          <w:rFonts w:ascii="Red Hat Mono" w:hAnsi="Red Hat Mono"/>
          <w:color w:val="CC0000"/>
          <w:sz w:val="18"/>
        </w:rPr>
        <w:t>[net]</w:t>
      </w:r>
      <w:r>
        <w:rPr>
          <w:sz w:val="20"/>
        </w:rPr>
        <w:t xml:space="preserve"> section):**</w:t>
      </w:r>
    </w:p>
    <w:tbl>
      <w:tblPr>
        <w:tblStyle w:val="TableGrid"/>
        <w:tblW w:type="pct" w:w="5000"/>
        <w:jc w:val="center"/>
        <w:tblLook w:firstColumn="1" w:firstRow="1" w:lastColumn="0" w:lastRow="0" w:noHBand="0" w:noVBand="1" w:val="04A0"/>
      </w:tblPr>
      <w:tblGrid>
        <w:gridCol w:w="2268"/>
        <w:gridCol w:w="2268"/>
        <w:gridCol w:w="2268"/>
        <w:gridCol w:w="2268"/>
      </w:tblGrid>
      <w:tr>
        <w:trPr>
          <w:cantSplit w:val="true"/>
          <w:tblHeader w:val="true"/>
        </w:trPr>
        <w:tc>
          <w:tcPr>
            <w:tcW w:type="dxa" w:w="2268"/>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Parameter</w:t>
            </w:r>
          </w:p>
        </w:tc>
        <w:tc>
          <w:tcPr>
            <w:tcW w:type="dxa" w:w="2268"/>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Value</w:t>
            </w:r>
          </w:p>
        </w:tc>
        <w:tc>
          <w:tcPr>
            <w:tcW w:type="dxa" w:w="2268"/>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Status</w:t>
            </w:r>
          </w:p>
        </w:tc>
        <w:tc>
          <w:tcPr>
            <w:tcW w:type="dxa" w:w="2268"/>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Applies to</w:t>
            </w:r>
          </w:p>
        </w:tc>
      </w:tr>
      <w:tr>
        <w:trPr>
          <w:cantSplit w:val="true"/>
        </w:trPr>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Ring buffers</w:t>
            </w:r>
          </w:p>
        </w:tc>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rx 4096 tx 4096</w:t>
            </w:r>
          </w:p>
        </w:tc>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Ready</w:t>
            </w:r>
          </w:p>
        </w:tc>
        <w:tc>
          <w:tcPr>
            <w:tcW w:type="dxa" w:w="2268"/>
            <w:vAlign w:val="center"/>
            <w:tcMar>
              <w:top w:w="60" w:type="dxa"/>
              <w:bottom w:w="60" w:type="dxa"/>
              <w:left w:w="100" w:type="dxa"/>
              <w:right w:w="100" w:type="dxa"/>
            </w:tcMar>
          </w:tcPr>
          <w:p>
            <w:pPr>
              <w:spacing w:before="60" w:after="60"/>
              <w:jc w:val="left"/>
            </w:pPr>
            <w:r/>
            <w:r>
              <w:rPr>
                <w:rFonts w:ascii="Red Hat Text" w:hAnsi="Red Hat Text"/>
                <w:sz w:val="16"/>
              </w:rPr>
              <w:t>vmxnet3, i40e, bnxt_en — increases hardware RX/TX ring depth</w:t>
            </w:r>
          </w:p>
        </w:tc>
      </w:tr>
      <w:tr>
        <w:trPr>
          <w:cantSplit w:val="true"/>
        </w:trPr>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Channels</w:t>
            </w:r>
          </w:p>
        </w:tc>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combined 16</w:t>
            </w:r>
          </w:p>
        </w:tc>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Partial</w:t>
            </w:r>
          </w:p>
        </w:tc>
        <w:tc>
          <w:tcPr>
            <w:tcW w:type="dxa" w:w="2268"/>
            <w:vAlign w:val="center"/>
            <w:tcMar>
              <w:top w:w="60" w:type="dxa"/>
              <w:bottom w:w="60" w:type="dxa"/>
              <w:left w:w="100" w:type="dxa"/>
              <w:right w:w="100" w:type="dxa"/>
            </w:tcMar>
            <w:shd w:fill="F5F5F5"/>
          </w:tcPr>
          <w:p>
            <w:pPr>
              <w:spacing w:before="60" w:after="60"/>
              <w:jc w:val="left"/>
            </w:pPr>
            <w:r/>
            <w:r>
              <w:rPr>
                <w:rFonts w:ascii="Red Hat Text" w:hAnsi="Red Hat Text"/>
                <w:sz w:val="16"/>
              </w:rPr>
              <w:t>i40e, bnxt_en — multi-queue for RSS; requires NUMA verification</w:t>
            </w:r>
          </w:p>
        </w:tc>
      </w:tr>
      <w:tr>
        <w:trPr>
          <w:cantSplit w:val="true"/>
        </w:trPr>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Coalesce</w:t>
            </w:r>
          </w:p>
        </w:tc>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adaptive-rx/tx or fixed 125µs</w:t>
            </w:r>
          </w:p>
        </w:tc>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Ready</w:t>
            </w:r>
          </w:p>
        </w:tc>
        <w:tc>
          <w:tcPr>
            <w:tcW w:type="dxa" w:w="2268"/>
            <w:vAlign w:val="center"/>
            <w:tcMar>
              <w:top w:w="60" w:type="dxa"/>
              <w:bottom w:w="60" w:type="dxa"/>
              <w:left w:w="100" w:type="dxa"/>
              <w:right w:w="100" w:type="dxa"/>
            </w:tcMar>
          </w:tcPr>
          <w:p>
            <w:pPr>
              <w:spacing w:before="60" w:after="60"/>
              <w:jc w:val="left"/>
            </w:pPr>
            <w:r/>
            <w:r>
              <w:rPr>
                <w:rFonts w:ascii="Red Hat Text" w:hAnsi="Red Hat Text"/>
                <w:sz w:val="16"/>
              </w:rPr>
              <w:t>i40e, bnxt_en — interrupt moderation tuning</w:t>
            </w:r>
          </w:p>
        </w:tc>
      </w:tr>
      <w:tr>
        <w:trPr>
          <w:cantSplit w:val="true"/>
        </w:trPr>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Features</w:t>
            </w:r>
          </w:p>
        </w:tc>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ntuple on, rx-gro-hw on</w:t>
            </w:r>
          </w:p>
        </w:tc>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Ready</w:t>
            </w:r>
          </w:p>
        </w:tc>
        <w:tc>
          <w:tcPr>
            <w:tcW w:type="dxa" w:w="2268"/>
            <w:vAlign w:val="center"/>
            <w:tcMar>
              <w:top w:w="60" w:type="dxa"/>
              <w:bottom w:w="60" w:type="dxa"/>
              <w:left w:w="100" w:type="dxa"/>
              <w:right w:w="100" w:type="dxa"/>
            </w:tcMar>
            <w:shd w:fill="F5F5F5"/>
          </w:tcPr>
          <w:p>
            <w:pPr>
              <w:spacing w:before="60" w:after="60"/>
              <w:jc w:val="left"/>
            </w:pPr>
            <w:r/>
            <w:r>
              <w:rPr>
                <w:rFonts w:ascii="Red Hat Text" w:hAnsi="Red Hat Text"/>
                <w:sz w:val="16"/>
              </w:rPr>
              <w:t>i40e, bnxt_en (NOT enic) — enables aRFS and hardware GRO</w:t>
            </w:r>
          </w:p>
        </w:tc>
      </w:tr>
      <w:tr>
        <w:trPr>
          <w:cantSplit w:val="true"/>
        </w:trPr>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IRQ affinity</w:t>
            </w:r>
          </w:p>
        </w:tc>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(irqbalance, no pinning)</w:t>
            </w:r>
          </w:p>
        </w:tc>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Deferred</w:t>
            </w:r>
          </w:p>
        </w:tc>
        <w:tc>
          <w:tcPr>
            <w:tcW w:type="dxa" w:w="2268"/>
            <w:vAlign w:val="center"/>
            <w:tcMar>
              <w:top w:w="60" w:type="dxa"/>
              <w:bottom w:w="60" w:type="dxa"/>
              <w:left w:w="100" w:type="dxa"/>
              <w:right w:w="100" w:type="dxa"/>
            </w:tcMar>
          </w:tcPr>
          <w:p>
            <w:pPr>
              <w:spacing w:before="60" w:after="60"/>
              <w:jc w:val="left"/>
            </w:pPr>
            <w:r/>
            <w:r>
              <w:rPr>
                <w:rFonts w:ascii="Red Hat Text" w:hAnsi="Red Hat Text"/>
                <w:sz w:val="16"/>
              </w:rPr>
              <w:t>Would require PerformanceProfile for proper implementation</w:t>
            </w:r>
          </w:p>
        </w:tc>
      </w:tr>
    </w:tbl>
    <w:p>
      <w:pPr>
        <w:ind w:left="283"/>
      </w:pPr>
      <w:r>
        <w:rPr>
          <w:sz w:val="20"/>
        </w:rPr>
        <w:t>**Transparent HugePages (</w:t>
      </w:r>
      <w:r>
        <w:rPr>
          <w:rFonts w:ascii="Red Hat Mono" w:hAnsi="Red Hat Mono"/>
          <w:color w:val="CC0000"/>
          <w:sz w:val="18"/>
        </w:rPr>
        <w:t>[vm]</w:t>
      </w:r>
      <w:r>
        <w:rPr>
          <w:sz w:val="20"/>
        </w:rPr>
        <w:t xml:space="preserve"> section):**</w:t>
      </w:r>
    </w:p>
    <w:tbl>
      <w:tblPr>
        <w:tblStyle w:val="TableGrid"/>
        <w:tblW w:type="pct" w:w="5000"/>
        <w:jc w:val="center"/>
        <w:tblLook w:firstColumn="1" w:firstRow="1" w:lastColumn="0" w:lastRow="0" w:noHBand="0" w:noVBand="1" w:val="04A0"/>
      </w:tblPr>
      <w:tblGrid>
        <w:gridCol w:w="3024"/>
        <w:gridCol w:w="3024"/>
        <w:gridCol w:w="3024"/>
      </w:tblGrid>
      <w:tr>
        <w:trPr>
          <w:cantSplit w:val="true"/>
          <w:tblHeader w:val="true"/>
        </w:trPr>
        <w:tc>
          <w:tcPr>
            <w:tcW w:type="dxa" w:w="302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Node role</w:t>
            </w:r>
          </w:p>
        </w:tc>
        <w:tc>
          <w:tcPr>
            <w:tcW w:type="dxa" w:w="302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THP value</w:t>
            </w:r>
          </w:p>
        </w:tc>
        <w:tc>
          <w:tcPr>
            <w:tcW w:type="dxa" w:w="302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Rationale</w:t>
            </w:r>
          </w:p>
        </w:tc>
      </w:tr>
      <w:tr>
        <w:trPr>
          <w:cantSplit w:val="true"/>
        </w:trPr>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Control plane</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always (keep default)</w:t>
            </w:r>
          </w:p>
        </w:tc>
        <w:tc>
          <w:tcPr>
            <w:tcW w:type="dxa" w:w="3024"/>
            <w:vAlign w:val="center"/>
            <w:tcMar>
              <w:top w:w="60" w:type="dxa"/>
              <w:bottom w:w="60" w:type="dxa"/>
              <w:left w:w="100" w:type="dxa"/>
              <w:right w:w="100" w:type="dxa"/>
            </w:tcMar>
          </w:tcPr>
          <w:p>
            <w:pPr>
              <w:spacing w:before="60" w:after="60"/>
              <w:jc w:val="left"/>
            </w:pPr>
            <w:r/>
            <w:r>
              <w:rPr>
                <w:rFonts w:ascii="Red Hat Text" w:hAnsi="Red Hat Text"/>
                <w:sz w:val="16"/>
              </w:rPr>
              <w:t>API server and etcd benefit from reduced TLB misses</w:t>
            </w:r>
          </w:p>
        </w:tc>
      </w:tr>
      <w:tr>
        <w:trPr>
          <w:cantSplit w:val="true"/>
        </w:trPr>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Infra</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always (keep default)</w:t>
            </w:r>
          </w:p>
        </w:tc>
        <w:tc>
          <w:tcPr>
            <w:tcW w:type="dxa" w:w="3024"/>
            <w:vAlign w:val="center"/>
            <w:tcMar>
              <w:top w:w="60" w:type="dxa"/>
              <w:bottom w:w="60" w:type="dxa"/>
              <w:left w:w="100" w:type="dxa"/>
              <w:right w:w="100" w:type="dxa"/>
            </w:tcMar>
            <w:shd w:fill="F5F5F5"/>
          </w:tcPr>
          <w:p>
            <w:pPr>
              <w:spacing w:before="60" w:after="60"/>
              <w:jc w:val="left"/>
            </w:pPr>
            <w:r/>
            <w:r>
              <w:rPr>
                <w:rFonts w:ascii="Red Hat Text" w:hAnsi="Red Hat Text"/>
                <w:sz w:val="16"/>
              </w:rPr>
              <w:t>HAProxy/router pods benefit for connection buffers</w:t>
            </w:r>
          </w:p>
        </w:tc>
      </w:tr>
      <w:tr>
        <w:trPr>
          <w:cantSplit w:val="true"/>
        </w:trPr>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Workers</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never</w:t>
            </w:r>
          </w:p>
        </w:tc>
        <w:tc>
          <w:tcPr>
            <w:tcW w:type="dxa" w:w="3024"/>
            <w:vAlign w:val="center"/>
            <w:tcMar>
              <w:top w:w="60" w:type="dxa"/>
              <w:bottom w:w="60" w:type="dxa"/>
              <w:left w:w="100" w:type="dxa"/>
              <w:right w:w="100" w:type="dxa"/>
            </w:tcMar>
          </w:tcPr>
          <w:p>
            <w:pPr>
              <w:spacing w:before="60" w:after="60"/>
              <w:jc w:val="left"/>
            </w:pPr>
            <w:r/>
            <w:r>
              <w:rPr>
                <w:rFonts w:ascii="Red Hat Text" w:hAnsi="Red Hat Text"/>
                <w:sz w:val="16"/>
              </w:rPr>
              <w:t>Compaction latency causes unpredictable stalls for application workloads</w:t>
            </w:r>
          </w:p>
        </w:tc>
      </w:tr>
    </w:tbl>
    <w:p>
      <w:pPr>
        <w:ind w:left="283"/>
      </w:pPr>
      <w:r>
        <w:rPr>
          <w:b/>
          <w:sz w:val="20"/>
        </w:rPr>
        <w:t>CPU C-states:</w:t>
      </w:r>
      <w:r>
        <w:rPr>
          <w:sz w:val="20"/>
        </w:rPr>
        <w:t xml:space="preserve"> Under investigation. Restricting C-states to C1 eliminates ~100µs wake-up latency for interrupt handling but increases power/heat. Can be restricted at runtime via TuneD's </w:t>
      </w:r>
      <w:r>
        <w:rPr>
          <w:rFonts w:ascii="Red Hat Mono" w:hAnsi="Red Hat Mono"/>
          <w:color w:val="CC0000"/>
          <w:sz w:val="18"/>
        </w:rPr>
        <w:t>[cpu] force_latency=1</w:t>
      </w:r>
      <w:r>
        <w:rPr>
          <w:sz w:val="20"/>
        </w:rPr>
        <w:t xml:space="preserve"> (no reboot needed) or permanently via kernel boot arguments through MachineConfig or PerformanceProfile. See §9.</w:t>
      </w:r>
    </w:p>
    <w:p>
      <w:pPr>
        <w:ind w:left="283"/>
      </w:pPr>
      <w:r>
        <w:rPr>
          <w:b/>
          <w:sz w:val="20"/>
        </w:rPr>
        <w:t>IRQ affinity:</w:t>
      </w:r>
      <w:r>
        <w:rPr>
          <w:sz w:val="20"/>
        </w:rPr>
        <w:t xml:space="preserve"> Deferred. </w:t>
      </w:r>
      <w:r>
        <w:rPr>
          <w:rFonts w:ascii="Red Hat Mono" w:hAnsi="Red Hat Mono"/>
          <w:color w:val="CC0000"/>
          <w:sz w:val="18"/>
        </w:rPr>
        <w:t>irqbalance</w:t>
      </w:r>
      <w:r>
        <w:rPr>
          <w:sz w:val="20"/>
        </w:rPr>
        <w:t xml:space="preserve"> provides adequate interrupt distribution for current workloads. Revisit if per-CPU </w:t>
      </w:r>
      <w:r>
        <w:rPr>
          <w:rFonts w:ascii="Red Hat Mono" w:hAnsi="Red Hat Mono"/>
          <w:color w:val="CC0000"/>
          <w:sz w:val="18"/>
        </w:rPr>
        <w:t>softnet_drops</w:t>
      </w:r>
      <w:r>
        <w:rPr>
          <w:sz w:val="20"/>
        </w:rPr>
        <w:t xml:space="preserve"> are concentrated or per-queue RX counts are uneven after deploying primary network fixes. See §5 for NUMA/IRQ interaction details.</w:t>
      </w:r>
    </w:p>
    <w:p>
      <w:r>
        <w:br w:type="page"/>
      </w:r>
    </w:p>
    <w:p>
      <w:pPr>
        <w:pStyle w:val="Heading1"/>
      </w:pPr>
      <w:r>
        <w:t>§1 — System Resource Reservation</w:t>
      </w:r>
    </w:p>
    <w:p>
      <w:pPr>
        <w:ind w:left="283"/>
      </w:pPr>
      <w:r>
        <w:rPr>
          <w:b/>
          <w:sz w:val="20"/>
        </w:rPr>
        <w:t>KubeletConfig fields:</w:t>
      </w:r>
      <w:r>
        <w:rPr>
          <w:sz w:val="20"/>
        </w:rPr>
        <w:t xml:space="preserve"> </w:t>
      </w:r>
      <w:r>
        <w:rPr>
          <w:rFonts w:ascii="Red Hat Mono" w:hAnsi="Red Hat Mono"/>
          <w:color w:val="CC0000"/>
          <w:sz w:val="18"/>
        </w:rPr>
        <w:t>autoSizingReserved</w:t>
      </w:r>
      <w:r>
        <w:rPr>
          <w:sz w:val="20"/>
        </w:rPr>
        <w:t xml:space="preserve">, </w:t>
      </w:r>
      <w:r>
        <w:rPr>
          <w:rFonts w:ascii="Red Hat Mono" w:hAnsi="Red Hat Mono"/>
          <w:color w:val="CC0000"/>
          <w:sz w:val="18"/>
        </w:rPr>
        <w:t>systemReserved.cpu</w:t>
      </w:r>
      <w:r>
        <w:rPr>
          <w:sz w:val="20"/>
        </w:rPr>
        <w:t xml:space="preserve">, </w:t>
      </w:r>
      <w:r>
        <w:rPr>
          <w:rFonts w:ascii="Red Hat Mono" w:hAnsi="Red Hat Mono"/>
          <w:color w:val="CC0000"/>
          <w:sz w:val="18"/>
        </w:rPr>
        <w:t>systemReserved.memory</w:t>
      </w:r>
      <w:r>
        <w:rPr>
          <w:sz w:val="20"/>
        </w:rPr>
        <w:t xml:space="preserve">, </w:t>
      </w:r>
      <w:r>
        <w:rPr>
          <w:rFonts w:ascii="Red Hat Mono" w:hAnsi="Red Hat Mono"/>
          <w:color w:val="CC0000"/>
          <w:sz w:val="18"/>
        </w:rPr>
        <w:t>systemReserved.ephemeral-storage</w:t>
      </w:r>
    </w:p>
    <w:p>
      <w:pPr>
        <w:pStyle w:val="Heading2"/>
        <w:ind w:left="283"/>
      </w:pPr>
      <w:r>
        <w:t>What it does</w:t>
      </w:r>
    </w:p>
    <w:p>
      <w:pPr>
        <w:ind w:left="283"/>
      </w:pPr>
      <w:r>
        <w:rPr>
          <w:rFonts w:ascii="Red Hat Mono" w:hAnsi="Red Hat Mono"/>
          <w:color w:val="CC0000"/>
          <w:sz w:val="18"/>
        </w:rPr>
        <w:t>systemReserved</w:t>
      </w:r>
      <w:r>
        <w:rPr>
          <w:sz w:val="20"/>
        </w:rPr>
        <w:t xml:space="preserve"> carves out CPU, memory, and ephemeral storage from the node's allocatable pool. The scheduler cannot place pods into reserved resources. This protects kubelet, CRI-O, systemd, kernel threads, and other system processes from pod resource pressure.</w:t>
      </w:r>
    </w:p>
    <w:p>
      <w:pPr>
        <w:ind w:left="283"/>
      </w:pPr>
      <w:r>
        <w:rPr>
          <w:rFonts w:ascii="Red Hat Mono" w:hAnsi="Red Hat Mono"/>
          <w:color w:val="CC0000"/>
          <w:sz w:val="18"/>
        </w:rPr>
        <w:t>autoSizingReserved</w:t>
      </w:r>
      <w:r>
        <w:rPr>
          <w:sz w:val="20"/>
        </w:rPr>
        <w:t xml:space="preserve"> (OCP-specific, available since 4.8) calculates these values automatically using a formula based on node capacity. Starting with OCP 4.21, it is enabled by default for new installations.</w:t>
      </w:r>
    </w:p>
    <w:p>
      <w:pPr>
        <w:pStyle w:val="Heading2"/>
        <w:ind w:left="283"/>
      </w:pPr>
      <w:r>
        <w:t>The formula (OCP 4.16)</w:t>
      </w:r>
    </w:p>
    <w:p>
      <w:pPr>
        <w:ind w:left="283"/>
      </w:pPr>
      <w:r>
        <w:rPr>
          <w:b/>
          <w:sz w:val="20"/>
        </w:rPr>
        <w:t>CPU</w:t>
      </w:r>
      <w:r>
        <w:rPr>
          <w:sz w:val="20"/>
        </w:rPr>
        <w:t xml:space="preserve"> (per KCS 5843241):</w:t>
      </w:r>
    </w:p>
    <w:p>
      <w:pPr>
        <w:pStyle w:val="ListBullet"/>
        <w:ind w:left="850"/>
      </w:pPr>
      <w:r>
        <w:rPr>
          <w:sz w:val="20"/>
        </w:rPr>
        <w:t>6% of first core + 1% of second + 0.5% of next 2 + 0.25% of remaining</w:t>
      </w:r>
    </w:p>
    <w:p>
      <w:pPr>
        <w:pStyle w:val="ListBullet"/>
        <w:ind w:left="850"/>
      </w:pPr>
      <w:r>
        <w:rPr>
          <w:b/>
          <w:sz w:val="20"/>
        </w:rPr>
        <w:t>Minimum enforced: 500m</w:t>
      </w:r>
      <w:r>
        <w:rPr>
          <w:sz w:val="20"/>
        </w:rPr>
        <w:t xml:space="preserve"> (regardless of calculation). On a 56-core node the formula yields 210m, but the kubelet applies the 500m floor.</w:t>
      </w:r>
    </w:p>
    <w:p>
      <w:pPr>
        <w:ind w:left="283"/>
      </w:pPr>
      <w:r>
        <w:rPr>
          <w:b/>
          <w:sz w:val="20"/>
        </w:rPr>
        <w:t>Memory:</w:t>
      </w:r>
    </w:p>
    <w:p>
      <w:pPr>
        <w:pStyle w:val="ListBullet"/>
        <w:ind w:left="850"/>
      </w:pPr>
      <w:r>
        <w:rPr>
          <w:sz w:val="20"/>
        </w:rPr>
        <w:t>25% of first 4 GiB + 20% of next 4 GiB + 10% of next 8 GiB + 6% of next 112 GiB + 2% of remaining</w:t>
      </w:r>
    </w:p>
    <w:p>
      <w:pPr>
        <w:ind w:left="283"/>
      </w:pPr>
      <w:r>
        <w:rPr>
          <w:b/>
          <w:sz w:val="20"/>
        </w:rPr>
        <w:t>Ephemeral storage:</w:t>
      </w:r>
      <w:r>
        <w:rPr>
          <w:sz w:val="20"/>
        </w:rPr>
        <w:t xml:space="preserve"> fixed at 1Gi.</w:t>
      </w:r>
    </w:p>
    <w:p>
      <w:pPr>
        <w:pStyle w:val="Heading2"/>
        <w:ind w:left="283"/>
      </w:pPr>
      <w:r>
        <w:t>Calculated values for common node sizes</w:t>
      </w:r>
    </w:p>
    <w:tbl>
      <w:tblPr>
        <w:tblStyle w:val="TableGrid"/>
        <w:tblW w:type="pct" w:w="5000"/>
        <w:jc w:val="center"/>
        <w:tblLook w:firstColumn="1" w:firstRow="1" w:lastColumn="0" w:lastRow="0" w:noHBand="0" w:noVBand="1" w:val="04A0"/>
      </w:tblPr>
      <w:tblGrid>
        <w:gridCol w:w="1296"/>
        <w:gridCol w:w="1296"/>
        <w:gridCol w:w="1296"/>
        <w:gridCol w:w="1296"/>
        <w:gridCol w:w="1296"/>
        <w:gridCol w:w="1296"/>
        <w:gridCol w:w="1296"/>
      </w:tblGrid>
      <w:tr>
        <w:trPr>
          <w:cantSplit w:val="true"/>
          <w:tblHeader w:val="true"/>
        </w:trPr>
        <w:tc>
          <w:tcPr>
            <w:tcW w:type="dxa" w:w="1296"/>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Node</w:t>
            </w:r>
          </w:p>
        </w:tc>
        <w:tc>
          <w:tcPr>
            <w:tcW w:type="dxa" w:w="1296"/>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Cores</w:t>
            </w:r>
          </w:p>
        </w:tc>
        <w:tc>
          <w:tcPr>
            <w:tcW w:type="dxa" w:w="1296"/>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RAM</w:t>
            </w:r>
          </w:p>
        </w:tc>
        <w:tc>
          <w:tcPr>
            <w:tcW w:type="dxa" w:w="1296"/>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Formula CPU</w:t>
            </w:r>
          </w:p>
        </w:tc>
        <w:tc>
          <w:tcPr>
            <w:tcW w:type="dxa" w:w="1296"/>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Enforced CPU</w:t>
            </w:r>
          </w:p>
        </w:tc>
        <w:tc>
          <w:tcPr>
            <w:tcW w:type="dxa" w:w="1296"/>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Auto Memory</w:t>
            </w:r>
          </w:p>
        </w:tc>
        <w:tc>
          <w:tcPr>
            <w:tcW w:type="dxa" w:w="1296"/>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Auto ES</w:t>
            </w:r>
          </w:p>
        </w:tc>
      </w:tr>
      <w:tr>
        <w:trPr>
          <w:cantSplit w:val="true"/>
        </w:trPr>
        <w:tc>
          <w:tcPr>
            <w:tcW w:type="dxa" w:w="1296"/>
            <w:vAlign w:val="center"/>
            <w:tcMar>
              <w:top w:w="60" w:type="dxa"/>
              <w:bottom w:w="60" w:type="dxa"/>
              <w:left w:w="100" w:type="dxa"/>
              <w:right w:w="100" w:type="dxa"/>
            </w:tcMar>
          </w:tcPr>
          <w:p>
            <w:pPr>
              <w:spacing w:before="60" w:after="60"/>
              <w:jc w:val="center"/>
            </w:pPr>
            <w:r/>
            <w:r>
              <w:rPr>
                <w:rFonts w:ascii="Red Hat Text" w:hAnsi="Red Hat Text"/>
                <w:sz w:val="16"/>
              </w:rPr>
              <w:t>Small VM (general)</w:t>
            </w:r>
          </w:p>
        </w:tc>
        <w:tc>
          <w:tcPr>
            <w:tcW w:type="dxa" w:w="1296"/>
            <w:vAlign w:val="center"/>
            <w:tcMar>
              <w:top w:w="60" w:type="dxa"/>
              <w:bottom w:w="60" w:type="dxa"/>
              <w:left w:w="100" w:type="dxa"/>
              <w:right w:w="100" w:type="dxa"/>
            </w:tcMar>
          </w:tcPr>
          <w:p>
            <w:pPr>
              <w:spacing w:before="60" w:after="60"/>
              <w:jc w:val="center"/>
            </w:pPr>
            <w:r/>
            <w:r>
              <w:rPr>
                <w:rFonts w:ascii="Red Hat Text" w:hAnsi="Red Hat Text"/>
                <w:sz w:val="16"/>
              </w:rPr>
              <w:t>4</w:t>
            </w:r>
          </w:p>
        </w:tc>
        <w:tc>
          <w:tcPr>
            <w:tcW w:type="dxa" w:w="1296"/>
            <w:vAlign w:val="center"/>
            <w:tcMar>
              <w:top w:w="60" w:type="dxa"/>
              <w:bottom w:w="60" w:type="dxa"/>
              <w:left w:w="100" w:type="dxa"/>
              <w:right w:w="100" w:type="dxa"/>
            </w:tcMar>
          </w:tcPr>
          <w:p>
            <w:pPr>
              <w:spacing w:before="60" w:after="60"/>
              <w:jc w:val="center"/>
            </w:pPr>
            <w:r/>
            <w:r>
              <w:rPr>
                <w:rFonts w:ascii="Red Hat Text" w:hAnsi="Red Hat Text"/>
                <w:sz w:val="16"/>
              </w:rPr>
              <w:t>16 GB</w:t>
            </w:r>
          </w:p>
        </w:tc>
        <w:tc>
          <w:tcPr>
            <w:tcW w:type="dxa" w:w="1296"/>
            <w:vAlign w:val="center"/>
            <w:tcMar>
              <w:top w:w="60" w:type="dxa"/>
              <w:bottom w:w="60" w:type="dxa"/>
              <w:left w:w="100" w:type="dxa"/>
              <w:right w:w="100" w:type="dxa"/>
            </w:tcMar>
          </w:tcPr>
          <w:p>
            <w:pPr>
              <w:spacing w:before="60" w:after="60"/>
              <w:jc w:val="center"/>
            </w:pPr>
            <w:r/>
            <w:r>
              <w:rPr>
                <w:rFonts w:ascii="Red Hat Text" w:hAnsi="Red Hat Text"/>
                <w:sz w:val="16"/>
              </w:rPr>
              <w:t>80m</w:t>
            </w:r>
          </w:p>
        </w:tc>
        <w:tc>
          <w:tcPr>
            <w:tcW w:type="dxa" w:w="1296"/>
            <w:vAlign w:val="center"/>
            <w:tcMar>
              <w:top w:w="60" w:type="dxa"/>
              <w:bottom w:w="60" w:type="dxa"/>
              <w:left w:w="100" w:type="dxa"/>
              <w:right w:w="100" w:type="dxa"/>
            </w:tcMar>
          </w:tcPr>
          <w:p>
            <w:pPr>
              <w:spacing w:before="60" w:after="60"/>
              <w:jc w:val="center"/>
            </w:pPr>
            <w:r/>
            <w:r>
              <w:rPr>
                <w:rFonts w:ascii="Red Hat Text" w:hAnsi="Red Hat Text"/>
                <w:sz w:val="16"/>
              </w:rPr>
              <w:t>500m (min)</w:t>
            </w:r>
          </w:p>
        </w:tc>
        <w:tc>
          <w:tcPr>
            <w:tcW w:type="dxa" w:w="1296"/>
            <w:vAlign w:val="center"/>
            <w:tcMar>
              <w:top w:w="60" w:type="dxa"/>
              <w:bottom w:w="60" w:type="dxa"/>
              <w:left w:w="100" w:type="dxa"/>
              <w:right w:w="100" w:type="dxa"/>
            </w:tcMar>
          </w:tcPr>
          <w:p>
            <w:pPr>
              <w:spacing w:before="60" w:after="60"/>
              <w:jc w:val="center"/>
            </w:pPr>
            <w:r/>
            <w:r>
              <w:rPr>
                <w:rFonts w:ascii="Red Hat Text" w:hAnsi="Red Hat Text"/>
                <w:sz w:val="16"/>
              </w:rPr>
              <w:t>2.6 Gi</w:t>
            </w:r>
          </w:p>
        </w:tc>
        <w:tc>
          <w:tcPr>
            <w:tcW w:type="dxa" w:w="1296"/>
            <w:vAlign w:val="center"/>
            <w:tcMar>
              <w:top w:w="60" w:type="dxa"/>
              <w:bottom w:w="60" w:type="dxa"/>
              <w:left w:w="100" w:type="dxa"/>
              <w:right w:w="100" w:type="dxa"/>
            </w:tcMar>
          </w:tcPr>
          <w:p>
            <w:pPr>
              <w:spacing w:before="60" w:after="60"/>
              <w:jc w:val="center"/>
            </w:pPr>
            <w:r/>
            <w:r>
              <w:rPr>
                <w:rFonts w:ascii="Red Hat Text" w:hAnsi="Red Hat Text"/>
                <w:sz w:val="16"/>
              </w:rPr>
              <w:t>1Gi</w:t>
            </w:r>
          </w:p>
        </w:tc>
      </w:tr>
      <w:tr>
        <w:trPr>
          <w:cantSplit w:val="true"/>
        </w:trPr>
        <w:tc>
          <w:tcPr>
            <w:tcW w:type="dxa" w:w="1296"/>
            <w:vAlign w:val="center"/>
            <w:tcMar>
              <w:top w:w="60" w:type="dxa"/>
              <w:bottom w:w="60" w:type="dxa"/>
              <w:left w:w="100" w:type="dxa"/>
              <w:right w:w="100" w:type="dxa"/>
            </w:tcMar>
            <w:shd w:fill="F5F5F5"/>
          </w:tcPr>
          <w:p>
            <w:pPr>
              <w:spacing w:before="60" w:after="60"/>
              <w:jc w:val="center"/>
            </w:pPr>
            <w:r/>
            <w:r>
              <w:rPr>
                <w:rFonts w:ascii="Red Hat Text" w:hAnsi="Red Hat Text"/>
                <w:sz w:val="16"/>
              </w:rPr>
              <w:t>Medium VM (infra)</w:t>
            </w:r>
          </w:p>
        </w:tc>
        <w:tc>
          <w:tcPr>
            <w:tcW w:type="dxa" w:w="1296"/>
            <w:vAlign w:val="center"/>
            <w:tcMar>
              <w:top w:w="60" w:type="dxa"/>
              <w:bottom w:w="60" w:type="dxa"/>
              <w:left w:w="100" w:type="dxa"/>
              <w:right w:w="100" w:type="dxa"/>
            </w:tcMar>
            <w:shd w:fill="F5F5F5"/>
          </w:tcPr>
          <w:p>
            <w:pPr>
              <w:spacing w:before="60" w:after="60"/>
              <w:jc w:val="center"/>
            </w:pPr>
            <w:r/>
            <w:r>
              <w:rPr>
                <w:rFonts w:ascii="Red Hat Text" w:hAnsi="Red Hat Text"/>
                <w:sz w:val="16"/>
              </w:rPr>
              <w:t>12</w:t>
            </w:r>
          </w:p>
        </w:tc>
        <w:tc>
          <w:tcPr>
            <w:tcW w:type="dxa" w:w="1296"/>
            <w:vAlign w:val="center"/>
            <w:tcMar>
              <w:top w:w="60" w:type="dxa"/>
              <w:bottom w:w="60" w:type="dxa"/>
              <w:left w:w="100" w:type="dxa"/>
              <w:right w:w="100" w:type="dxa"/>
            </w:tcMar>
            <w:shd w:fill="F5F5F5"/>
          </w:tcPr>
          <w:p>
            <w:pPr>
              <w:spacing w:before="60" w:after="60"/>
              <w:jc w:val="center"/>
            </w:pPr>
            <w:r/>
            <w:r>
              <w:rPr>
                <w:rFonts w:ascii="Red Hat Text" w:hAnsi="Red Hat Text"/>
                <w:sz w:val="16"/>
              </w:rPr>
              <w:t>42 GB</w:t>
            </w:r>
          </w:p>
        </w:tc>
        <w:tc>
          <w:tcPr>
            <w:tcW w:type="dxa" w:w="1296"/>
            <w:vAlign w:val="center"/>
            <w:tcMar>
              <w:top w:w="60" w:type="dxa"/>
              <w:bottom w:w="60" w:type="dxa"/>
              <w:left w:w="100" w:type="dxa"/>
              <w:right w:w="100" w:type="dxa"/>
            </w:tcMar>
            <w:shd w:fill="F5F5F5"/>
          </w:tcPr>
          <w:p>
            <w:pPr>
              <w:spacing w:before="60" w:after="60"/>
              <w:jc w:val="center"/>
            </w:pPr>
            <w:r/>
            <w:r>
              <w:rPr>
                <w:rFonts w:ascii="Red Hat Text" w:hAnsi="Red Hat Text"/>
                <w:sz w:val="16"/>
              </w:rPr>
              <w:t>100m</w:t>
            </w:r>
          </w:p>
        </w:tc>
        <w:tc>
          <w:tcPr>
            <w:tcW w:type="dxa" w:w="1296"/>
            <w:vAlign w:val="center"/>
            <w:tcMar>
              <w:top w:w="60" w:type="dxa"/>
              <w:bottom w:w="60" w:type="dxa"/>
              <w:left w:w="100" w:type="dxa"/>
              <w:right w:w="100" w:type="dxa"/>
            </w:tcMar>
            <w:shd w:fill="F5F5F5"/>
          </w:tcPr>
          <w:p>
            <w:pPr>
              <w:spacing w:before="60" w:after="60"/>
              <w:jc w:val="center"/>
            </w:pPr>
            <w:r/>
            <w:r>
              <w:rPr>
                <w:rFonts w:ascii="Red Hat Text" w:hAnsi="Red Hat Text"/>
                <w:sz w:val="16"/>
              </w:rPr>
              <w:t>500m (min)</w:t>
            </w:r>
          </w:p>
        </w:tc>
        <w:tc>
          <w:tcPr>
            <w:tcW w:type="dxa" w:w="1296"/>
            <w:vAlign w:val="center"/>
            <w:tcMar>
              <w:top w:w="60" w:type="dxa"/>
              <w:bottom w:w="60" w:type="dxa"/>
              <w:left w:w="100" w:type="dxa"/>
              <w:right w:w="100" w:type="dxa"/>
            </w:tcMar>
            <w:shd w:fill="F5F5F5"/>
          </w:tcPr>
          <w:p>
            <w:pPr>
              <w:spacing w:before="60" w:after="60"/>
              <w:jc w:val="center"/>
            </w:pPr>
            <w:r/>
            <w:r>
              <w:rPr>
                <w:rFonts w:ascii="Red Hat Text" w:hAnsi="Red Hat Text"/>
                <w:sz w:val="16"/>
              </w:rPr>
              <w:t>4.2 Gi</w:t>
            </w:r>
          </w:p>
        </w:tc>
        <w:tc>
          <w:tcPr>
            <w:tcW w:type="dxa" w:w="1296"/>
            <w:vAlign w:val="center"/>
            <w:tcMar>
              <w:top w:w="60" w:type="dxa"/>
              <w:bottom w:w="60" w:type="dxa"/>
              <w:left w:w="100" w:type="dxa"/>
              <w:right w:w="100" w:type="dxa"/>
            </w:tcMar>
            <w:shd w:fill="F5F5F5"/>
          </w:tcPr>
          <w:p>
            <w:pPr>
              <w:spacing w:before="60" w:after="60"/>
              <w:jc w:val="center"/>
            </w:pPr>
            <w:r/>
            <w:r>
              <w:rPr>
                <w:rFonts w:ascii="Red Hat Text" w:hAnsi="Red Hat Text"/>
                <w:sz w:val="16"/>
              </w:rPr>
              <w:t>1Gi</w:t>
            </w:r>
          </w:p>
        </w:tc>
      </w:tr>
      <w:tr>
        <w:trPr>
          <w:cantSplit w:val="true"/>
        </w:trPr>
        <w:tc>
          <w:tcPr>
            <w:tcW w:type="dxa" w:w="1296"/>
            <w:vAlign w:val="center"/>
            <w:tcMar>
              <w:top w:w="60" w:type="dxa"/>
              <w:bottom w:w="60" w:type="dxa"/>
              <w:left w:w="100" w:type="dxa"/>
              <w:right w:w="100" w:type="dxa"/>
            </w:tcMar>
          </w:tcPr>
          <w:p>
            <w:pPr>
              <w:spacing w:before="60" w:after="60"/>
              <w:jc w:val="center"/>
            </w:pPr>
            <w:r/>
            <w:r>
              <w:rPr>
                <w:rFonts w:ascii="Red Hat Text" w:hAnsi="Red Hat Text"/>
                <w:sz w:val="16"/>
              </w:rPr>
              <w:t>Large VM (master)</w:t>
            </w:r>
          </w:p>
        </w:tc>
        <w:tc>
          <w:tcPr>
            <w:tcW w:type="dxa" w:w="1296"/>
            <w:vAlign w:val="center"/>
            <w:tcMar>
              <w:top w:w="60" w:type="dxa"/>
              <w:bottom w:w="60" w:type="dxa"/>
              <w:left w:w="100" w:type="dxa"/>
              <w:right w:w="100" w:type="dxa"/>
            </w:tcMar>
          </w:tcPr>
          <w:p>
            <w:pPr>
              <w:spacing w:before="60" w:after="60"/>
              <w:jc w:val="center"/>
            </w:pPr>
            <w:r/>
            <w:r>
              <w:rPr>
                <w:rFonts w:ascii="Red Hat Text" w:hAnsi="Red Hat Text"/>
                <w:sz w:val="16"/>
              </w:rPr>
              <w:t>20</w:t>
            </w:r>
          </w:p>
        </w:tc>
        <w:tc>
          <w:tcPr>
            <w:tcW w:type="dxa" w:w="1296"/>
            <w:vAlign w:val="center"/>
            <w:tcMar>
              <w:top w:w="60" w:type="dxa"/>
              <w:bottom w:w="60" w:type="dxa"/>
              <w:left w:w="100" w:type="dxa"/>
              <w:right w:w="100" w:type="dxa"/>
            </w:tcMar>
          </w:tcPr>
          <w:p>
            <w:pPr>
              <w:spacing w:before="60" w:after="60"/>
              <w:jc w:val="center"/>
            </w:pPr>
            <w:r/>
            <w:r>
              <w:rPr>
                <w:rFonts w:ascii="Red Hat Text" w:hAnsi="Red Hat Text"/>
                <w:sz w:val="16"/>
              </w:rPr>
              <w:t>130 GB</w:t>
            </w:r>
          </w:p>
        </w:tc>
        <w:tc>
          <w:tcPr>
            <w:tcW w:type="dxa" w:w="1296"/>
            <w:vAlign w:val="center"/>
            <w:tcMar>
              <w:top w:w="60" w:type="dxa"/>
              <w:bottom w:w="60" w:type="dxa"/>
              <w:left w:w="100" w:type="dxa"/>
              <w:right w:w="100" w:type="dxa"/>
            </w:tcMar>
          </w:tcPr>
          <w:p>
            <w:pPr>
              <w:spacing w:before="60" w:after="60"/>
              <w:jc w:val="center"/>
            </w:pPr>
            <w:r/>
            <w:r>
              <w:rPr>
                <w:rFonts w:ascii="Red Hat Text" w:hAnsi="Red Hat Text"/>
                <w:sz w:val="16"/>
              </w:rPr>
              <w:t>120m</w:t>
            </w:r>
          </w:p>
        </w:tc>
        <w:tc>
          <w:tcPr>
            <w:tcW w:type="dxa" w:w="1296"/>
            <w:vAlign w:val="center"/>
            <w:tcMar>
              <w:top w:w="60" w:type="dxa"/>
              <w:bottom w:w="60" w:type="dxa"/>
              <w:left w:w="100" w:type="dxa"/>
              <w:right w:w="100" w:type="dxa"/>
            </w:tcMar>
          </w:tcPr>
          <w:p>
            <w:pPr>
              <w:spacing w:before="60" w:after="60"/>
              <w:jc w:val="center"/>
            </w:pPr>
            <w:r/>
            <w:r>
              <w:rPr>
                <w:rFonts w:ascii="Red Hat Text" w:hAnsi="Red Hat Text"/>
                <w:sz w:val="16"/>
              </w:rPr>
              <w:t>500m (min)</w:t>
            </w:r>
          </w:p>
        </w:tc>
        <w:tc>
          <w:tcPr>
            <w:tcW w:type="dxa" w:w="1296"/>
            <w:vAlign w:val="center"/>
            <w:tcMar>
              <w:top w:w="60" w:type="dxa"/>
              <w:bottom w:w="60" w:type="dxa"/>
              <w:left w:w="100" w:type="dxa"/>
              <w:right w:w="100" w:type="dxa"/>
            </w:tcMar>
          </w:tcPr>
          <w:p>
            <w:pPr>
              <w:spacing w:before="60" w:after="60"/>
              <w:jc w:val="center"/>
            </w:pPr>
            <w:r/>
            <w:r>
              <w:rPr>
                <w:rFonts w:ascii="Red Hat Text" w:hAnsi="Red Hat Text"/>
                <w:sz w:val="16"/>
              </w:rPr>
              <w:t>9.4 Gi</w:t>
            </w:r>
          </w:p>
        </w:tc>
        <w:tc>
          <w:tcPr>
            <w:tcW w:type="dxa" w:w="1296"/>
            <w:vAlign w:val="center"/>
            <w:tcMar>
              <w:top w:w="60" w:type="dxa"/>
              <w:bottom w:w="60" w:type="dxa"/>
              <w:left w:w="100" w:type="dxa"/>
              <w:right w:w="100" w:type="dxa"/>
            </w:tcMar>
          </w:tcPr>
          <w:p>
            <w:pPr>
              <w:spacing w:before="60" w:after="60"/>
              <w:jc w:val="center"/>
            </w:pPr>
            <w:r/>
            <w:r>
              <w:rPr>
                <w:rFonts w:ascii="Red Hat Text" w:hAnsi="Red Hat Text"/>
                <w:sz w:val="16"/>
              </w:rPr>
              <w:t>1Gi</w:t>
            </w:r>
          </w:p>
        </w:tc>
      </w:tr>
      <w:tr>
        <w:trPr>
          <w:cantSplit w:val="true"/>
        </w:trPr>
        <w:tc>
          <w:tcPr>
            <w:tcW w:type="dxa" w:w="1296"/>
            <w:vAlign w:val="center"/>
            <w:tcMar>
              <w:top w:w="60" w:type="dxa"/>
              <w:bottom w:w="60" w:type="dxa"/>
              <w:left w:w="100" w:type="dxa"/>
              <w:right w:w="100" w:type="dxa"/>
            </w:tcMar>
            <w:shd w:fill="F5F5F5"/>
          </w:tcPr>
          <w:p>
            <w:pPr>
              <w:spacing w:before="60" w:after="60"/>
              <w:jc w:val="center"/>
            </w:pPr>
            <w:r/>
            <w:r>
              <w:rPr>
                <w:rFonts w:ascii="Red Hat Text" w:hAnsi="Red Hat Text"/>
                <w:sz w:val="16"/>
              </w:rPr>
              <w:t>Large BM (worker)</w:t>
            </w:r>
          </w:p>
        </w:tc>
        <w:tc>
          <w:tcPr>
            <w:tcW w:type="dxa" w:w="1296"/>
            <w:vAlign w:val="center"/>
            <w:tcMar>
              <w:top w:w="60" w:type="dxa"/>
              <w:bottom w:w="60" w:type="dxa"/>
              <w:left w:w="100" w:type="dxa"/>
              <w:right w:w="100" w:type="dxa"/>
            </w:tcMar>
            <w:shd w:fill="F5F5F5"/>
          </w:tcPr>
          <w:p>
            <w:pPr>
              <w:spacing w:before="60" w:after="60"/>
              <w:jc w:val="center"/>
            </w:pPr>
            <w:r/>
            <w:r>
              <w:rPr>
                <w:rFonts w:ascii="Red Hat Text" w:hAnsi="Red Hat Text"/>
                <w:sz w:val="16"/>
              </w:rPr>
              <w:t>56</w:t>
            </w:r>
          </w:p>
        </w:tc>
        <w:tc>
          <w:tcPr>
            <w:tcW w:type="dxa" w:w="1296"/>
            <w:vAlign w:val="center"/>
            <w:tcMar>
              <w:top w:w="60" w:type="dxa"/>
              <w:bottom w:w="60" w:type="dxa"/>
              <w:left w:w="100" w:type="dxa"/>
              <w:right w:w="100" w:type="dxa"/>
            </w:tcMar>
            <w:shd w:fill="F5F5F5"/>
          </w:tcPr>
          <w:p>
            <w:pPr>
              <w:spacing w:before="60" w:after="60"/>
              <w:jc w:val="center"/>
            </w:pPr>
            <w:r/>
            <w:r>
              <w:rPr>
                <w:rFonts w:ascii="Red Hat Text" w:hAnsi="Red Hat Text"/>
                <w:sz w:val="16"/>
              </w:rPr>
              <w:t>756 GB</w:t>
            </w:r>
          </w:p>
        </w:tc>
        <w:tc>
          <w:tcPr>
            <w:tcW w:type="dxa" w:w="1296"/>
            <w:vAlign w:val="center"/>
            <w:tcMar>
              <w:top w:w="60" w:type="dxa"/>
              <w:bottom w:w="60" w:type="dxa"/>
              <w:left w:w="100" w:type="dxa"/>
              <w:right w:w="100" w:type="dxa"/>
            </w:tcMar>
            <w:shd w:fill="F5F5F5"/>
          </w:tcPr>
          <w:p>
            <w:pPr>
              <w:spacing w:before="60" w:after="60"/>
              <w:jc w:val="center"/>
            </w:pPr>
            <w:r/>
            <w:r>
              <w:rPr>
                <w:rFonts w:ascii="Red Hat Text" w:hAnsi="Red Hat Text"/>
                <w:sz w:val="16"/>
              </w:rPr>
              <w:t>210m</w:t>
            </w:r>
          </w:p>
        </w:tc>
        <w:tc>
          <w:tcPr>
            <w:tcW w:type="dxa" w:w="1296"/>
            <w:vAlign w:val="center"/>
            <w:tcMar>
              <w:top w:w="60" w:type="dxa"/>
              <w:bottom w:w="60" w:type="dxa"/>
              <w:left w:w="100" w:type="dxa"/>
              <w:right w:w="100" w:type="dxa"/>
            </w:tcMar>
            <w:shd w:fill="F5F5F5"/>
          </w:tcPr>
          <w:p>
            <w:pPr>
              <w:spacing w:before="60" w:after="60"/>
              <w:jc w:val="center"/>
            </w:pPr>
            <w:r/>
            <w:r>
              <w:rPr>
                <w:rFonts w:ascii="Red Hat Text" w:hAnsi="Red Hat Text"/>
                <w:sz w:val="16"/>
              </w:rPr>
              <w:t>500m (min)</w:t>
            </w:r>
          </w:p>
        </w:tc>
        <w:tc>
          <w:tcPr>
            <w:tcW w:type="dxa" w:w="1296"/>
            <w:vAlign w:val="center"/>
            <w:tcMar>
              <w:top w:w="60" w:type="dxa"/>
              <w:bottom w:w="60" w:type="dxa"/>
              <w:left w:w="100" w:type="dxa"/>
              <w:right w:w="100" w:type="dxa"/>
            </w:tcMar>
            <w:shd w:fill="F5F5F5"/>
          </w:tcPr>
          <w:p>
            <w:pPr>
              <w:spacing w:before="60" w:after="60"/>
              <w:jc w:val="center"/>
            </w:pPr>
            <w:r/>
            <w:r>
              <w:rPr>
                <w:rFonts w:ascii="Red Hat Text" w:hAnsi="Red Hat Text"/>
                <w:sz w:val="16"/>
              </w:rPr>
              <w:t>21.9 Gi</w:t>
            </w:r>
          </w:p>
        </w:tc>
        <w:tc>
          <w:tcPr>
            <w:tcW w:type="dxa" w:w="1296"/>
            <w:vAlign w:val="center"/>
            <w:tcMar>
              <w:top w:w="60" w:type="dxa"/>
              <w:bottom w:w="60" w:type="dxa"/>
              <w:left w:w="100" w:type="dxa"/>
              <w:right w:w="100" w:type="dxa"/>
            </w:tcMar>
            <w:shd w:fill="F5F5F5"/>
          </w:tcPr>
          <w:p>
            <w:pPr>
              <w:spacing w:before="60" w:after="60"/>
              <w:jc w:val="center"/>
            </w:pPr>
            <w:r/>
            <w:r>
              <w:rPr>
                <w:rFonts w:ascii="Red Hat Text" w:hAnsi="Red Hat Text"/>
                <w:sz w:val="16"/>
              </w:rPr>
              <w:t>1Gi</w:t>
            </w:r>
          </w:p>
        </w:tc>
      </w:tr>
    </w:tbl>
    <w:p>
      <w:pPr>
        <w:pStyle w:val="Heading2"/>
        <w:ind w:left="283"/>
      </w:pPr>
      <w:r>
        <w:t>Per-archetype guidance</w:t>
      </w:r>
    </w:p>
    <w:tbl>
      <w:tblPr>
        <w:tblStyle w:val="TableGrid"/>
        <w:tblW w:type="pct" w:w="5000"/>
        <w:jc w:val="center"/>
        <w:tblLook w:firstColumn="1" w:firstRow="1" w:lastColumn="0" w:lastRow="0" w:noHBand="0" w:noVBand="1" w:val="04A0"/>
      </w:tblPr>
      <w:tblGrid>
        <w:gridCol w:w="4536"/>
        <w:gridCol w:w="4536"/>
      </w:tblGrid>
      <w:tr>
        <w:trPr>
          <w:cantSplit w:val="true"/>
          <w:tblHeader w:val="true"/>
        </w:trPr>
        <w:tc>
          <w:tcPr>
            <w:tcW w:type="dxa" w:w="4536"/>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Archetype</w:t>
            </w:r>
          </w:p>
        </w:tc>
        <w:tc>
          <w:tcPr>
            <w:tcW w:type="dxa" w:w="4536"/>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Recommendation</w:t>
            </w:r>
          </w:p>
        </w:tc>
      </w:tr>
      <w:tr>
        <w:trPr>
          <w:cantSplit w:val="true"/>
        </w:trPr>
        <w:tc>
          <w:tcPr>
            <w:tcW w:type="dxa" w:w="4536"/>
            <w:vAlign w:val="center"/>
            <w:tcMar>
              <w:top w:w="60" w:type="dxa"/>
              <w:bottom w:w="60" w:type="dxa"/>
              <w:left w:w="100" w:type="dxa"/>
              <w:right w:w="100" w:type="dxa"/>
            </w:tcMar>
          </w:tcPr>
          <w:p>
            <w:pPr>
              <w:spacing w:before="60" w:after="60"/>
              <w:jc w:val="center"/>
            </w:pPr>
            <w:r/>
            <w:r>
              <w:rPr>
                <w:rFonts w:ascii="Red Hat Text" w:hAnsi="Red Hat Text"/>
                <w:sz w:val="16"/>
              </w:rPr>
              <w:t>Master VM</w:t>
            </w:r>
          </w:p>
        </w:tc>
        <w:tc>
          <w:tcPr>
            <w:tcW w:type="dxa" w:w="4536"/>
            <w:vAlign w:val="center"/>
            <w:tcMar>
              <w:top w:w="60" w:type="dxa"/>
              <w:bottom w:w="60" w:type="dxa"/>
              <w:left w:w="100" w:type="dxa"/>
              <w:right w:w="100" w:type="dxa"/>
            </w:tcMar>
          </w:tcPr>
          <w:p>
            <w:pPr>
              <w:spacing w:before="60" w:after="60"/>
              <w:jc w:val="left"/>
            </w:pPr>
            <w:r/>
            <w:r>
              <w:rPr>
                <w:rFonts w:ascii="Red Hat Text" w:hAnsi="Red Hat Text"/>
                <w:sz w:val="16"/>
              </w:rPr>
              <w:t>Enable autoSizingReserved: true. The auto-calculated values are appropriate for control-plane workloads (etcd, API server, controllers).</w:t>
            </w:r>
          </w:p>
        </w:tc>
      </w:tr>
      <w:tr>
        <w:trPr>
          <w:cantSplit w:val="true"/>
        </w:trPr>
        <w:tc>
          <w:tcPr>
            <w:tcW w:type="dxa" w:w="4536"/>
            <w:vAlign w:val="center"/>
            <w:tcMar>
              <w:top w:w="60" w:type="dxa"/>
              <w:bottom w:w="60" w:type="dxa"/>
              <w:left w:w="100" w:type="dxa"/>
              <w:right w:w="100" w:type="dxa"/>
            </w:tcMar>
            <w:shd w:fill="F5F5F5"/>
          </w:tcPr>
          <w:p>
            <w:pPr>
              <w:spacing w:before="60" w:after="60"/>
              <w:jc w:val="center"/>
            </w:pPr>
            <w:r/>
            <w:r>
              <w:rPr>
                <w:rFonts w:ascii="Red Hat Text" w:hAnsi="Red Hat Text"/>
                <w:sz w:val="16"/>
              </w:rPr>
              <w:t>Infra VM</w:t>
            </w:r>
          </w:p>
        </w:tc>
        <w:tc>
          <w:tcPr>
            <w:tcW w:type="dxa" w:w="4536"/>
            <w:vAlign w:val="center"/>
            <w:tcMar>
              <w:top w:w="60" w:type="dxa"/>
              <w:bottom w:w="60" w:type="dxa"/>
              <w:left w:w="100" w:type="dxa"/>
              <w:right w:w="100" w:type="dxa"/>
            </w:tcMar>
            <w:shd w:fill="F5F5F5"/>
          </w:tcPr>
          <w:p>
            <w:pPr>
              <w:spacing w:before="60" w:after="60"/>
              <w:jc w:val="left"/>
            </w:pPr>
            <w:r/>
            <w:r>
              <w:rPr>
                <w:rFonts w:ascii="Red Hat Text" w:hAnsi="Red Hat Text"/>
                <w:sz w:val="16"/>
              </w:rPr>
              <w:t>Enable autoSizingReserved: true. Infra nodes run routers and monitoring, which have predictable resource profiles.</w:t>
            </w:r>
          </w:p>
        </w:tc>
      </w:tr>
      <w:tr>
        <w:trPr>
          <w:cantSplit w:val="true"/>
        </w:trPr>
        <w:tc>
          <w:tcPr>
            <w:tcW w:type="dxa" w:w="4536"/>
            <w:vAlign w:val="center"/>
            <w:tcMar>
              <w:top w:w="60" w:type="dxa"/>
              <w:bottom w:w="60" w:type="dxa"/>
              <w:left w:w="100" w:type="dxa"/>
              <w:right w:w="100" w:type="dxa"/>
            </w:tcMar>
          </w:tcPr>
          <w:p>
            <w:pPr>
              <w:spacing w:before="60" w:after="60"/>
              <w:jc w:val="center"/>
            </w:pPr>
            <w:r/>
            <w:r>
              <w:rPr>
                <w:rFonts w:ascii="Red Hat Text" w:hAnsi="Red Hat Text"/>
                <w:sz w:val="16"/>
              </w:rPr>
              <w:t>Worker BM (≤250 pods)</w:t>
            </w:r>
          </w:p>
        </w:tc>
        <w:tc>
          <w:tcPr>
            <w:tcW w:type="dxa" w:w="4536"/>
            <w:vAlign w:val="center"/>
            <w:tcMar>
              <w:top w:w="60" w:type="dxa"/>
              <w:bottom w:w="60" w:type="dxa"/>
              <w:left w:w="100" w:type="dxa"/>
              <w:right w:w="100" w:type="dxa"/>
            </w:tcMar>
          </w:tcPr>
          <w:p>
            <w:pPr>
              <w:spacing w:before="60" w:after="60"/>
              <w:jc w:val="left"/>
            </w:pPr>
            <w:r/>
            <w:r>
              <w:rPr>
                <w:rFonts w:ascii="Red Hat Text" w:hAnsi="Red Hat Text"/>
                <w:sz w:val="16"/>
              </w:rPr>
              <w:t>Enable autoSizingReserved: true. For standard density, auto-sizing is sufficient.</w:t>
            </w:r>
          </w:p>
        </w:tc>
      </w:tr>
      <w:tr>
        <w:trPr>
          <w:cantSplit w:val="true"/>
        </w:trPr>
        <w:tc>
          <w:tcPr>
            <w:tcW w:type="dxa" w:w="4536"/>
            <w:vAlign w:val="center"/>
            <w:tcMar>
              <w:top w:w="60" w:type="dxa"/>
              <w:bottom w:w="60" w:type="dxa"/>
              <w:left w:w="100" w:type="dxa"/>
              <w:right w:w="100" w:type="dxa"/>
            </w:tcMar>
            <w:shd w:fill="F5F5F5"/>
          </w:tcPr>
          <w:p>
            <w:pPr>
              <w:spacing w:before="60" w:after="60"/>
              <w:jc w:val="center"/>
            </w:pPr>
            <w:r/>
            <w:r>
              <w:rPr>
                <w:rFonts w:ascii="Red Hat Text" w:hAnsi="Red Hat Text"/>
                <w:sz w:val="16"/>
              </w:rPr>
              <w:t>Worker BM (250–500 pods)</w:t>
            </w:r>
          </w:p>
        </w:tc>
        <w:tc>
          <w:tcPr>
            <w:tcW w:type="dxa" w:w="4536"/>
            <w:vAlign w:val="center"/>
            <w:tcMar>
              <w:top w:w="60" w:type="dxa"/>
              <w:bottom w:w="60" w:type="dxa"/>
              <w:left w:w="100" w:type="dxa"/>
              <w:right w:w="100" w:type="dxa"/>
            </w:tcMar>
            <w:shd w:fill="F5F5F5"/>
          </w:tcPr>
          <w:p>
            <w:pPr>
              <w:spacing w:before="60" w:after="60"/>
              <w:jc w:val="left"/>
            </w:pPr>
            <w:r/>
            <w:r>
              <w:rPr>
                <w:rFonts w:ascii="Red Hat Text" w:hAnsi="Red Hat Text"/>
                <w:sz w:val="16"/>
              </w:rPr>
              <w:t>Manual tuning required. Auto-sizing reserves only 500m CPU (the enforced minimum), which is inadequate for high pod counts. Case 03703812 showed kubelet consuming 6+ CPU cores under GC pressure with maxPods=500. Recommended: cpu: 4000m, memory: 10Gi, ephemeral-storage: 1Gi (per Case 03562048 engineering recommendation).</w:t>
            </w:r>
          </w:p>
        </w:tc>
      </w:tr>
    </w:tbl>
    <w:p>
      <w:pPr>
        <w:pStyle w:val="Heading2"/>
        <w:ind w:left="283"/>
      </w:pPr>
      <w:r>
        <w:t>WARNING — auto-sizing CPU is insufficient for 500-pod nodes</w:t>
      </w:r>
    </w:p>
    <w:p>
      <w:pPr>
        <w:ind w:left="283"/>
      </w:pPr>
      <w:r>
        <w:rPr>
          <w:sz w:val="20"/>
        </w:rPr>
        <w:t xml:space="preserve">KCS 5843241 notes that auto-sizing was designed for the default pod density (250 pods). Its internal notes state: *"For large nodes → 500 pods per node — automatic reservation is not allocating enough CPU."* When </w:t>
      </w:r>
      <w:r>
        <w:rPr>
          <w:rFonts w:ascii="Red Hat Mono" w:hAnsi="Red Hat Mono"/>
          <w:color w:val="CC0000"/>
          <w:sz w:val="18"/>
        </w:rPr>
        <w:t>maxPods</w:t>
      </w:r>
      <w:r>
        <w:rPr>
          <w:sz w:val="20"/>
        </w:rPr>
        <w:t xml:space="preserve"> is raised, kubelet's internal GC, status reporting, and pod lifecycle management consume proportionally more CPU.</w:t>
      </w:r>
    </w:p>
    <w:p>
      <w:pPr>
        <w:ind w:left="283"/>
      </w:pPr>
      <w:r>
        <w:rPr>
          <w:b/>
          <w:sz w:val="20"/>
        </w:rPr>
        <w:t>This affects both the normal-worker and tuned-worker pools.</w:t>
      </w:r>
      <w:r>
        <w:rPr>
          <w:sz w:val="20"/>
        </w:rPr>
        <w:t xml:space="preserve"> The normal-worker pool uses </w:t>
      </w:r>
      <w:r>
        <w:rPr>
          <w:rFonts w:ascii="Red Hat Mono" w:hAnsi="Red Hat Mono"/>
          <w:color w:val="CC0000"/>
          <w:sz w:val="18"/>
        </w:rPr>
        <w:t>autoSizingReserved: true</w:t>
      </w:r>
      <w:r>
        <w:rPr>
          <w:sz w:val="20"/>
        </w:rPr>
        <w:t xml:space="preserve"> with </w:t>
      </w:r>
      <w:r>
        <w:rPr>
          <w:rFonts w:ascii="Red Hat Mono" w:hAnsi="Red Hat Mono"/>
          <w:color w:val="CC0000"/>
          <w:sz w:val="18"/>
        </w:rPr>
        <w:t>maxPods: 500</w:t>
      </w:r>
      <w:r>
        <w:rPr>
          <w:sz w:val="20"/>
        </w:rPr>
        <w:t xml:space="preserve">, meaning it gets only 500m CPU reserved — the same value as a 4-core VM running 250 pods. It should either switch to manual sizing or have its </w:t>
      </w:r>
      <w:r>
        <w:rPr>
          <w:rFonts w:ascii="Red Hat Mono" w:hAnsi="Red Hat Mono"/>
          <w:color w:val="CC0000"/>
          <w:sz w:val="18"/>
        </w:rPr>
        <w:t>maxPods</w:t>
      </w:r>
      <w:r>
        <w:rPr>
          <w:sz w:val="20"/>
        </w:rPr>
        <w:t xml:space="preserve"> reduced.</w:t>
      </w:r>
    </w:p>
    <w:p>
      <w:pPr>
        <w:pStyle w:val="Heading2"/>
        <w:ind w:left="283"/>
      </w:pPr>
      <w:r>
        <w:t>When to go manual vs auto</w:t>
      </w:r>
    </w:p>
    <w:tbl>
      <w:tblPr>
        <w:tblStyle w:val="TableGrid"/>
        <w:tblW w:type="pct" w:w="5000"/>
        <w:jc w:val="center"/>
        <w:tblLook w:firstColumn="1" w:firstRow="1" w:lastColumn="0" w:lastRow="0" w:noHBand="0" w:noVBand="1" w:val="04A0"/>
      </w:tblPr>
      <w:tblGrid>
        <w:gridCol w:w="3024"/>
        <w:gridCol w:w="3024"/>
        <w:gridCol w:w="3024"/>
      </w:tblGrid>
      <w:tr>
        <w:trPr>
          <w:cantSplit w:val="true"/>
          <w:tblHeader w:val="true"/>
        </w:trPr>
        <w:tc>
          <w:tcPr>
            <w:tcW w:type="dxa" w:w="302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Situation</w:t>
            </w:r>
          </w:p>
        </w:tc>
        <w:tc>
          <w:tcPr>
            <w:tcW w:type="dxa" w:w="302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Use auto-sizing</w:t>
            </w:r>
          </w:p>
        </w:tc>
        <w:tc>
          <w:tcPr>
            <w:tcW w:type="dxa" w:w="302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Use manual</w:t>
            </w:r>
          </w:p>
        </w:tc>
      </w:tr>
      <w:tr>
        <w:trPr>
          <w:cantSplit w:val="true"/>
        </w:trPr>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Default pod density (≤250)</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r>
          </w:p>
        </w:tc>
      </w:tr>
      <w:tr>
        <w:trPr>
          <w:cantSplit w:val="true"/>
        </w:trPr>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High pod density (250-500)</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 — increase CPU to 4000m+</w:t>
            </w:r>
          </w:p>
        </w:tc>
      </w:tr>
      <w:tr>
        <w:trPr>
          <w:cantSplit w:val="true"/>
        </w:trPr>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Latency-sensitive workloads</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 — with PerformanceProfile</w:t>
            </w:r>
          </w:p>
        </w:tc>
      </w:tr>
      <w:tr>
        <w:trPr>
          <w:cantSplit w:val="true"/>
        </w:trPr>
        <w:tc>
          <w:tcPr>
            <w:tcW w:type="dxa" w:w="3024"/>
            <w:vAlign w:val="center"/>
            <w:tcMar>
              <w:top w:w="60" w:type="dxa"/>
              <w:bottom w:w="60" w:type="dxa"/>
              <w:left w:w="100" w:type="dxa"/>
              <w:right w:w="100" w:type="dxa"/>
            </w:tcMar>
            <w:shd w:fill="F5F5F5"/>
          </w:tcPr>
          <w:p>
            <w:pPr>
              <w:spacing w:before="60" w:after="60"/>
              <w:jc w:val="left"/>
            </w:pPr>
            <w:r/>
            <w:r>
              <w:rPr>
                <w:rFonts w:ascii="Red Hat Text" w:hAnsi="Red Hat Text"/>
                <w:sz w:val="16"/>
              </w:rPr>
              <w:t>Large bare-metal nodes (56+ cores) at high density</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 — auto CPU is too low</w:t>
            </w:r>
          </w:p>
        </w:tc>
      </w:tr>
      <w:tr>
        <w:trPr>
          <w:cantSplit w:val="true"/>
        </w:trPr>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Standard VM nodes</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r>
          </w:p>
        </w:tc>
      </w:tr>
    </w:tbl>
    <w:p>
      <w:pPr>
        <w:pStyle w:val="Heading2"/>
        <w:ind w:left="283"/>
      </w:pPr>
      <w:r>
        <w:t>Customer finding — tuned-worker systemReserved</w:t>
      </w:r>
    </w:p>
    <w:p>
      <w:pPr>
        <w:ind w:left="283"/>
      </w:pPr>
      <w:r>
        <w:rPr>
          <w:sz w:val="20"/>
        </w:rPr>
        <w:t xml:space="preserve">The tuned-worker has </w:t>
      </w:r>
      <w:r>
        <w:rPr>
          <w:rFonts w:ascii="Red Hat Mono" w:hAnsi="Red Hat Mono"/>
          <w:color w:val="CC0000"/>
          <w:sz w:val="18"/>
        </w:rPr>
        <w:t>systemReserved: cpu: 4000m, memory: 500Mi</w:t>
      </w:r>
      <w:r>
        <w:rPr>
          <w:sz w:val="20"/>
        </w:rPr>
        <w:t xml:space="preserve">. Red Hat engineering recommended </w:t>
      </w:r>
      <w:r>
        <w:rPr>
          <w:rFonts w:ascii="Red Hat Mono" w:hAnsi="Red Hat Mono"/>
          <w:color w:val="CC0000"/>
          <w:sz w:val="18"/>
        </w:rPr>
        <w:t>cpu: 4000m, memory: 10Gi</w:t>
      </w:r>
      <w:r>
        <w:rPr>
          <w:sz w:val="20"/>
        </w:rPr>
        <w:t xml:space="preserve"> (Case 03562048). The CPU value was adopted; the memory value is 20x below the recommendation and 45x below what auto-sizing would calculate. See Appendix A for the full gap analysis.</w:t>
      </w:r>
    </w:p>
    <w:p>
      <w:r>
        <w:br w:type="page"/>
      </w:r>
    </w:p>
    <w:p>
      <w:pPr>
        <w:pStyle w:val="Heading1"/>
      </w:pPr>
      <w:r>
        <w:t>§2 — Pod Density &amp; Scheduling</w:t>
      </w:r>
    </w:p>
    <w:p>
      <w:pPr>
        <w:ind w:left="283"/>
      </w:pPr>
      <w:r>
        <w:rPr>
          <w:b/>
          <w:sz w:val="20"/>
        </w:rPr>
        <w:t>KubeletConfig fields:</w:t>
      </w:r>
      <w:r>
        <w:rPr>
          <w:sz w:val="20"/>
        </w:rPr>
        <w:t xml:space="preserve"> </w:t>
      </w:r>
      <w:r>
        <w:rPr>
          <w:rFonts w:ascii="Red Hat Mono" w:hAnsi="Red Hat Mono"/>
          <w:color w:val="CC0000"/>
          <w:sz w:val="18"/>
        </w:rPr>
        <w:t>maxPods</w:t>
      </w:r>
      <w:r>
        <w:rPr>
          <w:sz w:val="20"/>
        </w:rPr>
        <w:t xml:space="preserve">, </w:t>
      </w:r>
      <w:r>
        <w:rPr>
          <w:rFonts w:ascii="Red Hat Mono" w:hAnsi="Red Hat Mono"/>
          <w:color w:val="CC0000"/>
          <w:sz w:val="18"/>
        </w:rPr>
        <w:t>podPidsLimit</w:t>
      </w:r>
      <w:r>
        <w:rPr>
          <w:sz w:val="20"/>
        </w:rPr>
        <w:t xml:space="preserve">, </w:t>
      </w:r>
      <w:r>
        <w:rPr>
          <w:rFonts w:ascii="Red Hat Mono" w:hAnsi="Red Hat Mono"/>
          <w:color w:val="CC0000"/>
          <w:sz w:val="18"/>
        </w:rPr>
        <w:t>kubeAPIQPS</w:t>
      </w:r>
      <w:r>
        <w:rPr>
          <w:sz w:val="20"/>
        </w:rPr>
        <w:t xml:space="preserve">, </w:t>
      </w:r>
      <w:r>
        <w:rPr>
          <w:rFonts w:ascii="Red Hat Mono" w:hAnsi="Red Hat Mono"/>
          <w:color w:val="CC0000"/>
          <w:sz w:val="18"/>
        </w:rPr>
        <w:t>kubeAPIBurst</w:t>
      </w:r>
    </w:p>
    <w:p>
      <w:pPr>
        <w:pStyle w:val="Heading2"/>
        <w:ind w:left="283"/>
      </w:pPr>
      <w:r>
        <w:t>maxPods</w:t>
      </w:r>
    </w:p>
    <w:p>
      <w:pPr>
        <w:ind w:left="283"/>
      </w:pPr>
      <w:r>
        <w:rPr>
          <w:b/>
          <w:sz w:val="20"/>
        </w:rPr>
        <w:t>Default:</w:t>
      </w:r>
      <w:r>
        <w:rPr>
          <w:sz w:val="20"/>
        </w:rPr>
        <w:t xml:space="preserve"> 250</w:t>
      </w:r>
    </w:p>
    <w:p>
      <w:pPr>
        <w:ind w:left="283"/>
      </w:pPr>
      <w:r>
        <w:rPr>
          <w:b/>
          <w:sz w:val="20"/>
        </w:rPr>
        <w:t>What it does:</w:t>
      </w:r>
      <w:r>
        <w:rPr>
          <w:sz w:val="20"/>
        </w:rPr>
        <w:t xml:space="preserve"> Maximum number of pods the kubelet will run on this node.</w:t>
      </w:r>
    </w:p>
    <w:tbl>
      <w:tblPr>
        <w:tblStyle w:val="TableGrid"/>
        <w:tblW w:type="pct" w:w="5000"/>
        <w:jc w:val="center"/>
        <w:tblLook w:firstColumn="1" w:firstRow="1" w:lastColumn="0" w:lastRow="0" w:noHBand="0" w:noVBand="1" w:val="04A0"/>
      </w:tblPr>
      <w:tblGrid>
        <w:gridCol w:w="3024"/>
        <w:gridCol w:w="3024"/>
        <w:gridCol w:w="3024"/>
      </w:tblGrid>
      <w:tr>
        <w:trPr>
          <w:cantSplit w:val="true"/>
          <w:tblHeader w:val="true"/>
        </w:trPr>
        <w:tc>
          <w:tcPr>
            <w:tcW w:type="dxa" w:w="302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Value</w:t>
            </w:r>
          </w:p>
        </w:tc>
        <w:tc>
          <w:tcPr>
            <w:tcW w:type="dxa" w:w="302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Typical use case</w:t>
            </w:r>
          </w:p>
        </w:tc>
        <w:tc>
          <w:tcPr>
            <w:tcW w:type="dxa" w:w="302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Considerations</w:t>
            </w:r>
          </w:p>
        </w:tc>
      </w:tr>
      <w:tr>
        <w:trPr>
          <w:cantSplit w:val="true"/>
        </w:trPr>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110</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Kubernetes default (upstream)</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Very conservative</w:t>
            </w:r>
          </w:p>
        </w:tc>
      </w:tr>
      <w:tr>
        <w:trPr>
          <w:cantSplit w:val="true"/>
        </w:trPr>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250</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OCP default</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Appropriate for most clusters</w:t>
            </w:r>
          </w:p>
        </w:tc>
      </w:tr>
      <w:tr>
        <w:trPr>
          <w:cantSplit w:val="true"/>
        </w:trPr>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500</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High-density bare-metal</w:t>
            </w:r>
          </w:p>
        </w:tc>
        <w:tc>
          <w:tcPr>
            <w:tcW w:type="dxa" w:w="3024"/>
            <w:vAlign w:val="center"/>
            <w:tcMar>
              <w:top w:w="60" w:type="dxa"/>
              <w:bottom w:w="60" w:type="dxa"/>
              <w:left w:w="100" w:type="dxa"/>
              <w:right w:w="100" w:type="dxa"/>
            </w:tcMar>
          </w:tcPr>
          <w:p>
            <w:pPr>
              <w:spacing w:before="60" w:after="60"/>
              <w:jc w:val="left"/>
            </w:pPr>
            <w:r/>
            <w:r>
              <w:rPr>
                <w:rFonts w:ascii="Red Hat Text" w:hAnsi="Red Hat Text"/>
                <w:sz w:val="16"/>
              </w:rPr>
              <w:t>Requires: hostPrefix /23 or /22, increased systemReserved, increased kubeAPIQPS/Burst</w:t>
            </w:r>
          </w:p>
        </w:tc>
      </w:tr>
    </w:tbl>
    <w:p>
      <w:pPr>
        <w:ind w:left="283"/>
      </w:pPr>
      <w:r>
        <w:rPr>
          <w:b/>
          <w:sz w:val="20"/>
        </w:rPr>
        <w:t>Relationship to hostPrefix (clusterNetwork CIDR):</w:t>
      </w:r>
    </w:p>
    <w:tbl>
      <w:tblPr>
        <w:tblStyle w:val="TableGrid"/>
        <w:tblW w:type="pct" w:w="5000"/>
        <w:jc w:val="center"/>
        <w:tblLook w:firstColumn="1" w:firstRow="1" w:lastColumn="0" w:lastRow="0" w:noHBand="0" w:noVBand="1" w:val="04A0"/>
      </w:tblPr>
      <w:tblGrid>
        <w:gridCol w:w="3024"/>
        <w:gridCol w:w="3024"/>
        <w:gridCol w:w="3024"/>
      </w:tblGrid>
      <w:tr>
        <w:trPr>
          <w:cantSplit w:val="true"/>
          <w:tblHeader w:val="true"/>
        </w:trPr>
        <w:tc>
          <w:tcPr>
            <w:tcW w:type="dxa" w:w="302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hostPrefix</w:t>
            </w:r>
          </w:p>
        </w:tc>
        <w:tc>
          <w:tcPr>
            <w:tcW w:type="dxa" w:w="302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Max pod IPs per node</w:t>
            </w:r>
          </w:p>
        </w:tc>
        <w:tc>
          <w:tcPr>
            <w:tcW w:type="dxa" w:w="302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Safe maxPods</w:t>
            </w:r>
          </w:p>
        </w:tc>
      </w:tr>
      <w:tr>
        <w:trPr>
          <w:cantSplit w:val="true"/>
        </w:trPr>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/24</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254</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250</w:t>
            </w:r>
          </w:p>
        </w:tc>
      </w:tr>
      <w:tr>
        <w:trPr>
          <w:cantSplit w:val="true"/>
        </w:trPr>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/23</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510</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500</w:t>
            </w:r>
          </w:p>
        </w:tc>
      </w:tr>
      <w:tr>
        <w:trPr>
          <w:cantSplit w:val="true"/>
        </w:trPr>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/22</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1022</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1000</w:t>
            </w:r>
          </w:p>
        </w:tc>
      </w:tr>
    </w:tbl>
    <w:p>
      <w:pPr>
        <w:ind w:left="283"/>
      </w:pPr>
      <w:r>
        <w:rPr>
          <w:rFonts w:ascii="Red Hat Mono" w:hAnsi="Red Hat Mono"/>
          <w:color w:val="CC0000"/>
          <w:sz w:val="18"/>
        </w:rPr>
        <w:t>maxPods</w:t>
      </w:r>
      <w:r>
        <w:rPr>
          <w:sz w:val="20"/>
        </w:rPr>
        <w:t xml:space="preserve"> must not exceed the IP address space available per node. Changing </w:t>
      </w:r>
      <w:r>
        <w:rPr>
          <w:rFonts w:ascii="Red Hat Mono" w:hAnsi="Red Hat Mono"/>
          <w:color w:val="CC0000"/>
          <w:sz w:val="18"/>
        </w:rPr>
        <w:t>hostPrefix</w:t>
      </w:r>
      <w:r>
        <w:rPr>
          <w:sz w:val="20"/>
        </w:rPr>
        <w:t xml:space="preserve"> after installation is not supported without cluster reinstall.</w:t>
      </w:r>
    </w:p>
    <w:p>
      <w:pPr>
        <w:ind w:left="283"/>
      </w:pPr>
      <w:r>
        <w:rPr>
          <w:b/>
          <w:sz w:val="20"/>
        </w:rPr>
        <w:t>Per-archetype:</w:t>
      </w:r>
    </w:p>
    <w:tbl>
      <w:tblPr>
        <w:tblStyle w:val="TableGrid"/>
        <w:tblW w:type="pct" w:w="5000"/>
        <w:jc w:val="center"/>
        <w:tblLook w:firstColumn="1" w:firstRow="1" w:lastColumn="0" w:lastRow="0" w:noHBand="0" w:noVBand="1" w:val="04A0"/>
      </w:tblPr>
      <w:tblGrid>
        <w:gridCol w:w="4536"/>
        <w:gridCol w:w="4536"/>
      </w:tblGrid>
      <w:tr>
        <w:trPr>
          <w:cantSplit w:val="true"/>
          <w:tblHeader w:val="true"/>
        </w:trPr>
        <w:tc>
          <w:tcPr>
            <w:tcW w:type="dxa" w:w="4536"/>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Archetype</w:t>
            </w:r>
          </w:p>
        </w:tc>
        <w:tc>
          <w:tcPr>
            <w:tcW w:type="dxa" w:w="4536"/>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Recommendation</w:t>
            </w:r>
          </w:p>
        </w:tc>
      </w:tr>
      <w:tr>
        <w:trPr>
          <w:cantSplit w:val="true"/>
        </w:trPr>
        <w:tc>
          <w:tcPr>
            <w:tcW w:type="dxa" w:w="4536"/>
            <w:vAlign w:val="center"/>
            <w:tcMar>
              <w:top w:w="60" w:type="dxa"/>
              <w:bottom w:w="60" w:type="dxa"/>
              <w:left w:w="100" w:type="dxa"/>
              <w:right w:w="100" w:type="dxa"/>
            </w:tcMar>
          </w:tcPr>
          <w:p>
            <w:pPr>
              <w:spacing w:before="60" w:after="60"/>
              <w:jc w:val="center"/>
            </w:pPr>
            <w:r/>
            <w:r>
              <w:rPr>
                <w:rFonts w:ascii="Red Hat Text" w:hAnsi="Red Hat Text"/>
                <w:sz w:val="16"/>
              </w:rPr>
              <w:t>Master VM</w:t>
            </w:r>
          </w:p>
        </w:tc>
        <w:tc>
          <w:tcPr>
            <w:tcW w:type="dxa" w:w="4536"/>
            <w:vAlign w:val="center"/>
            <w:tcMar>
              <w:top w:w="60" w:type="dxa"/>
              <w:bottom w:w="60" w:type="dxa"/>
              <w:left w:w="100" w:type="dxa"/>
              <w:right w:w="100" w:type="dxa"/>
            </w:tcMar>
          </w:tcPr>
          <w:p>
            <w:pPr>
              <w:spacing w:before="60" w:after="60"/>
              <w:jc w:val="left"/>
            </w:pPr>
            <w:r/>
            <w:r>
              <w:rPr>
                <w:rFonts w:ascii="Red Hat Text" w:hAnsi="Red Hat Text"/>
                <w:sz w:val="16"/>
              </w:rPr>
              <w:t>250 (default) — masters run control-plane pods, not workloads</w:t>
            </w:r>
          </w:p>
        </w:tc>
      </w:tr>
      <w:tr>
        <w:trPr>
          <w:cantSplit w:val="true"/>
        </w:trPr>
        <w:tc>
          <w:tcPr>
            <w:tcW w:type="dxa" w:w="4536"/>
            <w:vAlign w:val="center"/>
            <w:tcMar>
              <w:top w:w="60" w:type="dxa"/>
              <w:bottom w:w="60" w:type="dxa"/>
              <w:left w:w="100" w:type="dxa"/>
              <w:right w:w="100" w:type="dxa"/>
            </w:tcMar>
            <w:shd w:fill="F5F5F5"/>
          </w:tcPr>
          <w:p>
            <w:pPr>
              <w:spacing w:before="60" w:after="60"/>
              <w:jc w:val="center"/>
            </w:pPr>
            <w:r/>
            <w:r>
              <w:rPr>
                <w:rFonts w:ascii="Red Hat Text" w:hAnsi="Red Hat Text"/>
                <w:sz w:val="16"/>
              </w:rPr>
              <w:t>Infra VM</w:t>
            </w:r>
          </w:p>
        </w:tc>
        <w:tc>
          <w:tcPr>
            <w:tcW w:type="dxa" w:w="4536"/>
            <w:vAlign w:val="center"/>
            <w:tcMar>
              <w:top w:w="60" w:type="dxa"/>
              <w:bottom w:w="60" w:type="dxa"/>
              <w:left w:w="100" w:type="dxa"/>
              <w:right w:w="100" w:type="dxa"/>
            </w:tcMar>
            <w:shd w:fill="F5F5F5"/>
          </w:tcPr>
          <w:p>
            <w:pPr>
              <w:spacing w:before="60" w:after="60"/>
              <w:jc w:val="left"/>
            </w:pPr>
            <w:r/>
            <w:r>
              <w:rPr>
                <w:rFonts w:ascii="Red Hat Text" w:hAnsi="Red Hat Text"/>
                <w:sz w:val="16"/>
              </w:rPr>
              <w:t>100-250 — infra runs routers/monitoring, fewer but heavier pods</w:t>
            </w:r>
          </w:p>
        </w:tc>
      </w:tr>
      <w:tr>
        <w:trPr>
          <w:cantSplit w:val="true"/>
        </w:trPr>
        <w:tc>
          <w:tcPr>
            <w:tcW w:type="dxa" w:w="4536"/>
            <w:vAlign w:val="center"/>
            <w:tcMar>
              <w:top w:w="60" w:type="dxa"/>
              <w:bottom w:w="60" w:type="dxa"/>
              <w:left w:w="100" w:type="dxa"/>
              <w:right w:w="100" w:type="dxa"/>
            </w:tcMar>
          </w:tcPr>
          <w:p>
            <w:pPr>
              <w:spacing w:before="60" w:after="60"/>
              <w:jc w:val="center"/>
            </w:pPr>
            <w:r/>
            <w:r>
              <w:rPr>
                <w:rFonts w:ascii="Red Hat Text" w:hAnsi="Red Hat Text"/>
                <w:sz w:val="16"/>
              </w:rPr>
              <w:t>Worker BM</w:t>
            </w:r>
          </w:p>
        </w:tc>
        <w:tc>
          <w:tcPr>
            <w:tcW w:type="dxa" w:w="4536"/>
            <w:vAlign w:val="center"/>
            <w:tcMar>
              <w:top w:w="60" w:type="dxa"/>
              <w:bottom w:w="60" w:type="dxa"/>
              <w:left w:w="100" w:type="dxa"/>
              <w:right w:w="100" w:type="dxa"/>
            </w:tcMar>
          </w:tcPr>
          <w:p>
            <w:pPr>
              <w:spacing w:before="60" w:after="60"/>
              <w:jc w:val="left"/>
            </w:pPr>
            <w:r/>
            <w:r>
              <w:rPr>
                <w:rFonts w:ascii="Red Hat Text" w:hAnsi="Red Hat Text"/>
                <w:sz w:val="16"/>
              </w:rPr>
              <w:t>250-500 — if raising above 250, also raise kubeAPIQPS/Burst and switch to manual systemReserved</w:t>
            </w:r>
          </w:p>
        </w:tc>
      </w:tr>
    </w:tbl>
    <w:p>
      <w:pPr>
        <w:pStyle w:val="Heading2"/>
        <w:ind w:left="283"/>
      </w:pPr>
      <w:r>
        <w:t>podPidsLimit</w:t>
      </w:r>
    </w:p>
    <w:p>
      <w:pPr>
        <w:ind w:left="283"/>
      </w:pPr>
      <w:r>
        <w:rPr>
          <w:b/>
          <w:sz w:val="20"/>
        </w:rPr>
        <w:t>Default:</w:t>
      </w:r>
      <w:r>
        <w:rPr>
          <w:sz w:val="20"/>
        </w:rPr>
        <w:t xml:space="preserve"> 4096 (since OCP 4.11; was 1024 before 4.11)</w:t>
      </w:r>
    </w:p>
    <w:p>
      <w:pPr>
        <w:ind w:left="283"/>
      </w:pPr>
      <w:r>
        <w:rPr>
          <w:b/>
          <w:sz w:val="20"/>
        </w:rPr>
        <w:t>What it does:</w:t>
      </w:r>
      <w:r>
        <w:rPr>
          <w:sz w:val="20"/>
        </w:rPr>
        <w:t xml:space="preserve"> Maximum number of PIDs (processes/threads) a single pod can spawn. Enforced via cgroup </w:t>
      </w:r>
      <w:r>
        <w:rPr>
          <w:rFonts w:ascii="Red Hat Mono" w:hAnsi="Red Hat Mono"/>
          <w:color w:val="CC0000"/>
          <w:sz w:val="18"/>
        </w:rPr>
        <w:t>pids.max</w:t>
      </w:r>
      <w:r>
        <w:rPr>
          <w:sz w:val="20"/>
        </w:rPr>
        <w:t>.</w:t>
      </w:r>
    </w:p>
    <w:p>
      <w:pPr>
        <w:ind w:left="283"/>
      </w:pPr>
      <w:r>
        <w:rPr>
          <w:b/>
          <w:sz w:val="20"/>
        </w:rPr>
        <w:t>When to raise:</w:t>
      </w:r>
      <w:r>
        <w:rPr>
          <w:sz w:val="20"/>
        </w:rPr>
        <w:t xml:space="preserve"> Almost never. 4096 is generous for most workloads.</w:t>
      </w:r>
    </w:p>
    <w:p>
      <w:pPr>
        <w:ind w:left="283"/>
      </w:pPr>
      <w:r>
        <w:rPr>
          <w:b/>
          <w:sz w:val="20"/>
        </w:rPr>
        <w:t>When to lower:</w:t>
      </w:r>
      <w:r>
        <w:rPr>
          <w:sz w:val="20"/>
        </w:rPr>
        <w:t xml:space="preserve"> Avoid. See below.</w:t>
      </w:r>
    </w:p>
    <w:tbl>
      <w:tblPr>
        <w:tblStyle w:val="TableGrid"/>
        <w:tblW w:type="pct" w:w="5000"/>
        <w:jc w:val="center"/>
        <w:tblLook w:firstColumn="1" w:firstRow="1" w:lastColumn="0" w:lastRow="0" w:noHBand="0" w:noVBand="1" w:val="04A0"/>
      </w:tblPr>
      <w:tblGrid>
        <w:gridCol w:w="4536"/>
        <w:gridCol w:w="4536"/>
      </w:tblGrid>
      <w:tr>
        <w:trPr>
          <w:cantSplit w:val="true"/>
          <w:tblHeader w:val="true"/>
        </w:trPr>
        <w:tc>
          <w:tcPr>
            <w:tcW w:type="dxa" w:w="4536"/>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Value</w:t>
            </w:r>
          </w:p>
        </w:tc>
        <w:tc>
          <w:tcPr>
            <w:tcW w:type="dxa" w:w="4536"/>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Context</w:t>
            </w:r>
          </w:p>
        </w:tc>
      </w:tr>
      <w:tr>
        <w:trPr>
          <w:cantSplit w:val="true"/>
        </w:trPr>
        <w:tc>
          <w:tcPr>
            <w:tcW w:type="dxa" w:w="4536"/>
            <w:vAlign w:val="center"/>
            <w:tcMar>
              <w:top w:w="60" w:type="dxa"/>
              <w:bottom w:w="60" w:type="dxa"/>
              <w:left w:w="100" w:type="dxa"/>
              <w:right w:w="100" w:type="dxa"/>
            </w:tcMar>
          </w:tcPr>
          <w:p>
            <w:pPr>
              <w:spacing w:before="60" w:after="60"/>
              <w:jc w:val="center"/>
            </w:pPr>
            <w:r/>
            <w:r>
              <w:rPr>
                <w:rFonts w:ascii="Red Hat Text" w:hAnsi="Red Hat Text"/>
                <w:sz w:val="16"/>
              </w:rPr>
              <w:t>1024</w:t>
            </w:r>
          </w:p>
        </w:tc>
        <w:tc>
          <w:tcPr>
            <w:tcW w:type="dxa" w:w="4536"/>
            <w:vAlign w:val="center"/>
            <w:tcMar>
              <w:top w:w="60" w:type="dxa"/>
              <w:bottom w:w="60" w:type="dxa"/>
              <w:left w:w="100" w:type="dxa"/>
              <w:right w:w="100" w:type="dxa"/>
            </w:tcMar>
          </w:tcPr>
          <w:p>
            <w:pPr>
              <w:spacing w:before="60" w:after="60"/>
              <w:jc w:val="left"/>
            </w:pPr>
            <w:r/>
            <w:r>
              <w:rPr>
                <w:rFonts w:ascii="Red Hat Text" w:hAnsi="Red Hat Text"/>
                <w:sz w:val="16"/>
              </w:rPr>
              <w:t>Pre-OCP-4.11 default. Insufficient for Go runtime thread accumulation, Java thread pools, Node.js worker threads</w:t>
            </w:r>
          </w:p>
        </w:tc>
      </w:tr>
      <w:tr>
        <w:trPr>
          <w:cantSplit w:val="true"/>
        </w:trPr>
        <w:tc>
          <w:tcPr>
            <w:tcW w:type="dxa" w:w="4536"/>
            <w:vAlign w:val="center"/>
            <w:tcMar>
              <w:top w:w="60" w:type="dxa"/>
              <w:bottom w:w="60" w:type="dxa"/>
              <w:left w:w="100" w:type="dxa"/>
              <w:right w:w="100" w:type="dxa"/>
            </w:tcMar>
            <w:shd w:fill="F5F5F5"/>
          </w:tcPr>
          <w:p>
            <w:pPr>
              <w:spacing w:before="60" w:after="60"/>
              <w:jc w:val="center"/>
            </w:pPr>
            <w:r/>
            <w:r>
              <w:rPr>
                <w:rFonts w:ascii="Red Hat Text" w:hAnsi="Red Hat Text"/>
                <w:sz w:val="16"/>
              </w:rPr>
              <w:t>4096</w:t>
            </w:r>
          </w:p>
        </w:tc>
        <w:tc>
          <w:tcPr>
            <w:tcW w:type="dxa" w:w="4536"/>
            <w:vAlign w:val="center"/>
            <w:tcMar>
              <w:top w:w="60" w:type="dxa"/>
              <w:bottom w:w="60" w:type="dxa"/>
              <w:left w:w="100" w:type="dxa"/>
              <w:right w:w="100" w:type="dxa"/>
            </w:tcMar>
            <w:shd w:fill="F5F5F5"/>
          </w:tcPr>
          <w:p>
            <w:pPr>
              <w:spacing w:before="60" w:after="60"/>
              <w:jc w:val="left"/>
            </w:pPr>
            <w:r/>
            <w:r>
              <w:rPr>
                <w:rFonts w:ascii="Red Hat Text" w:hAnsi="Red Hat Text"/>
                <w:sz w:val="16"/>
              </w:rPr>
              <w:t>Current OCP 4.11+ default. Appropriate for most workloads</w:t>
            </w:r>
          </w:p>
        </w:tc>
      </w:tr>
      <w:tr>
        <w:trPr>
          <w:cantSplit w:val="true"/>
        </w:trPr>
        <w:tc>
          <w:tcPr>
            <w:tcW w:type="dxa" w:w="4536"/>
            <w:vAlign w:val="center"/>
            <w:tcMar>
              <w:top w:w="60" w:type="dxa"/>
              <w:bottom w:w="60" w:type="dxa"/>
              <w:left w:w="100" w:type="dxa"/>
              <w:right w:w="100" w:type="dxa"/>
            </w:tcMar>
          </w:tcPr>
          <w:p>
            <w:pPr>
              <w:spacing w:before="60" w:after="60"/>
              <w:jc w:val="center"/>
            </w:pPr>
            <w:r/>
            <w:r>
              <w:rPr>
                <w:rFonts w:ascii="Red Hat Text" w:hAnsi="Red Hat Text"/>
                <w:sz w:val="16"/>
              </w:rPr>
              <w:t>8192+</w:t>
            </w:r>
          </w:p>
        </w:tc>
        <w:tc>
          <w:tcPr>
            <w:tcW w:type="dxa" w:w="4536"/>
            <w:vAlign w:val="center"/>
            <w:tcMar>
              <w:top w:w="60" w:type="dxa"/>
              <w:bottom w:w="60" w:type="dxa"/>
              <w:left w:w="100" w:type="dxa"/>
              <w:right w:w="100" w:type="dxa"/>
            </w:tcMar>
          </w:tcPr>
          <w:p>
            <w:pPr>
              <w:spacing w:before="60" w:after="60"/>
              <w:jc w:val="left"/>
            </w:pPr>
            <w:r/>
            <w:r>
              <w:rPr>
                <w:rFonts w:ascii="Red Hat Text" w:hAnsi="Red Hat Text"/>
                <w:sz w:val="16"/>
              </w:rPr>
              <w:t>Only for workloads with extreme thread counts (HPC, large JVMs)</w:t>
            </w:r>
          </w:p>
        </w:tc>
      </w:tr>
    </w:tbl>
    <w:p>
      <w:pPr>
        <w:ind w:left="283"/>
      </w:pPr>
      <w:r>
        <w:rPr>
          <w:b/>
          <w:sz w:val="20"/>
        </w:rPr>
        <w:t>CRITICAL — Customer finding:</w:t>
      </w:r>
      <w:r>
        <w:rPr>
          <w:sz w:val="20"/>
        </w:rPr>
        <w:t xml:space="preserve"> The infra-kubeletconfig and tuned-worker-kubeletconfig have </w:t>
      </w:r>
      <w:r>
        <w:rPr>
          <w:rFonts w:ascii="Red Hat Mono" w:hAnsi="Red Hat Mono"/>
          <w:color w:val="CC0000"/>
          <w:sz w:val="18"/>
        </w:rPr>
        <w:t>podPidsLimit: 1024</w:t>
      </w:r>
      <w:r>
        <w:rPr>
          <w:sz w:val="20"/>
        </w:rPr>
        <w:t>. This was deliberately set during the July 2023 CRI-O panic crisis (Case 03548427) as an emergency measure against 10,000+ zombie processes. The internal update on July 5 confirmed: *"CU tried the crio wipe and reduced the pid limit to 1024 and still faced the issue with the nodes."* The setting did not fix the problem — the actual fix was the CRI-O bugfix in OCP 4.12.30. The value was never reverted.</w:t>
      </w:r>
    </w:p>
    <w:p>
      <w:pPr>
        <w:ind w:left="283"/>
      </w:pPr>
      <w:r>
        <w:rPr>
          <w:sz w:val="20"/>
        </w:rPr>
        <w:t xml:space="preserve">In June 2026, this value directly caused a Multus thread exhaustion outage (Case 04472910, OCP 4.16). The Go runtime accumulated threads during OVS/OVN stalls (60→75→82→1024) and hit </w:t>
      </w:r>
      <w:r>
        <w:rPr>
          <w:rFonts w:ascii="Red Hat Mono" w:hAnsi="Red Hat Mono"/>
          <w:color w:val="CC0000"/>
          <w:sz w:val="18"/>
        </w:rPr>
        <w:t>pids.max=1024</w:t>
      </w:r>
      <w:r>
        <w:rPr>
          <w:sz w:val="20"/>
        </w:rPr>
        <w:t>, causing cluster-wide pod networking failure. Root cause: Go runtime never releases idle OS threads (</w:t>
      </w:r>
      <w:r>
        <w:rPr>
          <w:rFonts w:ascii="Red Hat Mono" w:hAnsi="Red Hat Mono"/>
          <w:color w:val="CC0000"/>
          <w:sz w:val="18"/>
        </w:rPr>
        <w:t>golang/go#14592</w:t>
      </w:r>
      <w:r>
        <w:rPr>
          <w:sz w:val="20"/>
        </w:rPr>
        <w:t>).</w:t>
      </w:r>
    </w:p>
    <w:p>
      <w:pPr>
        <w:ind w:left="283"/>
      </w:pPr>
      <w:r>
        <w:rPr>
          <w:sz w:val="20"/>
        </w:rPr>
        <w:t xml:space="preserve">Note that </w:t>
      </w:r>
      <w:r>
        <w:rPr>
          <w:rFonts w:ascii="Red Hat Mono" w:hAnsi="Red Hat Mono"/>
          <w:color w:val="CC0000"/>
          <w:sz w:val="18"/>
        </w:rPr>
        <w:t>podPidsLimit</w:t>
      </w:r>
      <w:r>
        <w:rPr>
          <w:sz w:val="20"/>
        </w:rPr>
        <w:t xml:space="preserve"> set explicitly in a KubeletConfig CR persists through OCP upgrades — the new default of 4096 only applies to clusters that never set the value explicitly. This is not an upgrade bug; it is how KubeletConfig CRs work. The lesson is that </w:t>
      </w:r>
      <w:r>
        <w:rPr>
          <w:b/>
          <w:sz w:val="20"/>
        </w:rPr>
        <w:t>emergency configuration changes need a revert ticket</w:t>
      </w:r>
      <w:r>
        <w:rPr>
          <w:sz w:val="20"/>
        </w:rPr>
        <w:t xml:space="preserve"> once the root cause is resolved.</w:t>
      </w:r>
    </w:p>
    <w:p>
      <w:pPr>
        <w:pStyle w:val="Heading2"/>
        <w:ind w:left="283"/>
      </w:pPr>
      <w:r>
        <w:t>kubeAPIQPS / kubeAPIBurst</w:t>
      </w:r>
    </w:p>
    <w:p>
      <w:pPr>
        <w:ind w:left="283"/>
      </w:pPr>
      <w:r>
        <w:rPr>
          <w:b/>
          <w:sz w:val="20"/>
        </w:rPr>
        <w:t>Defaults:</w:t>
      </w:r>
      <w:r>
        <w:rPr>
          <w:sz w:val="20"/>
        </w:rPr>
        <w:t xml:space="preserve"> QPS=50, Burst=100</w:t>
      </w:r>
    </w:p>
    <w:p>
      <w:pPr>
        <w:ind w:left="283"/>
      </w:pPr>
      <w:r>
        <w:rPr>
          <w:b/>
          <w:sz w:val="20"/>
        </w:rPr>
        <w:t>What they do:</w:t>
      </w:r>
      <w:r>
        <w:rPr>
          <w:sz w:val="20"/>
        </w:rPr>
        <w:t xml:space="preserve"> Client-side rate limit for the kubelet's requests to the API server. QPS is the sustained rate; Burst is the peak. These prevent a single kubelet from flooding the API server.</w:t>
      </w:r>
    </w:p>
    <w:p>
      <w:pPr>
        <w:ind w:left="283"/>
      </w:pPr>
      <w:r>
        <w:rPr>
          <w:b/>
          <w:sz w:val="20"/>
        </w:rPr>
        <w:t>When to raise:</w:t>
      </w:r>
      <w:r>
        <w:rPr>
          <w:sz w:val="20"/>
        </w:rPr>
        <w:t xml:space="preserve"> When </w:t>
      </w:r>
      <w:r>
        <w:rPr>
          <w:rFonts w:ascii="Red Hat Mono" w:hAnsi="Red Hat Mono"/>
          <w:color w:val="CC0000"/>
          <w:sz w:val="18"/>
        </w:rPr>
        <w:t>maxPods</w:t>
      </w:r>
      <w:r>
        <w:rPr>
          <w:sz w:val="20"/>
        </w:rPr>
        <w:t xml:space="preserve"> &gt; 250 or when nodes have many watches/mounts.</w:t>
      </w:r>
    </w:p>
    <w:tbl>
      <w:tblPr>
        <w:tblStyle w:val="TableGrid"/>
        <w:tblW w:type="pct" w:w="5000"/>
        <w:jc w:val="center"/>
        <w:tblLook w:firstColumn="1" w:firstRow="1" w:lastColumn="0" w:lastRow="0" w:noHBand="0" w:noVBand="1" w:val="04A0"/>
      </w:tblPr>
      <w:tblGrid>
        <w:gridCol w:w="3024"/>
        <w:gridCol w:w="3024"/>
        <w:gridCol w:w="3024"/>
      </w:tblGrid>
      <w:tr>
        <w:trPr>
          <w:cantSplit w:val="true"/>
          <w:tblHeader w:val="true"/>
        </w:trPr>
        <w:tc>
          <w:tcPr>
            <w:tcW w:type="dxa" w:w="302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maxPods</w:t>
            </w:r>
          </w:p>
        </w:tc>
        <w:tc>
          <w:tcPr>
            <w:tcW w:type="dxa" w:w="302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Recommended QPS</w:t>
            </w:r>
          </w:p>
        </w:tc>
        <w:tc>
          <w:tcPr>
            <w:tcW w:type="dxa" w:w="302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Recommended Burst</w:t>
            </w:r>
          </w:p>
        </w:tc>
      </w:tr>
      <w:tr>
        <w:trPr>
          <w:cantSplit w:val="true"/>
        </w:trPr>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≤250</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50 (default)</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100 (default)</w:t>
            </w:r>
          </w:p>
        </w:tc>
      </w:tr>
      <w:tr>
        <w:trPr>
          <w:cantSplit w:val="true"/>
        </w:trPr>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250-500</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100</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200</w:t>
            </w:r>
          </w:p>
        </w:tc>
      </w:tr>
      <w:tr>
        <w:trPr>
          <w:cantSplit w:val="true"/>
        </w:trPr>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500+</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150-200</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300-400</w:t>
            </w:r>
          </w:p>
        </w:tc>
      </w:tr>
    </w:tbl>
    <w:p>
      <w:pPr>
        <w:ind w:left="283"/>
      </w:pPr>
      <w:r>
        <w:rPr>
          <w:b/>
          <w:sz w:val="20"/>
        </w:rPr>
        <w:t>How to detect client-side throttling:</w:t>
      </w:r>
      <w:r>
        <w:rPr>
          <w:sz w:val="20"/>
        </w:rPr>
        <w:t xml:space="preserve"> Look for </w:t>
      </w:r>
      <w:r>
        <w:rPr>
          <w:rFonts w:ascii="Red Hat Mono" w:hAnsi="Red Hat Mono"/>
          <w:color w:val="CC0000"/>
          <w:sz w:val="18"/>
        </w:rPr>
        <w:t>"Waited for ... due to client-side throttling"</w:t>
      </w:r>
      <w:r>
        <w:rPr>
          <w:sz w:val="20"/>
        </w:rPr>
        <w:t xml:space="preserve"> messages in kubelet logs, or monitor </w:t>
      </w:r>
      <w:r>
        <w:rPr>
          <w:rFonts w:ascii="Red Hat Mono" w:hAnsi="Red Hat Mono"/>
          <w:color w:val="CC0000"/>
          <w:sz w:val="18"/>
        </w:rPr>
        <w:t>rest_client_rate_limiter_duration_seconds</w:t>
      </w:r>
      <w:r>
        <w:rPr>
          <w:sz w:val="20"/>
        </w:rPr>
        <w:t xml:space="preserve"> in Prometheus. Do </w:t>
      </w:r>
      <w:r>
        <w:rPr>
          <w:b/>
          <w:sz w:val="20"/>
        </w:rPr>
        <w:t>not</w:t>
      </w:r>
      <w:r>
        <w:rPr>
          <w:sz w:val="20"/>
        </w:rPr>
        <w:t xml:space="preserve"> rely on HTTP 429 responses — those indicate API server-side throttling, and raising the kubelet's client-side QPS would make that problem *worse*, not better.</w:t>
      </w:r>
    </w:p>
    <w:p>
      <w:pPr>
        <w:ind w:left="283"/>
      </w:pPr>
      <w:r>
        <w:rPr>
          <w:b/>
          <w:sz w:val="20"/>
        </w:rPr>
        <w:t>Customer finding — normal-worker pool:</w:t>
      </w:r>
      <w:r>
        <w:rPr>
          <w:sz w:val="20"/>
        </w:rPr>
        <w:t xml:space="preserve"> The normal-worker pool runs </w:t>
      </w:r>
      <w:r>
        <w:rPr>
          <w:rFonts w:ascii="Red Hat Mono" w:hAnsi="Red Hat Mono"/>
          <w:color w:val="CC0000"/>
          <w:sz w:val="18"/>
        </w:rPr>
        <w:t>maxPods: 500</w:t>
      </w:r>
      <w:r>
        <w:rPr>
          <w:sz w:val="20"/>
        </w:rPr>
        <w:t xml:space="preserve"> with the default </w:t>
      </w:r>
      <w:r>
        <w:rPr>
          <w:rFonts w:ascii="Red Hat Mono" w:hAnsi="Red Hat Mono"/>
          <w:color w:val="CC0000"/>
          <w:sz w:val="18"/>
        </w:rPr>
        <w:t>kubeAPIQPS: 50</w:t>
      </w:r>
      <w:r>
        <w:rPr>
          <w:sz w:val="20"/>
        </w:rPr>
        <w:t xml:space="preserve"> and </w:t>
      </w:r>
      <w:r>
        <w:rPr>
          <w:rFonts w:ascii="Red Hat Mono" w:hAnsi="Red Hat Mono"/>
          <w:color w:val="CC0000"/>
          <w:sz w:val="18"/>
        </w:rPr>
        <w:t>kubeAPIBurst: 100</w:t>
      </w:r>
      <w:r>
        <w:rPr>
          <w:sz w:val="20"/>
        </w:rPr>
        <w:t>. Per the table above, this should be raised to QPS=100, Burst=200.</w:t>
      </w:r>
    </w:p>
    <w:p>
      <w:r>
        <w:br w:type="page"/>
      </w:r>
    </w:p>
    <w:p>
      <w:pPr>
        <w:pStyle w:val="Heading1"/>
      </w:pPr>
      <w:r>
        <w:t>§3 — Eviction Management</w:t>
      </w:r>
    </w:p>
    <w:p>
      <w:pPr>
        <w:ind w:left="283"/>
      </w:pPr>
      <w:r>
        <w:rPr>
          <w:b/>
          <w:sz w:val="20"/>
        </w:rPr>
        <w:t>KubeletConfig fields:</w:t>
      </w:r>
      <w:r>
        <w:rPr>
          <w:sz w:val="20"/>
        </w:rPr>
        <w:t xml:space="preserve"> </w:t>
      </w:r>
      <w:r>
        <w:rPr>
          <w:rFonts w:ascii="Red Hat Mono" w:hAnsi="Red Hat Mono"/>
          <w:color w:val="CC0000"/>
          <w:sz w:val="18"/>
        </w:rPr>
        <w:t>evictionHard</w:t>
      </w:r>
      <w:r>
        <w:rPr>
          <w:sz w:val="20"/>
        </w:rPr>
        <w:t xml:space="preserve">, </w:t>
      </w:r>
      <w:r>
        <w:rPr>
          <w:rFonts w:ascii="Red Hat Mono" w:hAnsi="Red Hat Mono"/>
          <w:color w:val="CC0000"/>
          <w:sz w:val="18"/>
        </w:rPr>
        <w:t>evictionSoft</w:t>
      </w:r>
      <w:r>
        <w:rPr>
          <w:sz w:val="20"/>
        </w:rPr>
        <w:t xml:space="preserve">, </w:t>
      </w:r>
      <w:r>
        <w:rPr>
          <w:rFonts w:ascii="Red Hat Mono" w:hAnsi="Red Hat Mono"/>
          <w:color w:val="CC0000"/>
          <w:sz w:val="18"/>
        </w:rPr>
        <w:t>evictionSoftGracePeriod</w:t>
      </w:r>
      <w:r>
        <w:rPr>
          <w:sz w:val="20"/>
        </w:rPr>
        <w:t xml:space="preserve">, </w:t>
      </w:r>
      <w:r>
        <w:rPr>
          <w:rFonts w:ascii="Red Hat Mono" w:hAnsi="Red Hat Mono"/>
          <w:color w:val="CC0000"/>
          <w:sz w:val="18"/>
        </w:rPr>
        <w:t>evictionPressureTransitionPeriod</w:t>
      </w:r>
    </w:p>
    <w:p>
      <w:pPr>
        <w:pStyle w:val="Heading2"/>
        <w:ind w:left="283"/>
      </w:pPr>
      <w:r>
        <w:t>How eviction works</w:t>
      </w:r>
    </w:p>
    <w:p>
      <w:pPr>
        <w:ind w:left="283"/>
      </w:pPr>
      <w:r>
        <w:rPr>
          <w:sz w:val="20"/>
        </w:rPr>
        <w:t>Kubernetes provides two layers of memory protection:</w:t>
      </w:r>
    </w:p>
    <w:p>
      <w:pPr>
        <w:pStyle w:val="ListNumber"/>
        <w:ind w:left="850"/>
      </w:pPr>
      <w:r>
        <w:rPr>
          <w:b/>
          <w:sz w:val="20"/>
        </w:rPr>
        <w:t>Hard eviction</w:t>
      </w:r>
      <w:r>
        <w:rPr>
          <w:sz w:val="20"/>
        </w:rPr>
        <w:t xml:space="preserve"> — When free memory drops below the threshold, kubelet immediately kills the lowest-priority pods (BestEffort first, then Burstable, then Guaranteed).</w:t>
      </w:r>
    </w:p>
    <w:p>
      <w:pPr>
        <w:pStyle w:val="ListNumber"/>
        <w:ind w:left="850"/>
      </w:pPr>
      <w:r>
        <w:rPr>
          <w:b/>
          <w:sz w:val="20"/>
        </w:rPr>
        <w:t>Soft eviction</w:t>
      </w:r>
      <w:r>
        <w:rPr>
          <w:sz w:val="20"/>
        </w:rPr>
        <w:t xml:space="preserve"> — When free memory drops below the threshold for longer than the grace period, kubelet gracefully terminates pods (respects terminationGracePeriodSeconds).</w:t>
      </w:r>
    </w:p>
    <w:p>
      <w:pPr>
        <w:ind w:left="283"/>
      </w:pPr>
      <w:r>
        <w:rPr>
          <w:b/>
          <w:sz w:val="20"/>
        </w:rPr>
        <w:t>Critical concept:</w:t>
      </w:r>
      <w:r>
        <w:rPr>
          <w:sz w:val="20"/>
        </w:rPr>
        <w:t xml:space="preserve"> The hard eviction threshold is subtracted from allocatable:</w:t>
      </w:r>
    </w:p>
    <w:p>
      <w:pPr>
        <w:ind w:left="850"/>
        <w:shd w:fill="F0F0F0"/>
      </w:pPr>
      <w:r>
        <w:rPr>
          <w:rFonts w:ascii="Red Hat Mono" w:hAnsi="Red Hat Mono"/>
          <w:color w:val="333333"/>
          <w:sz w:val="16"/>
        </w:rPr>
        <w:t>Allocatable = Capacity - systemReserved - kubeReserved - evictionHard</w:t>
      </w:r>
    </w:p>
    <w:p>
      <w:pPr>
        <w:ind w:left="283"/>
      </w:pPr>
      <w:r>
        <w:rPr>
          <w:sz w:val="20"/>
        </w:rPr>
        <w:t>This means the scheduler already accounts for the hard threshold when placing pods.</w:t>
      </w:r>
    </w:p>
    <w:p>
      <w:pPr>
        <w:pStyle w:val="Heading2"/>
        <w:ind w:left="283"/>
      </w:pPr>
      <w:r>
        <w:t>Default vs tuned eviction</w:t>
      </w:r>
    </w:p>
    <w:tbl>
      <w:tblPr>
        <w:tblStyle w:val="TableGrid"/>
        <w:tblW w:type="pct" w:w="5000"/>
        <w:jc w:val="center"/>
        <w:tblLook w:firstColumn="1" w:firstRow="1" w:lastColumn="0" w:lastRow="0" w:noHBand="0" w:noVBand="1" w:val="04A0"/>
      </w:tblPr>
      <w:tblGrid>
        <w:gridCol w:w="2268"/>
        <w:gridCol w:w="2268"/>
        <w:gridCol w:w="2268"/>
        <w:gridCol w:w="2268"/>
      </w:tblGrid>
      <w:tr>
        <w:trPr>
          <w:cantSplit w:val="true"/>
          <w:tblHeader w:val="true"/>
        </w:trPr>
        <w:tc>
          <w:tcPr>
            <w:tcW w:type="dxa" w:w="2268"/>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Signal</w:t>
            </w:r>
          </w:p>
        </w:tc>
        <w:tc>
          <w:tcPr>
            <w:tcW w:type="dxa" w:w="2268"/>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OCP Default (Hard)</w:t>
            </w:r>
          </w:p>
        </w:tc>
        <w:tc>
          <w:tcPr>
            <w:tcW w:type="dxa" w:w="2268"/>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OCP Default (Soft)</w:t>
            </w:r>
          </w:p>
        </w:tc>
        <w:tc>
          <w:tcPr>
            <w:tcW w:type="dxa" w:w="2268"/>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Recommended for Worker BM (756GB)</w:t>
            </w:r>
          </w:p>
        </w:tc>
      </w:tr>
      <w:tr>
        <w:trPr>
          <w:cantSplit w:val="true"/>
        </w:trPr>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memory.available</w:t>
            </w:r>
          </w:p>
        </w:tc>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100Mi</w:t>
            </w:r>
          </w:p>
        </w:tc>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(not set)</w:t>
            </w:r>
          </w:p>
        </w:tc>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Hard: 4-8Gi, Soft: 10-16Gi</w:t>
            </w:r>
          </w:p>
        </w:tc>
      </w:tr>
      <w:tr>
        <w:trPr>
          <w:cantSplit w:val="true"/>
        </w:trPr>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nodefs.available</w:t>
            </w:r>
          </w:p>
        </w:tc>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10%</w:t>
            </w:r>
          </w:p>
        </w:tc>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(not set)</w:t>
            </w:r>
          </w:p>
        </w:tc>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Hard: 10%, Soft: 15-20%</w:t>
            </w:r>
          </w:p>
        </w:tc>
      </w:tr>
      <w:tr>
        <w:trPr>
          <w:cantSplit w:val="true"/>
        </w:trPr>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nodefs.inodesFree</w:t>
            </w:r>
          </w:p>
        </w:tc>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5%</w:t>
            </w:r>
          </w:p>
        </w:tc>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(not set)</w:t>
            </w:r>
          </w:p>
        </w:tc>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Hard: 5%, Soft: 10%</w:t>
            </w:r>
          </w:p>
        </w:tc>
      </w:tr>
      <w:tr>
        <w:trPr>
          <w:cantSplit w:val="true"/>
        </w:trPr>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imagefs.available</w:t>
            </w:r>
          </w:p>
        </w:tc>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15%</w:t>
            </w:r>
          </w:p>
        </w:tc>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(not set)</w:t>
            </w:r>
          </w:p>
        </w:tc>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Hard: 10-15%, Soft: 20-25%</w:t>
            </w:r>
          </w:p>
        </w:tc>
      </w:tr>
    </w:tbl>
    <w:p>
      <w:pPr>
        <w:pStyle w:val="Heading2"/>
        <w:ind w:left="283"/>
      </w:pPr>
      <w:r>
        <w:t>When to configure soft eviction</w:t>
      </w:r>
    </w:p>
    <w:p>
      <w:pPr>
        <w:ind w:left="283"/>
      </w:pPr>
      <w:r>
        <w:rPr>
          <w:sz w:val="20"/>
        </w:rPr>
        <w:t>Soft eviction is disabled by default. Enable it when:</w:t>
      </w:r>
    </w:p>
    <w:p>
      <w:pPr>
        <w:pStyle w:val="ListBullet"/>
        <w:ind w:left="850"/>
      </w:pPr>
      <w:r>
        <w:rPr>
          <w:sz w:val="20"/>
        </w:rPr>
        <w:t>Nodes have large amounts of RAM (128GB+) where the default 100Mi hard threshold provides almost no warning</w:t>
      </w:r>
    </w:p>
    <w:p>
      <w:pPr>
        <w:pStyle w:val="ListBullet"/>
        <w:ind w:left="850"/>
      </w:pPr>
      <w:r>
        <w:rPr>
          <w:sz w:val="20"/>
        </w:rPr>
        <w:t>You want graceful pod termination before hard eviction</w:t>
      </w:r>
    </w:p>
    <w:p>
      <w:pPr>
        <w:pStyle w:val="ListBullet"/>
        <w:ind w:left="850"/>
      </w:pPr>
      <w:r>
        <w:rPr>
          <w:sz w:val="20"/>
        </w:rPr>
        <w:t>You need a larger buffer for system processes</w:t>
      </w:r>
    </w:p>
    <w:p>
      <w:pPr>
        <w:ind w:left="283"/>
      </w:pPr>
      <w:r>
        <w:rPr>
          <w:b/>
          <w:sz w:val="20"/>
        </w:rPr>
        <w:t>Important:</w:t>
      </w:r>
      <w:r>
        <w:rPr>
          <w:sz w:val="20"/>
        </w:rPr>
        <w:t xml:space="preserve"> The kubelet </w:t>
      </w:r>
      <w:r>
        <w:rPr>
          <w:b/>
          <w:sz w:val="20"/>
        </w:rPr>
        <w:t>rejects</w:t>
      </w:r>
      <w:r>
        <w:rPr>
          <w:sz w:val="20"/>
        </w:rPr>
        <w:t xml:space="preserve"> a configuration that specifies </w:t>
      </w:r>
      <w:r>
        <w:rPr>
          <w:rFonts w:ascii="Red Hat Mono" w:hAnsi="Red Hat Mono"/>
          <w:color w:val="CC0000"/>
          <w:sz w:val="18"/>
        </w:rPr>
        <w:t>evictionSoft</w:t>
      </w:r>
      <w:r>
        <w:rPr>
          <w:sz w:val="20"/>
        </w:rPr>
        <w:t xml:space="preserve"> thresholds without corresponding </w:t>
      </w:r>
      <w:r>
        <w:rPr>
          <w:rFonts w:ascii="Red Hat Mono" w:hAnsi="Red Hat Mono"/>
          <w:color w:val="CC0000"/>
          <w:sz w:val="18"/>
        </w:rPr>
        <w:t>evictionSoftGracePeriod</w:t>
      </w:r>
      <w:r>
        <w:rPr>
          <w:sz w:val="20"/>
        </w:rPr>
        <w:t xml:space="preserve"> entries. Both must be set together. The grace period defines how long the threshold must be breached before eviction begins.</w:t>
      </w:r>
    </w:p>
    <w:p>
      <w:pPr>
        <w:pStyle w:val="Heading2"/>
        <w:ind w:left="283"/>
      </w:pPr>
      <w:r>
        <w:t>Memory eviction and kernel buffers</w:t>
      </w:r>
    </w:p>
    <w:p>
      <w:pPr>
        <w:ind w:left="283"/>
      </w:pPr>
      <w:r>
        <w:rPr>
          <w:sz w:val="20"/>
        </w:rPr>
        <w:t xml:space="preserve">TuneD network tuning (e.g., </w:t>
      </w:r>
      <w:r>
        <w:rPr>
          <w:rFonts w:ascii="Red Hat Mono" w:hAnsi="Red Hat Mono"/>
          <w:color w:val="CC0000"/>
          <w:sz w:val="18"/>
        </w:rPr>
        <w:t>net.core.rmem_max=16777216</w:t>
      </w:r>
      <w:r>
        <w:rPr>
          <w:sz w:val="20"/>
        </w:rPr>
        <w:t>) sets a ceiling for TCP socket buffer sizes. The actual memory is allocated on demand as connections use it, not pre-allocated.</w:t>
      </w:r>
    </w:p>
    <w:p>
      <w:pPr>
        <w:ind w:left="283"/>
      </w:pPr>
      <w:r>
        <w:rPr>
          <w:sz w:val="20"/>
        </w:rPr>
        <w:t xml:space="preserve">On cgroup v2 (the default for OCP 4.16 new installs), kernel socket buffer memory charged to the </w:t>
      </w:r>
      <w:r>
        <w:rPr>
          <w:rFonts w:ascii="Red Hat Mono" w:hAnsi="Red Hat Mono"/>
          <w:color w:val="CC0000"/>
          <w:sz w:val="18"/>
        </w:rPr>
        <w:t>memory.current</w:t>
      </w:r>
      <w:r>
        <w:rPr>
          <w:sz w:val="20"/>
        </w:rPr>
        <w:t xml:space="preserve"> of the pod's cgroup is visible to the kubelet's eviction accounting. On cgroup v1 (which clusters upgraded from OCP 4.12 may still use), this memory is </w:t>
      </w:r>
      <w:r>
        <w:rPr>
          <w:b/>
          <w:sz w:val="20"/>
        </w:rPr>
        <w:t>not</w:t>
      </w:r>
      <w:r>
        <w:rPr>
          <w:sz w:val="20"/>
        </w:rPr>
        <w:t xml:space="preserve"> tracked by pod cgroups and directly reduces "available" memory from kubelet's perspective. </w:t>
      </w:r>
      <w:r>
        <w:rPr>
          <w:b/>
          <w:sz w:val="20"/>
        </w:rPr>
        <w:t>Verify which cgroup version your cluster uses</w:t>
      </w:r>
      <w:r>
        <w:rPr>
          <w:sz w:val="20"/>
        </w:rPr>
        <w:t xml:space="preserve"> (</w:t>
      </w:r>
      <w:r>
        <w:rPr>
          <w:rFonts w:ascii="Red Hat Mono" w:hAnsi="Red Hat Mono"/>
          <w:color w:val="CC0000"/>
          <w:sz w:val="18"/>
        </w:rPr>
        <w:t>stat -fc %T /sys/fs/cgroup/</w:t>
      </w:r>
      <w:r>
        <w:rPr>
          <w:sz w:val="20"/>
        </w:rPr>
        <w:t xml:space="preserve"> — </w:t>
      </w:r>
      <w:r>
        <w:rPr>
          <w:rFonts w:ascii="Red Hat Mono" w:hAnsi="Red Hat Mono"/>
          <w:color w:val="CC0000"/>
          <w:sz w:val="18"/>
        </w:rPr>
        <w:t>cgroup2fs</w:t>
      </w:r>
      <w:r>
        <w:rPr>
          <w:sz w:val="20"/>
        </w:rPr>
        <w:t xml:space="preserve"> for v2, </w:t>
      </w:r>
      <w:r>
        <w:rPr>
          <w:rFonts w:ascii="Red Hat Mono" w:hAnsi="Red Hat Mono"/>
          <w:color w:val="CC0000"/>
          <w:sz w:val="18"/>
        </w:rPr>
        <w:t>tmpfs</w:t>
      </w:r>
      <w:r>
        <w:rPr>
          <w:sz w:val="20"/>
        </w:rPr>
        <w:t xml:space="preserve"> for v1).</w:t>
      </w:r>
    </w:p>
    <w:p>
      <w:pPr>
        <w:ind w:left="283"/>
      </w:pPr>
      <w:r>
        <w:rPr>
          <w:sz w:val="20"/>
        </w:rPr>
        <w:t>On nodes with tuned TCP buffers and many network-heavy pods, set memory eviction thresholds higher to provide a safety margin.</w:t>
      </w:r>
    </w:p>
    <w:p>
      <w:pPr>
        <w:pStyle w:val="Heading2"/>
        <w:ind w:left="283"/>
      </w:pPr>
      <w:r>
        <w:t>Per-archetype guidance</w:t>
      </w:r>
    </w:p>
    <w:tbl>
      <w:tblPr>
        <w:tblStyle w:val="TableGrid"/>
        <w:tblW w:type="pct" w:w="5000"/>
        <w:jc w:val="center"/>
        <w:tblLook w:firstColumn="1" w:firstRow="1" w:lastColumn="0" w:lastRow="0" w:noHBand="0" w:noVBand="1" w:val="04A0"/>
      </w:tblPr>
      <w:tblGrid>
        <w:gridCol w:w="2268"/>
        <w:gridCol w:w="2268"/>
        <w:gridCol w:w="2268"/>
        <w:gridCol w:w="2268"/>
      </w:tblGrid>
      <w:tr>
        <w:trPr>
          <w:cantSplit w:val="true"/>
          <w:tblHeader w:val="true"/>
        </w:trPr>
        <w:tc>
          <w:tcPr>
            <w:tcW w:type="dxa" w:w="2268"/>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Archetype</w:t>
            </w:r>
          </w:p>
        </w:tc>
        <w:tc>
          <w:tcPr>
            <w:tcW w:type="dxa" w:w="2268"/>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Hard memory</w:t>
            </w:r>
          </w:p>
        </w:tc>
        <w:tc>
          <w:tcPr>
            <w:tcW w:type="dxa" w:w="2268"/>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Soft memory</w:t>
            </w:r>
          </w:p>
        </w:tc>
        <w:tc>
          <w:tcPr>
            <w:tcW w:type="dxa" w:w="2268"/>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Soft grace</w:t>
            </w:r>
          </w:p>
        </w:tc>
      </w:tr>
      <w:tr>
        <w:trPr>
          <w:cantSplit w:val="true"/>
        </w:trPr>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Master VM</w:t>
            </w:r>
          </w:p>
        </w:tc>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100Mi (default)</w:t>
            </w:r>
          </w:p>
        </w:tc>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Not needed</w:t>
            </w:r>
          </w:p>
        </w:tc>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w:t>
            </w:r>
          </w:p>
        </w:tc>
      </w:tr>
      <w:tr>
        <w:trPr>
          <w:cantSplit w:val="true"/>
        </w:trPr>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Infra VM</w:t>
            </w:r>
          </w:p>
        </w:tc>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100Mi (default)</w:t>
            </w:r>
          </w:p>
        </w:tc>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Not needed</w:t>
            </w:r>
          </w:p>
        </w:tc>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w:t>
            </w:r>
          </w:p>
        </w:tc>
      </w:tr>
      <w:tr>
        <w:trPr>
          <w:cantSplit w:val="true"/>
        </w:trPr>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Worker BM (756GB)</w:t>
            </w:r>
          </w:p>
        </w:tc>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4-8Gi</w:t>
            </w:r>
          </w:p>
        </w:tc>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10-16Gi</w:t>
            </w:r>
          </w:p>
        </w:tc>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1m30s-5m</w:t>
            </w:r>
          </w:p>
        </w:tc>
      </w:tr>
    </w:tbl>
    <w:p>
      <w:pPr>
        <w:pStyle w:val="Heading2"/>
        <w:ind w:left="283"/>
      </w:pPr>
      <w:r>
        <w:t>evictionPressureTransitionPeriod</w:t>
      </w:r>
    </w:p>
    <w:p>
      <w:pPr>
        <w:ind w:left="283"/>
      </w:pPr>
      <w:r>
        <w:rPr>
          <w:b/>
          <w:sz w:val="20"/>
        </w:rPr>
        <w:t>Default:</w:t>
      </w:r>
      <w:r>
        <w:rPr>
          <w:sz w:val="20"/>
        </w:rPr>
        <w:t xml:space="preserve"> 5m0s</w:t>
      </w:r>
    </w:p>
    <w:p>
      <w:pPr>
        <w:ind w:left="283"/>
      </w:pPr>
      <w:r>
        <w:rPr>
          <w:b/>
          <w:sz w:val="20"/>
        </w:rPr>
        <w:t>What it does:</w:t>
      </w:r>
      <w:r>
        <w:rPr>
          <w:sz w:val="20"/>
        </w:rPr>
        <w:t xml:space="preserve"> After eviction pressure is relieved, kubelet waits this long before removing the condition taint. Prevents rapid oscillation between pressure/no-pressure states.</w:t>
      </w:r>
    </w:p>
    <w:p>
      <w:pPr>
        <w:ind w:left="283"/>
      </w:pPr>
      <w:r>
        <w:rPr>
          <w:b/>
          <w:sz w:val="20"/>
        </w:rPr>
        <w:t>Recommendation:</w:t>
      </w:r>
      <w:r>
        <w:rPr>
          <w:sz w:val="20"/>
        </w:rPr>
        <w:t xml:space="preserve"> Keep at default (5m0s).</w:t>
      </w:r>
    </w:p>
    <w:p>
      <w:pPr>
        <w:ind w:left="283"/>
      </w:pPr>
      <w:r>
        <w:rPr>
          <w:b/>
          <w:sz w:val="20"/>
        </w:rPr>
        <w:t>Note on the customer's tuned-worker:</w:t>
      </w:r>
      <w:r>
        <w:rPr>
          <w:sz w:val="20"/>
        </w:rPr>
        <w:t xml:space="preserve"> The </w:t>
      </w:r>
      <w:r>
        <w:rPr>
          <w:rFonts w:ascii="Red Hat Mono" w:hAnsi="Red Hat Mono"/>
          <w:color w:val="CC0000"/>
          <w:sz w:val="18"/>
        </w:rPr>
        <w:t>evictionPressureTransitionPeriod: 0s</w:t>
      </w:r>
      <w:r>
        <w:rPr>
          <w:sz w:val="20"/>
        </w:rPr>
        <w:t xml:space="preserve"> in the current config is a </w:t>
      </w:r>
      <w:r>
        <w:rPr>
          <w:b/>
          <w:sz w:val="20"/>
        </w:rPr>
        <w:t>config dump artifact</w:t>
      </w:r>
      <w:r>
        <w:rPr>
          <w:sz w:val="20"/>
        </w:rPr>
        <w:t xml:space="preserve"> — it was included when the running kubelet config was extracted and pasted into the KubeletConfig CR. The kubelet replaces a zero duration with its compiled default (5m0s), so this value is currently harmless. However, it should be removed for clarity — explicitly zeroed fields add noise and their treatment could change between Kubernetes versions. The same applies to all 14 zero-value fields in the tuned-worker config (see Appendix A).</w:t>
      </w:r>
    </w:p>
    <w:p>
      <w:r>
        <w:br w:type="page"/>
      </w:r>
    </w:p>
    <w:p>
      <w:pPr>
        <w:pStyle w:val="Heading1"/>
      </w:pPr>
      <w:r>
        <w:t>§4 — Image Lifecycle</w:t>
      </w:r>
    </w:p>
    <w:p>
      <w:pPr>
        <w:ind w:left="283"/>
      </w:pPr>
      <w:r>
        <w:rPr>
          <w:b/>
          <w:sz w:val="20"/>
        </w:rPr>
        <w:t>KubeletConfig fields:</w:t>
      </w:r>
      <w:r>
        <w:rPr>
          <w:sz w:val="20"/>
        </w:rPr>
        <w:t xml:space="preserve"> </w:t>
      </w:r>
      <w:r>
        <w:rPr>
          <w:rFonts w:ascii="Red Hat Mono" w:hAnsi="Red Hat Mono"/>
          <w:color w:val="CC0000"/>
          <w:sz w:val="18"/>
        </w:rPr>
        <w:t>imageMinimumGCAge</w:t>
      </w:r>
      <w:r>
        <w:rPr>
          <w:sz w:val="20"/>
        </w:rPr>
        <w:t xml:space="preserve">, </w:t>
      </w:r>
      <w:r>
        <w:rPr>
          <w:rFonts w:ascii="Red Hat Mono" w:hAnsi="Red Hat Mono"/>
          <w:color w:val="CC0000"/>
          <w:sz w:val="18"/>
        </w:rPr>
        <w:t>imageGCHighThresholdPercent</w:t>
      </w:r>
      <w:r>
        <w:rPr>
          <w:sz w:val="20"/>
        </w:rPr>
        <w:t xml:space="preserve">, </w:t>
      </w:r>
      <w:r>
        <w:rPr>
          <w:rFonts w:ascii="Red Hat Mono" w:hAnsi="Red Hat Mono"/>
          <w:color w:val="CC0000"/>
          <w:sz w:val="18"/>
        </w:rPr>
        <w:t>imageGCLowThresholdPercent</w:t>
      </w:r>
      <w:r>
        <w:rPr>
          <w:sz w:val="20"/>
        </w:rPr>
        <w:t xml:space="preserve">, </w:t>
      </w:r>
      <w:r>
        <w:rPr>
          <w:rFonts w:ascii="Red Hat Mono" w:hAnsi="Red Hat Mono"/>
          <w:color w:val="CC0000"/>
          <w:sz w:val="18"/>
        </w:rPr>
        <w:t>nodeStatusMaxImages</w:t>
      </w:r>
    </w:p>
    <w:p>
      <w:pPr>
        <w:pStyle w:val="Heading2"/>
        <w:ind w:left="283"/>
      </w:pPr>
      <w:r>
        <w:t>Image garbage collection</w:t>
      </w:r>
    </w:p>
    <w:p>
      <w:pPr>
        <w:ind w:left="283"/>
      </w:pPr>
      <w:r>
        <w:rPr>
          <w:sz w:val="20"/>
        </w:rPr>
        <w:t xml:space="preserve">The kubelet periodically checks disk usage on the image filesystem. When usage exceeds </w:t>
      </w:r>
      <w:r>
        <w:rPr>
          <w:rFonts w:ascii="Red Hat Mono" w:hAnsi="Red Hat Mono"/>
          <w:color w:val="CC0000"/>
          <w:sz w:val="18"/>
        </w:rPr>
        <w:t>imageGCHighThresholdPercent</w:t>
      </w:r>
      <w:r>
        <w:rPr>
          <w:sz w:val="20"/>
        </w:rPr>
        <w:t xml:space="preserve">, it starts removing unused images (oldest first) until usage drops to </w:t>
      </w:r>
      <w:r>
        <w:rPr>
          <w:rFonts w:ascii="Red Hat Mono" w:hAnsi="Red Hat Mono"/>
          <w:color w:val="CC0000"/>
          <w:sz w:val="18"/>
        </w:rPr>
        <w:t>imageGCLowThresholdPercent</w:t>
      </w:r>
      <w:r>
        <w:rPr>
          <w:sz w:val="20"/>
        </w:rPr>
        <w:t>.</w:t>
      </w:r>
    </w:p>
    <w:tbl>
      <w:tblPr>
        <w:tblStyle w:val="TableGrid"/>
        <w:tblW w:type="pct" w:w="5000"/>
        <w:jc w:val="center"/>
        <w:tblLook w:firstColumn="1" w:firstRow="1" w:lastColumn="0" w:lastRow="0" w:noHBand="0" w:noVBand="1" w:val="04A0"/>
      </w:tblPr>
      <w:tblGrid>
        <w:gridCol w:w="3024"/>
        <w:gridCol w:w="3024"/>
        <w:gridCol w:w="3024"/>
      </w:tblGrid>
      <w:tr>
        <w:trPr>
          <w:cantSplit w:val="true"/>
          <w:tblHeader w:val="true"/>
        </w:trPr>
        <w:tc>
          <w:tcPr>
            <w:tcW w:type="dxa" w:w="302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Parameter</w:t>
            </w:r>
          </w:p>
        </w:tc>
        <w:tc>
          <w:tcPr>
            <w:tcW w:type="dxa" w:w="302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Default</w:t>
            </w:r>
          </w:p>
        </w:tc>
        <w:tc>
          <w:tcPr>
            <w:tcW w:type="dxa" w:w="302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Effect of changing</w:t>
            </w:r>
          </w:p>
        </w:tc>
      </w:tr>
      <w:tr>
        <w:trPr>
          <w:cantSplit w:val="true"/>
        </w:trPr>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imageGCHighThresholdPercent</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85</w:t>
            </w:r>
          </w:p>
        </w:tc>
        <w:tc>
          <w:tcPr>
            <w:tcW w:type="dxa" w:w="3024"/>
            <w:vAlign w:val="center"/>
            <w:tcMar>
              <w:top w:w="60" w:type="dxa"/>
              <w:bottom w:w="60" w:type="dxa"/>
              <w:left w:w="100" w:type="dxa"/>
              <w:right w:w="100" w:type="dxa"/>
            </w:tcMar>
          </w:tcPr>
          <w:p>
            <w:pPr>
              <w:spacing w:before="60" w:after="60"/>
              <w:jc w:val="left"/>
            </w:pPr>
            <w:r/>
            <w:r>
              <w:rPr>
                <w:rFonts w:ascii="Red Hat Text" w:hAnsi="Red Hat Text"/>
                <w:sz w:val="16"/>
              </w:rPr>
              <w:t>Lower = GC starts sooner (more aggressive)</w:t>
            </w:r>
          </w:p>
        </w:tc>
      </w:tr>
      <w:tr>
        <w:trPr>
          <w:cantSplit w:val="true"/>
        </w:trPr>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imageGCLowThresholdPercent</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80</w:t>
            </w:r>
          </w:p>
        </w:tc>
        <w:tc>
          <w:tcPr>
            <w:tcW w:type="dxa" w:w="3024"/>
            <w:vAlign w:val="center"/>
            <w:tcMar>
              <w:top w:w="60" w:type="dxa"/>
              <w:bottom w:w="60" w:type="dxa"/>
              <w:left w:w="100" w:type="dxa"/>
              <w:right w:w="100" w:type="dxa"/>
            </w:tcMar>
            <w:shd w:fill="F5F5F5"/>
          </w:tcPr>
          <w:p>
            <w:pPr>
              <w:spacing w:before="60" w:after="60"/>
              <w:jc w:val="left"/>
            </w:pPr>
            <w:r/>
            <w:r>
              <w:rPr>
                <w:rFonts w:ascii="Red Hat Text" w:hAnsi="Red Hat Text"/>
                <w:sz w:val="16"/>
              </w:rPr>
              <w:t>Lower = GC frees more space (more aggressive)</w:t>
            </w:r>
          </w:p>
        </w:tc>
      </w:tr>
      <w:tr>
        <w:trPr>
          <w:cantSplit w:val="true"/>
        </w:trPr>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imageMinimumGCAge</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2m0s</w:t>
            </w:r>
          </w:p>
        </w:tc>
        <w:tc>
          <w:tcPr>
            <w:tcW w:type="dxa" w:w="3024"/>
            <w:vAlign w:val="center"/>
            <w:tcMar>
              <w:top w:w="60" w:type="dxa"/>
              <w:bottom w:w="60" w:type="dxa"/>
              <w:left w:w="100" w:type="dxa"/>
              <w:right w:w="100" w:type="dxa"/>
            </w:tcMar>
          </w:tcPr>
          <w:p>
            <w:pPr>
              <w:spacing w:before="60" w:after="60"/>
              <w:jc w:val="left"/>
            </w:pPr>
            <w:r/>
            <w:r>
              <w:rPr>
                <w:rFonts w:ascii="Red Hat Text" w:hAnsi="Red Hat Text"/>
                <w:sz w:val="16"/>
              </w:rPr>
              <w:t>Higher = images kept longer before eligible for GC</w:t>
            </w:r>
          </w:p>
        </w:tc>
      </w:tr>
    </w:tbl>
    <w:p>
      <w:pPr>
        <w:ind w:left="283"/>
      </w:pPr>
      <w:r>
        <w:rPr>
          <w:b/>
          <w:sz w:val="20"/>
        </w:rPr>
        <w:t>When to tune:</w:t>
      </w:r>
    </w:p>
    <w:p>
      <w:pPr>
        <w:pStyle w:val="ListBullet"/>
        <w:ind w:left="850"/>
      </w:pPr>
      <w:r>
        <w:rPr>
          <w:b/>
          <w:sz w:val="20"/>
        </w:rPr>
        <w:t>Disk-constrained nodes:</w:t>
      </w:r>
      <w:r>
        <w:rPr>
          <w:sz w:val="20"/>
        </w:rPr>
        <w:t xml:space="preserve"> Lower High/Low thresholds (e.g., 75/50) for more aggressive cleanup</w:t>
      </w:r>
    </w:p>
    <w:p>
      <w:pPr>
        <w:pStyle w:val="ListBullet"/>
        <w:ind w:left="850"/>
      </w:pPr>
      <w:r>
        <w:rPr>
          <w:b/>
          <w:sz w:val="20"/>
        </w:rPr>
        <w:t>Air-gapped / slow-registry environments:</w:t>
      </w:r>
      <w:r>
        <w:rPr>
          <w:sz w:val="20"/>
        </w:rPr>
        <w:t xml:space="preserve"> Raise </w:t>
      </w:r>
      <w:r>
        <w:rPr>
          <w:rFonts w:ascii="Red Hat Mono" w:hAnsi="Red Hat Mono"/>
          <w:color w:val="CC0000"/>
          <w:sz w:val="18"/>
        </w:rPr>
        <w:t>imageMinimumGCAge</w:t>
      </w:r>
      <w:r>
        <w:rPr>
          <w:sz w:val="20"/>
        </w:rPr>
        <w:t xml:space="preserve"> to avoid re-pulling images that take a long time to pull</w:t>
      </w:r>
    </w:p>
    <w:p>
      <w:pPr>
        <w:pStyle w:val="ListBullet"/>
        <w:ind w:left="850"/>
      </w:pPr>
      <w:r>
        <w:rPr>
          <w:b/>
          <w:sz w:val="20"/>
        </w:rPr>
        <w:t>Enic NIC driver nodes:</w:t>
      </w:r>
      <w:r>
        <w:rPr>
          <w:sz w:val="20"/>
        </w:rPr>
        <w:t xml:space="preserve"> Aggressive image GC combined with the TCP window regression (KCS 7127975) can cause hours-long re-pulls. Deploy the </w:t>
      </w:r>
      <w:r>
        <w:rPr>
          <w:rFonts w:ascii="Red Hat Mono" w:hAnsi="Red Hat Mono"/>
          <w:color w:val="CC0000"/>
          <w:sz w:val="18"/>
        </w:rPr>
        <w:t>tcp_rmem</w:t>
      </w:r>
      <w:r>
        <w:rPr>
          <w:sz w:val="20"/>
        </w:rPr>
        <w:t xml:space="preserve"> TuneD fix before enabling aggressive image GC on enic nodes.</w:t>
      </w:r>
    </w:p>
    <w:p>
      <w:pPr>
        <w:pStyle w:val="Heading2"/>
        <w:ind w:left="283"/>
      </w:pPr>
      <w:r>
        <w:t>nodeStatusMaxImages</w:t>
      </w:r>
    </w:p>
    <w:p>
      <w:pPr>
        <w:ind w:left="283"/>
      </w:pPr>
      <w:r>
        <w:rPr>
          <w:b/>
          <w:sz w:val="20"/>
        </w:rPr>
        <w:t>Default:</w:t>
      </w:r>
      <w:r>
        <w:rPr>
          <w:sz w:val="20"/>
        </w:rPr>
        <w:t xml:space="preserve"> 50</w:t>
      </w:r>
    </w:p>
    <w:p>
      <w:pPr>
        <w:ind w:left="283"/>
      </w:pPr>
      <w:r>
        <w:rPr>
          <w:b/>
          <w:sz w:val="20"/>
        </w:rPr>
        <w:t>What it does:</w:t>
      </w:r>
      <w:r>
        <w:rPr>
          <w:sz w:val="20"/>
        </w:rPr>
        <w:t xml:space="preserve"> Maximum number of images reported in the node status object. Does not affect actual image storage.</w:t>
      </w:r>
    </w:p>
    <w:p>
      <w:pPr>
        <w:ind w:left="283"/>
      </w:pPr>
      <w:r>
        <w:rPr>
          <w:b/>
          <w:sz w:val="20"/>
        </w:rPr>
        <w:t>When to raise:</w:t>
      </w:r>
      <w:r>
        <w:rPr>
          <w:sz w:val="20"/>
        </w:rPr>
        <w:t xml:space="preserve"> Nodes running many different container images (common on large BM nodes with 500 pods). Raise to 250-500 for better observability.</w:t>
      </w:r>
    </w:p>
    <w:p>
      <w:pPr>
        <w:ind w:left="283"/>
      </w:pPr>
      <w:r>
        <w:rPr>
          <w:b/>
          <w:sz w:val="20"/>
        </w:rPr>
        <w:t>Performance note:</w:t>
      </w:r>
      <w:r>
        <w:rPr>
          <w:sz w:val="20"/>
        </w:rPr>
        <w:t xml:space="preserve"> Higher values make every Node API object larger. Every component watching Node objects (scheduler, controllers, monitoring) receives the larger payload. On clusters with many nodes, this can increase API server and etcd load. Measure before setting above 500.</w:t>
      </w:r>
    </w:p>
    <w:p>
      <w:r>
        <w:br w:type="page"/>
      </w:r>
    </w:p>
    <w:p>
      <w:pPr>
        <w:pStyle w:val="Heading1"/>
      </w:pPr>
      <w:r>
        <w:t>§5 — CPU Topology, NUMA &amp; Pinning</w:t>
      </w:r>
    </w:p>
    <w:p>
      <w:pPr>
        <w:ind w:left="283"/>
      </w:pPr>
      <w:r>
        <w:rPr>
          <w:b/>
          <w:sz w:val="20"/>
        </w:rPr>
        <w:t>KubeletConfig fields:</w:t>
      </w:r>
      <w:r>
        <w:rPr>
          <w:sz w:val="20"/>
        </w:rPr>
        <w:t xml:space="preserve"> </w:t>
      </w:r>
      <w:r>
        <w:rPr>
          <w:rFonts w:ascii="Red Hat Mono" w:hAnsi="Red Hat Mono"/>
          <w:color w:val="CC0000"/>
          <w:sz w:val="18"/>
        </w:rPr>
        <w:t>topologyManagerPolicy</w:t>
      </w:r>
      <w:r>
        <w:rPr>
          <w:sz w:val="20"/>
        </w:rPr>
        <w:t xml:space="preserve">, </w:t>
      </w:r>
      <w:r>
        <w:rPr>
          <w:rFonts w:ascii="Red Hat Mono" w:hAnsi="Red Hat Mono"/>
          <w:color w:val="CC0000"/>
          <w:sz w:val="18"/>
        </w:rPr>
        <w:t>topologyManagerScope</w:t>
      </w:r>
      <w:r>
        <w:rPr>
          <w:sz w:val="20"/>
        </w:rPr>
        <w:t xml:space="preserve">, </w:t>
      </w:r>
      <w:r>
        <w:rPr>
          <w:rFonts w:ascii="Red Hat Mono" w:hAnsi="Red Hat Mono"/>
          <w:color w:val="CC0000"/>
          <w:sz w:val="18"/>
        </w:rPr>
        <w:t>cpuManagerPolicy</w:t>
      </w:r>
    </w:p>
    <w:p>
      <w:pPr>
        <w:ind w:left="283"/>
      </w:pPr>
      <w:r>
        <w:rPr>
          <w:b/>
          <w:sz w:val="20"/>
        </w:rPr>
        <w:t>PerformanceProfile fields:</w:t>
      </w:r>
      <w:r>
        <w:rPr>
          <w:sz w:val="20"/>
        </w:rPr>
        <w:t xml:space="preserve"> </w:t>
      </w:r>
      <w:r>
        <w:rPr>
          <w:rFonts w:ascii="Red Hat Mono" w:hAnsi="Red Hat Mono"/>
          <w:color w:val="CC0000"/>
          <w:sz w:val="18"/>
        </w:rPr>
        <w:t>spec.cpu.reserved</w:t>
      </w:r>
      <w:r>
        <w:rPr>
          <w:sz w:val="20"/>
        </w:rPr>
        <w:t xml:space="preserve">, </w:t>
      </w:r>
      <w:r>
        <w:rPr>
          <w:rFonts w:ascii="Red Hat Mono" w:hAnsi="Red Hat Mono"/>
          <w:color w:val="CC0000"/>
          <w:sz w:val="18"/>
        </w:rPr>
        <w:t>spec.cpu.isolated</w:t>
      </w:r>
      <w:r>
        <w:rPr>
          <w:sz w:val="20"/>
        </w:rPr>
        <w:t xml:space="preserve">, </w:t>
      </w:r>
      <w:r>
        <w:rPr>
          <w:rFonts w:ascii="Red Hat Mono" w:hAnsi="Red Hat Mono"/>
          <w:color w:val="CC0000"/>
          <w:sz w:val="18"/>
        </w:rPr>
        <w:t>spec.numa.topologyPolicy</w:t>
      </w:r>
    </w:p>
    <w:p>
      <w:pPr>
        <w:pStyle w:val="Heading2"/>
        <w:ind w:left="283"/>
      </w:pPr>
      <w:r>
        <w:t>Overview</w:t>
      </w:r>
    </w:p>
    <w:p>
      <w:pPr>
        <w:ind w:left="283"/>
      </w:pPr>
      <w:r>
        <w:rPr>
          <w:sz w:val="20"/>
        </w:rPr>
        <w:t>Modern multi-socket servers have Non-Uniform Memory Access (NUMA) architecture. Memory access latency depends on which CPU socket accesses which memory bank. For latency-sensitive workloads, ensuring pods use CPUs and memory from the same NUMA node is critical.</w:t>
      </w:r>
    </w:p>
    <w:p>
      <w:pPr>
        <w:ind w:left="283"/>
      </w:pPr>
      <w:r>
        <w:rPr>
          <w:sz w:val="20"/>
        </w:rPr>
        <w:t>On a typical 2-socket bare-metal node (e.g., 56 cores):</w:t>
      </w:r>
    </w:p>
    <w:p>
      <w:pPr>
        <w:ind w:left="850"/>
        <w:shd w:fill="F0F0F0"/>
      </w:pPr>
      <w:r>
        <w:rPr>
          <w:rFonts w:ascii="Red Hat Mono" w:hAnsi="Red Hat Mono"/>
          <w:color w:val="333333"/>
          <w:sz w:val="16"/>
        </w:rPr>
        <w:t>Socket 0: CPUs 0-27, Memory Bank 0</w:t>
        <w:br/>
        <w:t>Socket 1: CPUs 28-55, Memory Bank 1</w:t>
      </w:r>
    </w:p>
    <w:p>
      <w:pPr>
        <w:pStyle w:val="Heading2"/>
        <w:ind w:left="283"/>
      </w:pPr>
      <w:r>
        <w:t>topologyManagerPolicy</w:t>
      </w:r>
    </w:p>
    <w:tbl>
      <w:tblPr>
        <w:tblStyle w:val="TableGrid"/>
        <w:tblW w:type="pct" w:w="5000"/>
        <w:jc w:val="center"/>
        <w:tblLook w:firstColumn="1" w:firstRow="1" w:lastColumn="0" w:lastRow="0" w:noHBand="0" w:noVBand="1" w:val="04A0"/>
      </w:tblPr>
      <w:tblGrid>
        <w:gridCol w:w="3024"/>
        <w:gridCol w:w="3024"/>
        <w:gridCol w:w="3024"/>
      </w:tblGrid>
      <w:tr>
        <w:trPr>
          <w:cantSplit w:val="true"/>
          <w:tblHeader w:val="true"/>
        </w:trPr>
        <w:tc>
          <w:tcPr>
            <w:tcW w:type="dxa" w:w="302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Policy</w:t>
            </w:r>
          </w:p>
        </w:tc>
        <w:tc>
          <w:tcPr>
            <w:tcW w:type="dxa" w:w="302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Behavior</w:t>
            </w:r>
          </w:p>
        </w:tc>
        <w:tc>
          <w:tcPr>
            <w:tcW w:type="dxa" w:w="302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Use case</w:t>
            </w:r>
          </w:p>
        </w:tc>
      </w:tr>
      <w:tr>
        <w:trPr>
          <w:cantSplit w:val="true"/>
        </w:trPr>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none (default)</w:t>
            </w:r>
          </w:p>
        </w:tc>
        <w:tc>
          <w:tcPr>
            <w:tcW w:type="dxa" w:w="3024"/>
            <w:vAlign w:val="center"/>
            <w:tcMar>
              <w:top w:w="60" w:type="dxa"/>
              <w:bottom w:w="60" w:type="dxa"/>
              <w:left w:w="100" w:type="dxa"/>
              <w:right w:w="100" w:type="dxa"/>
            </w:tcMar>
          </w:tcPr>
          <w:p>
            <w:pPr>
              <w:spacing w:before="60" w:after="60"/>
              <w:jc w:val="left"/>
            </w:pPr>
            <w:r/>
            <w:r>
              <w:rPr>
                <w:rFonts w:ascii="Red Hat Text" w:hAnsi="Red Hat Text"/>
                <w:sz w:val="16"/>
              </w:rPr>
              <w:t>No NUMA awareness. Pods get CPUs from any socket.</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General-purpose workloads</w:t>
            </w:r>
          </w:p>
        </w:tc>
      </w:tr>
      <w:tr>
        <w:trPr>
          <w:cantSplit w:val="true"/>
        </w:trPr>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best-effort</w:t>
            </w:r>
          </w:p>
        </w:tc>
        <w:tc>
          <w:tcPr>
            <w:tcW w:type="dxa" w:w="3024"/>
            <w:vAlign w:val="center"/>
            <w:tcMar>
              <w:top w:w="60" w:type="dxa"/>
              <w:bottom w:w="60" w:type="dxa"/>
              <w:left w:w="100" w:type="dxa"/>
              <w:right w:w="100" w:type="dxa"/>
            </w:tcMar>
            <w:shd w:fill="F5F5F5"/>
          </w:tcPr>
          <w:p>
            <w:pPr>
              <w:spacing w:before="60" w:after="60"/>
              <w:jc w:val="left"/>
            </w:pPr>
            <w:r/>
            <w:r>
              <w:rPr>
                <w:rFonts w:ascii="Red Hat Text" w:hAnsi="Red Hat Text"/>
                <w:sz w:val="16"/>
              </w:rPr>
              <w:t>Tries to align CPU/memory to same NUMA node but doesn't fail if it can't</w:t>
            </w:r>
          </w:p>
        </w:tc>
        <w:tc>
          <w:tcPr>
            <w:tcW w:type="dxa" w:w="3024"/>
            <w:vAlign w:val="center"/>
            <w:tcMar>
              <w:top w:w="60" w:type="dxa"/>
              <w:bottom w:w="60" w:type="dxa"/>
              <w:left w:w="100" w:type="dxa"/>
              <w:right w:w="100" w:type="dxa"/>
            </w:tcMar>
            <w:shd w:fill="F5F5F5"/>
          </w:tcPr>
          <w:p>
            <w:pPr>
              <w:spacing w:before="60" w:after="60"/>
              <w:jc w:val="left"/>
            </w:pPr>
            <w:r/>
            <w:r>
              <w:rPr>
                <w:rFonts w:ascii="Red Hat Text" w:hAnsi="Red Hat Text"/>
                <w:sz w:val="16"/>
              </w:rPr>
              <w:t>Mixed workloads with some NUMA-sensitive pods</w:t>
            </w:r>
          </w:p>
        </w:tc>
      </w:tr>
      <w:tr>
        <w:trPr>
          <w:cantSplit w:val="true"/>
        </w:trPr>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restricted</w:t>
            </w:r>
          </w:p>
        </w:tc>
        <w:tc>
          <w:tcPr>
            <w:tcW w:type="dxa" w:w="3024"/>
            <w:vAlign w:val="center"/>
            <w:tcMar>
              <w:top w:w="60" w:type="dxa"/>
              <w:bottom w:w="60" w:type="dxa"/>
              <w:left w:w="100" w:type="dxa"/>
              <w:right w:w="100" w:type="dxa"/>
            </w:tcMar>
          </w:tcPr>
          <w:p>
            <w:pPr>
              <w:spacing w:before="60" w:after="60"/>
              <w:jc w:val="left"/>
            </w:pPr>
            <w:r/>
            <w:r>
              <w:rPr>
                <w:rFonts w:ascii="Red Hat Text" w:hAnsi="Red Hat Text"/>
                <w:sz w:val="16"/>
              </w:rPr>
              <w:t>Requires NUMA alignment for pods with Guaranteed QoS; rejects pod if alignment impossible</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Latency-sensitive workloads</w:t>
            </w:r>
          </w:p>
        </w:tc>
      </w:tr>
      <w:tr>
        <w:trPr>
          <w:cantSplit w:val="true"/>
        </w:trPr>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single-numa-node</w:t>
            </w:r>
          </w:p>
        </w:tc>
        <w:tc>
          <w:tcPr>
            <w:tcW w:type="dxa" w:w="3024"/>
            <w:vAlign w:val="center"/>
            <w:tcMar>
              <w:top w:w="60" w:type="dxa"/>
              <w:bottom w:w="60" w:type="dxa"/>
              <w:left w:w="100" w:type="dxa"/>
              <w:right w:w="100" w:type="dxa"/>
            </w:tcMar>
            <w:shd w:fill="F5F5F5"/>
          </w:tcPr>
          <w:p>
            <w:pPr>
              <w:spacing w:before="60" w:after="60"/>
              <w:jc w:val="left"/>
            </w:pPr>
            <w:r/>
            <w:r>
              <w:rPr>
                <w:rFonts w:ascii="Red Hat Text" w:hAnsi="Red Hat Text"/>
                <w:sz w:val="16"/>
              </w:rPr>
              <w:t>Requires all resources from a single NUMA node</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Ultra-low-latency, DPDK</w:t>
            </w:r>
          </w:p>
        </w:tc>
      </w:tr>
    </w:tbl>
    <w:p>
      <w:pPr>
        <w:ind w:left="283"/>
      </w:pPr>
      <w:r>
        <w:rPr>
          <w:b/>
          <w:sz w:val="20"/>
        </w:rPr>
        <w:t>Important:</w:t>
      </w:r>
      <w:r>
        <w:rPr>
          <w:sz w:val="20"/>
        </w:rPr>
        <w:t xml:space="preserve"> </w:t>
      </w:r>
      <w:r>
        <w:rPr>
          <w:rFonts w:ascii="Red Hat Mono" w:hAnsi="Red Hat Mono"/>
          <w:color w:val="CC0000"/>
          <w:sz w:val="18"/>
        </w:rPr>
        <w:t>topologyManagerPolicy</w:t>
      </w:r>
      <w:r>
        <w:rPr>
          <w:sz w:val="20"/>
        </w:rPr>
        <w:t xml:space="preserve"> only affects pods with Guaranteed QoS (requests == limits) when </w:t>
      </w:r>
      <w:r>
        <w:rPr>
          <w:rFonts w:ascii="Red Hat Mono" w:hAnsi="Red Hat Mono"/>
          <w:color w:val="CC0000"/>
          <w:sz w:val="18"/>
        </w:rPr>
        <w:t>cpuManagerPolicy: static</w:t>
      </w:r>
      <w:r>
        <w:rPr>
          <w:sz w:val="20"/>
        </w:rPr>
        <w:t xml:space="preserve"> is also set. With </w:t>
      </w:r>
      <w:r>
        <w:rPr>
          <w:rFonts w:ascii="Red Hat Mono" w:hAnsi="Red Hat Mono"/>
          <w:color w:val="CC0000"/>
          <w:sz w:val="18"/>
        </w:rPr>
        <w:t>cpuManagerPolicy: none</w:t>
      </w:r>
      <w:r>
        <w:rPr>
          <w:sz w:val="20"/>
        </w:rPr>
        <w:t xml:space="preserve"> (the default), the topology manager has no CPU topology hints to work with for ordinary pods, and </w:t>
      </w:r>
      <w:r>
        <w:rPr>
          <w:rFonts w:ascii="Red Hat Mono" w:hAnsi="Red Hat Mono"/>
          <w:color w:val="CC0000"/>
          <w:sz w:val="18"/>
        </w:rPr>
        <w:t>best-effort</w:t>
      </w:r>
      <w:r>
        <w:rPr>
          <w:sz w:val="20"/>
        </w:rPr>
        <w:t xml:space="preserve"> or </w:t>
      </w:r>
      <w:r>
        <w:rPr>
          <w:rFonts w:ascii="Red Hat Mono" w:hAnsi="Red Hat Mono"/>
          <w:color w:val="CC0000"/>
          <w:sz w:val="18"/>
        </w:rPr>
        <w:t>restricted</w:t>
      </w:r>
      <w:r>
        <w:rPr>
          <w:sz w:val="20"/>
        </w:rPr>
        <w:t xml:space="preserve"> has no practical effect.</w:t>
      </w:r>
    </w:p>
    <w:p>
      <w:pPr>
        <w:ind w:left="283"/>
      </w:pPr>
      <w:r>
        <w:rPr>
          <w:b/>
          <w:sz w:val="20"/>
        </w:rPr>
        <w:t>Customer finding — tuned-worker:</w:t>
      </w:r>
      <w:r>
        <w:rPr>
          <w:sz w:val="20"/>
        </w:rPr>
        <w:t xml:space="preserve"> The tuned-worker sets </w:t>
      </w:r>
      <w:r>
        <w:rPr>
          <w:rFonts w:ascii="Red Hat Mono" w:hAnsi="Red Hat Mono"/>
          <w:color w:val="CC0000"/>
          <w:sz w:val="18"/>
        </w:rPr>
        <w:t>topologyManagerPolicy: best-effort</w:t>
      </w:r>
      <w:r>
        <w:rPr>
          <w:sz w:val="20"/>
        </w:rPr>
        <w:t xml:space="preserve"> but leaves </w:t>
      </w:r>
      <w:r>
        <w:rPr>
          <w:rFonts w:ascii="Red Hat Mono" w:hAnsi="Red Hat Mono"/>
          <w:color w:val="CC0000"/>
          <w:sz w:val="18"/>
        </w:rPr>
        <w:t>cpuManagerPolicy: none</w:t>
      </w:r>
      <w:r>
        <w:rPr>
          <w:sz w:val="20"/>
        </w:rPr>
        <w:t xml:space="preserve">. This combination has no meaningful effect on pod placement. To make it useful, either set </w:t>
      </w:r>
      <w:r>
        <w:rPr>
          <w:rFonts w:ascii="Red Hat Mono" w:hAnsi="Red Hat Mono"/>
          <w:color w:val="CC0000"/>
          <w:sz w:val="18"/>
        </w:rPr>
        <w:t>cpuManagerPolicy: static</w:t>
      </w:r>
      <w:r>
        <w:rPr>
          <w:sz w:val="20"/>
        </w:rPr>
        <w:t xml:space="preserve"> or deploy a PerformanceProfile.</w:t>
      </w:r>
    </w:p>
    <w:p>
      <w:pPr>
        <w:ind w:left="283"/>
      </w:pPr>
      <w:r>
        <w:rPr>
          <w:b/>
          <w:sz w:val="20"/>
        </w:rPr>
        <w:t>Per-archetype:</w:t>
      </w:r>
    </w:p>
    <w:tbl>
      <w:tblPr>
        <w:tblStyle w:val="TableGrid"/>
        <w:tblW w:type="pct" w:w="5000"/>
        <w:jc w:val="center"/>
        <w:tblLook w:firstColumn="1" w:firstRow="1" w:lastColumn="0" w:lastRow="0" w:noHBand="0" w:noVBand="1" w:val="04A0"/>
      </w:tblPr>
      <w:tblGrid>
        <w:gridCol w:w="4536"/>
        <w:gridCol w:w="4536"/>
      </w:tblGrid>
      <w:tr>
        <w:trPr>
          <w:cantSplit w:val="true"/>
          <w:tblHeader w:val="true"/>
        </w:trPr>
        <w:tc>
          <w:tcPr>
            <w:tcW w:type="dxa" w:w="4536"/>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Archetype</w:t>
            </w:r>
          </w:p>
        </w:tc>
        <w:tc>
          <w:tcPr>
            <w:tcW w:type="dxa" w:w="4536"/>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Recommendation</w:t>
            </w:r>
          </w:p>
        </w:tc>
      </w:tr>
      <w:tr>
        <w:trPr>
          <w:cantSplit w:val="true"/>
        </w:trPr>
        <w:tc>
          <w:tcPr>
            <w:tcW w:type="dxa" w:w="4536"/>
            <w:vAlign w:val="center"/>
            <w:tcMar>
              <w:top w:w="60" w:type="dxa"/>
              <w:bottom w:w="60" w:type="dxa"/>
              <w:left w:w="100" w:type="dxa"/>
              <w:right w:w="100" w:type="dxa"/>
            </w:tcMar>
          </w:tcPr>
          <w:p>
            <w:pPr>
              <w:spacing w:before="60" w:after="60"/>
              <w:jc w:val="center"/>
            </w:pPr>
            <w:r/>
            <w:r>
              <w:rPr>
                <w:rFonts w:ascii="Red Hat Text" w:hAnsi="Red Hat Text"/>
                <w:sz w:val="16"/>
              </w:rPr>
              <w:t>Master VM</w:t>
            </w:r>
          </w:p>
        </w:tc>
        <w:tc>
          <w:tcPr>
            <w:tcW w:type="dxa" w:w="4536"/>
            <w:vAlign w:val="center"/>
            <w:tcMar>
              <w:top w:w="60" w:type="dxa"/>
              <w:bottom w:w="60" w:type="dxa"/>
              <w:left w:w="100" w:type="dxa"/>
              <w:right w:w="100" w:type="dxa"/>
            </w:tcMar>
          </w:tcPr>
          <w:p>
            <w:pPr>
              <w:spacing w:before="60" w:after="60"/>
              <w:jc w:val="left"/>
            </w:pPr>
            <w:r/>
            <w:r>
              <w:rPr>
                <w:rFonts w:ascii="Red Hat Text" w:hAnsi="Red Hat Text"/>
                <w:sz w:val="16"/>
              </w:rPr>
              <w:t>none — VMs present a flat topology to the guest</w:t>
            </w:r>
          </w:p>
        </w:tc>
      </w:tr>
      <w:tr>
        <w:trPr>
          <w:cantSplit w:val="true"/>
        </w:trPr>
        <w:tc>
          <w:tcPr>
            <w:tcW w:type="dxa" w:w="4536"/>
            <w:vAlign w:val="center"/>
            <w:tcMar>
              <w:top w:w="60" w:type="dxa"/>
              <w:bottom w:w="60" w:type="dxa"/>
              <w:left w:w="100" w:type="dxa"/>
              <w:right w:w="100" w:type="dxa"/>
            </w:tcMar>
            <w:shd w:fill="F5F5F5"/>
          </w:tcPr>
          <w:p>
            <w:pPr>
              <w:spacing w:before="60" w:after="60"/>
              <w:jc w:val="center"/>
            </w:pPr>
            <w:r/>
            <w:r>
              <w:rPr>
                <w:rFonts w:ascii="Red Hat Text" w:hAnsi="Red Hat Text"/>
                <w:sz w:val="16"/>
              </w:rPr>
              <w:t>Infra VM</w:t>
            </w:r>
          </w:p>
        </w:tc>
        <w:tc>
          <w:tcPr>
            <w:tcW w:type="dxa" w:w="4536"/>
            <w:vAlign w:val="center"/>
            <w:tcMar>
              <w:top w:w="60" w:type="dxa"/>
              <w:bottom w:w="60" w:type="dxa"/>
              <w:left w:w="100" w:type="dxa"/>
              <w:right w:w="100" w:type="dxa"/>
            </w:tcMar>
            <w:shd w:fill="F5F5F5"/>
          </w:tcPr>
          <w:p>
            <w:pPr>
              <w:spacing w:before="60" w:after="60"/>
              <w:jc w:val="center"/>
            </w:pPr>
            <w:r/>
            <w:r>
              <w:rPr>
                <w:rFonts w:ascii="Red Hat Text" w:hAnsi="Red Hat Text"/>
                <w:sz w:val="16"/>
              </w:rPr>
              <w:t>none — same reason</w:t>
            </w:r>
          </w:p>
        </w:tc>
      </w:tr>
      <w:tr>
        <w:trPr>
          <w:cantSplit w:val="true"/>
        </w:trPr>
        <w:tc>
          <w:tcPr>
            <w:tcW w:type="dxa" w:w="4536"/>
            <w:vAlign w:val="center"/>
            <w:tcMar>
              <w:top w:w="60" w:type="dxa"/>
              <w:bottom w:w="60" w:type="dxa"/>
              <w:left w:w="100" w:type="dxa"/>
              <w:right w:w="100" w:type="dxa"/>
            </w:tcMar>
          </w:tcPr>
          <w:p>
            <w:pPr>
              <w:spacing w:before="60" w:after="60"/>
              <w:jc w:val="center"/>
            </w:pPr>
            <w:r/>
            <w:r>
              <w:rPr>
                <w:rFonts w:ascii="Red Hat Text" w:hAnsi="Red Hat Text"/>
                <w:sz w:val="16"/>
              </w:rPr>
              <w:t>Worker BM</w:t>
            </w:r>
          </w:p>
        </w:tc>
        <w:tc>
          <w:tcPr>
            <w:tcW w:type="dxa" w:w="4536"/>
            <w:vAlign w:val="center"/>
            <w:tcMar>
              <w:top w:w="60" w:type="dxa"/>
              <w:bottom w:w="60" w:type="dxa"/>
              <w:left w:w="100" w:type="dxa"/>
              <w:right w:w="100" w:type="dxa"/>
            </w:tcMar>
          </w:tcPr>
          <w:p>
            <w:pPr>
              <w:spacing w:before="60" w:after="60"/>
              <w:jc w:val="left"/>
            </w:pPr>
            <w:r/>
            <w:r>
              <w:rPr>
                <w:rFonts w:ascii="Red Hat Text" w:hAnsi="Red Hat Text"/>
                <w:sz w:val="16"/>
              </w:rPr>
              <w:t>best-effort or restricted only if also setting cpuManagerPolicy: static. Otherwise leave at none.</w:t>
            </w:r>
          </w:p>
        </w:tc>
      </w:tr>
    </w:tbl>
    <w:p>
      <w:pPr>
        <w:pStyle w:val="Heading2"/>
        <w:ind w:left="283"/>
      </w:pPr>
      <w:r>
        <w:t>cpuManagerPolicy</w:t>
      </w:r>
    </w:p>
    <w:tbl>
      <w:tblPr>
        <w:tblStyle w:val="TableGrid"/>
        <w:tblW w:type="pct" w:w="5000"/>
        <w:jc w:val="center"/>
        <w:tblLook w:firstColumn="1" w:firstRow="1" w:lastColumn="0" w:lastRow="0" w:noHBand="0" w:noVBand="1" w:val="04A0"/>
      </w:tblPr>
      <w:tblGrid>
        <w:gridCol w:w="3024"/>
        <w:gridCol w:w="3024"/>
        <w:gridCol w:w="3024"/>
      </w:tblGrid>
      <w:tr>
        <w:trPr>
          <w:cantSplit w:val="true"/>
          <w:tblHeader w:val="true"/>
        </w:trPr>
        <w:tc>
          <w:tcPr>
            <w:tcW w:type="dxa" w:w="302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Policy</w:t>
            </w:r>
          </w:p>
        </w:tc>
        <w:tc>
          <w:tcPr>
            <w:tcW w:type="dxa" w:w="302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Behavior</w:t>
            </w:r>
          </w:p>
        </w:tc>
        <w:tc>
          <w:tcPr>
            <w:tcW w:type="dxa" w:w="302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Use case</w:t>
            </w:r>
          </w:p>
        </w:tc>
      </w:tr>
      <w:tr>
        <w:trPr>
          <w:cantSplit w:val="true"/>
        </w:trPr>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none (default)</w:t>
            </w:r>
          </w:p>
        </w:tc>
        <w:tc>
          <w:tcPr>
            <w:tcW w:type="dxa" w:w="3024"/>
            <w:vAlign w:val="center"/>
            <w:tcMar>
              <w:top w:w="60" w:type="dxa"/>
              <w:bottom w:w="60" w:type="dxa"/>
              <w:left w:w="100" w:type="dxa"/>
              <w:right w:w="100" w:type="dxa"/>
            </w:tcMar>
          </w:tcPr>
          <w:p>
            <w:pPr>
              <w:spacing w:before="60" w:after="60"/>
              <w:jc w:val="left"/>
            </w:pPr>
            <w:r/>
            <w:r>
              <w:rPr>
                <w:rFonts w:ascii="Red Hat Text" w:hAnsi="Red Hat Text"/>
                <w:sz w:val="16"/>
              </w:rPr>
              <w:t>CFS scheduler distributes CPU time. Pods share cores.</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General workloads</w:t>
            </w:r>
          </w:p>
        </w:tc>
      </w:tr>
      <w:tr>
        <w:trPr>
          <w:cantSplit w:val="true"/>
        </w:trPr>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static</w:t>
            </w:r>
          </w:p>
        </w:tc>
        <w:tc>
          <w:tcPr>
            <w:tcW w:type="dxa" w:w="3024"/>
            <w:vAlign w:val="center"/>
            <w:tcMar>
              <w:top w:w="60" w:type="dxa"/>
              <w:bottom w:w="60" w:type="dxa"/>
              <w:left w:w="100" w:type="dxa"/>
              <w:right w:w="100" w:type="dxa"/>
            </w:tcMar>
            <w:shd w:fill="F5F5F5"/>
          </w:tcPr>
          <w:p>
            <w:pPr>
              <w:spacing w:before="60" w:after="60"/>
              <w:jc w:val="left"/>
            </w:pPr>
            <w:r/>
            <w:r>
              <w:rPr>
                <w:rFonts w:ascii="Red Hat Text" w:hAnsi="Red Hat Text"/>
                <w:sz w:val="16"/>
              </w:rPr>
              <w:t>Guaranteed QoS pods with integer CPU requests get exclusive cores. Other pods share remaining cores.</w:t>
            </w:r>
          </w:p>
        </w:tc>
        <w:tc>
          <w:tcPr>
            <w:tcW w:type="dxa" w:w="3024"/>
            <w:vAlign w:val="center"/>
            <w:tcMar>
              <w:top w:w="60" w:type="dxa"/>
              <w:bottom w:w="60" w:type="dxa"/>
              <w:left w:w="100" w:type="dxa"/>
              <w:right w:w="100" w:type="dxa"/>
            </w:tcMar>
            <w:shd w:fill="F5F5F5"/>
          </w:tcPr>
          <w:p>
            <w:pPr>
              <w:spacing w:before="60" w:after="60"/>
              <w:jc w:val="left"/>
            </w:pPr>
            <w:r/>
            <w:r>
              <w:rPr>
                <w:rFonts w:ascii="Red Hat Text" w:hAnsi="Red Hat Text"/>
                <w:sz w:val="16"/>
              </w:rPr>
              <w:t>Latency-sensitive, deterministic performance</w:t>
            </w:r>
          </w:p>
        </w:tc>
      </w:tr>
    </w:tbl>
    <w:p>
      <w:pPr>
        <w:ind w:left="283"/>
      </w:pPr>
      <w:r>
        <w:rPr>
          <w:sz w:val="20"/>
        </w:rPr>
        <w:t xml:space="preserve">**When to use </w:t>
      </w:r>
      <w:r>
        <w:rPr>
          <w:rFonts w:ascii="Red Hat Mono" w:hAnsi="Red Hat Mono"/>
          <w:color w:val="CC0000"/>
          <w:sz w:val="18"/>
        </w:rPr>
        <w:t>static</w:t>
      </w:r>
      <w:r>
        <w:rPr>
          <w:sz w:val="20"/>
        </w:rPr>
        <w:t xml:space="preserve">:** When pods need guaranteed, exclusive CPU cores without preemption. Setting </w:t>
      </w:r>
      <w:r>
        <w:rPr>
          <w:rFonts w:ascii="Red Hat Mono" w:hAnsi="Red Hat Mono"/>
          <w:color w:val="CC0000"/>
          <w:sz w:val="18"/>
        </w:rPr>
        <w:t>cpuManagerPolicy: static</w:t>
      </w:r>
      <w:r>
        <w:rPr>
          <w:sz w:val="20"/>
        </w:rPr>
        <w:t xml:space="preserve"> via KubeletConfig gives pods exclusive cores, but you cannot control </w:t>
      </w:r>
      <w:r>
        <w:rPr>
          <w:b/>
          <w:sz w:val="20"/>
        </w:rPr>
        <w:t>which</w:t>
      </w:r>
      <w:r>
        <w:rPr>
          <w:sz w:val="20"/>
        </w:rPr>
        <w:t xml:space="preserve"> cores are reserved for system processes — the kubelet picks them. To control which cores go to system vs workloads, use a PerformanceProfile.</w:t>
      </w:r>
    </w:p>
    <w:p>
      <w:pPr>
        <w:pStyle w:val="Heading2"/>
        <w:ind w:left="283"/>
      </w:pPr>
      <w:r>
        <w:t>CPU pinning — should you pin system CPUs?</w:t>
      </w:r>
    </w:p>
    <w:p>
      <w:pPr>
        <w:ind w:left="283"/>
      </w:pPr>
      <w:r>
        <w:rPr>
          <w:sz w:val="20"/>
        </w:rPr>
        <w:t xml:space="preserve">CPU pinning for system processes is configured via </w:t>
      </w:r>
      <w:r>
        <w:rPr>
          <w:b/>
          <w:sz w:val="20"/>
        </w:rPr>
        <w:t>PerformanceProfile</w:t>
      </w:r>
      <w:r>
        <w:rPr>
          <w:sz w:val="20"/>
        </w:rPr>
        <w:t>, not directly in KubeletConfig. The PerformanceProfile divides CPUs into:</w:t>
      </w:r>
    </w:p>
    <w:p>
      <w:pPr>
        <w:pStyle w:val="ListBullet"/>
        <w:ind w:left="850"/>
      </w:pPr>
      <w:r>
        <w:rPr>
          <w:b/>
          <w:sz w:val="20"/>
        </w:rPr>
        <w:t>reserved</w:t>
      </w:r>
      <w:r>
        <w:rPr>
          <w:sz w:val="20"/>
        </w:rPr>
        <w:t xml:space="preserve"> — System processes (kubelet, CRI-O, systemd, kernel threads, IRQ handlers)</w:t>
      </w:r>
    </w:p>
    <w:p>
      <w:pPr>
        <w:pStyle w:val="ListBullet"/>
        <w:ind w:left="850"/>
      </w:pPr>
      <w:r>
        <w:rPr>
          <w:b/>
          <w:sz w:val="20"/>
        </w:rPr>
        <w:t>isolated</w:t>
      </w:r>
      <w:r>
        <w:rPr>
          <w:sz w:val="20"/>
        </w:rPr>
        <w:t xml:space="preserve"> — Workload pods with Guaranteed QoS and integer CPU requests</w:t>
      </w:r>
    </w:p>
    <w:p>
      <w:pPr>
        <w:ind w:left="283"/>
      </w:pPr>
      <w:r>
        <w:rPr>
          <w:b/>
          <w:sz w:val="20"/>
        </w:rPr>
        <w:t>Example for a 56-core, 2-socket node with hyperthreading:</w:t>
      </w:r>
    </w:p>
    <w:p>
      <w:pPr>
        <w:ind w:left="283"/>
      </w:pPr>
      <w:r>
        <w:rPr>
          <w:sz w:val="20"/>
        </w:rPr>
        <w:t xml:space="preserve">Reserved CPUs must include </w:t>
      </w:r>
      <w:r>
        <w:rPr>
          <w:b/>
          <w:sz w:val="20"/>
        </w:rPr>
        <w:t>whole physical cores</w:t>
      </w:r>
      <w:r>
        <w:rPr>
          <w:sz w:val="20"/>
        </w:rPr>
        <w:t xml:space="preserve"> (both hyperthread siblings). Use </w:t>
      </w:r>
      <w:r>
        <w:rPr>
          <w:rFonts w:ascii="Red Hat Mono" w:hAnsi="Red Hat Mono"/>
          <w:color w:val="CC0000"/>
          <w:sz w:val="18"/>
        </w:rPr>
        <w:t>lscpu -p</w:t>
      </w:r>
      <w:r>
        <w:rPr>
          <w:sz w:val="20"/>
        </w:rPr>
        <w:t xml:space="preserve"> on the node to identify sibling pairs. On a typical dual-socket 56-core system with HT, there are 112 logical CPUs. The example below assumes cores 0-3 and 28-31 map to physical cores with siblings 56-59 and 84-87:</w:t>
      </w:r>
    </w:p>
    <w:p>
      <w:pPr>
        <w:ind w:left="850"/>
        <w:shd w:fill="F0F0F0"/>
      </w:pPr>
      <w:r>
        <w:rPr>
          <w:rFonts w:ascii="Red Hat Mono" w:hAnsi="Red Hat Mono"/>
          <w:color w:val="333333"/>
          <w:sz w:val="16"/>
        </w:rPr>
        <w:t>apiVersion: performance.openshift.io/v2</w:t>
        <w:br/>
        <w:t>kind: PerformanceProfile</w:t>
        <w:br/>
        <w:t>metadata:</w:t>
        <w:br/>
        <w:t xml:space="preserve">  name: worker-bm-tuned</w:t>
        <w:br/>
        <w:t>spec:</w:t>
        <w:br/>
        <w:t xml:space="preserve">  cpu:</w:t>
        <w:br/>
        <w:t xml:space="preserve">    reserved: "0-3,28-31,56-59,84-87"   # 8 physical cores (16 logical) across both sockets</w:t>
        <w:br/>
        <w:t xml:space="preserve">    isolated: "4-27,32-55,60-83,88-111"  # remaining cores for workloads</w:t>
        <w:br/>
        <w:t xml:space="preserve">  numa:</w:t>
        <w:br/>
        <w:t xml:space="preserve">    topologyPolicy: "restricted"</w:t>
        <w:br/>
        <w:t xml:space="preserve">  nodeSelector:</w:t>
        <w:br/>
        <w:t xml:space="preserve">    node-role.kubernetes.io/worker-tuned: ""</w:t>
        <w:br/>
        <w:t xml:space="preserve">  machineConfigPoolSelector:</w:t>
        <w:br/>
        <w:t xml:space="preserve">    matchLabels:</w:t>
        <w:br/>
        <w:t xml:space="preserve">      pools.operator.machineconfiguration.openshift.io/worker-tuned: ""</w:t>
      </w:r>
    </w:p>
    <w:p>
      <w:pPr>
        <w:ind w:left="283"/>
      </w:pPr>
      <w:r>
        <w:rPr>
          <w:b/>
          <w:sz w:val="20"/>
        </w:rPr>
        <w:t>How many cores to reserve?</w:t>
      </w:r>
    </w:p>
    <w:tbl>
      <w:tblPr>
        <w:tblStyle w:val="TableGrid"/>
        <w:tblW w:type="pct" w:w="5000"/>
        <w:jc w:val="center"/>
        <w:tblLook w:firstColumn="1" w:firstRow="1" w:lastColumn="0" w:lastRow="0" w:noHBand="0" w:noVBand="1" w:val="04A0"/>
      </w:tblPr>
      <w:tblGrid>
        <w:gridCol w:w="4536"/>
        <w:gridCol w:w="4536"/>
      </w:tblGrid>
      <w:tr>
        <w:trPr>
          <w:cantSplit w:val="true"/>
          <w:tblHeader w:val="true"/>
        </w:trPr>
        <w:tc>
          <w:tcPr>
            <w:tcW w:type="dxa" w:w="4536"/>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Factor</w:t>
            </w:r>
          </w:p>
        </w:tc>
        <w:tc>
          <w:tcPr>
            <w:tcW w:type="dxa" w:w="4536"/>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Guidance</w:t>
            </w:r>
          </w:p>
        </w:tc>
      </w:tr>
      <w:tr>
        <w:trPr>
          <w:cantSplit w:val="true"/>
        </w:trPr>
        <w:tc>
          <w:tcPr>
            <w:tcW w:type="dxa" w:w="4536"/>
            <w:vAlign w:val="center"/>
            <w:tcMar>
              <w:top w:w="60" w:type="dxa"/>
              <w:bottom w:w="60" w:type="dxa"/>
              <w:left w:w="100" w:type="dxa"/>
              <w:right w:w="100" w:type="dxa"/>
            </w:tcMar>
          </w:tcPr>
          <w:p>
            <w:pPr>
              <w:spacing w:before="60" w:after="60"/>
              <w:jc w:val="center"/>
            </w:pPr>
            <w:r/>
            <w:r>
              <w:rPr>
                <w:rFonts w:ascii="Red Hat Text" w:hAnsi="Red Hat Text"/>
                <w:sz w:val="16"/>
              </w:rPr>
              <w:t>Base kubelet/CRI-O</w:t>
            </w:r>
          </w:p>
        </w:tc>
        <w:tc>
          <w:tcPr>
            <w:tcW w:type="dxa" w:w="4536"/>
            <w:vAlign w:val="center"/>
            <w:tcMar>
              <w:top w:w="60" w:type="dxa"/>
              <w:bottom w:w="60" w:type="dxa"/>
              <w:left w:w="100" w:type="dxa"/>
              <w:right w:w="100" w:type="dxa"/>
            </w:tcMar>
          </w:tcPr>
          <w:p>
            <w:pPr>
              <w:spacing w:before="60" w:after="60"/>
              <w:jc w:val="left"/>
            </w:pPr>
            <w:r/>
            <w:r>
              <w:rPr>
                <w:rFonts w:ascii="Red Hat Text" w:hAnsi="Red Hat Text"/>
                <w:sz w:val="16"/>
              </w:rPr>
              <w:t>4-6 cores (Case 03703812 showed kubelet consuming 6+ cores under GC pressure)</w:t>
            </w:r>
          </w:p>
        </w:tc>
      </w:tr>
      <w:tr>
        <w:trPr>
          <w:cantSplit w:val="true"/>
        </w:trPr>
        <w:tc>
          <w:tcPr>
            <w:tcW w:type="dxa" w:w="4536"/>
            <w:vAlign w:val="center"/>
            <w:tcMar>
              <w:top w:w="60" w:type="dxa"/>
              <w:bottom w:w="60" w:type="dxa"/>
              <w:left w:w="100" w:type="dxa"/>
              <w:right w:w="100" w:type="dxa"/>
            </w:tcMar>
            <w:shd w:fill="F5F5F5"/>
          </w:tcPr>
          <w:p>
            <w:pPr>
              <w:spacing w:before="60" w:after="60"/>
              <w:jc w:val="center"/>
            </w:pPr>
            <w:r/>
            <w:r>
              <w:rPr>
                <w:rFonts w:ascii="Red Hat Text" w:hAnsi="Red Hat Text"/>
                <w:sz w:val="16"/>
              </w:rPr>
              <w:t>IRQ handling</w:t>
            </w:r>
          </w:p>
        </w:tc>
        <w:tc>
          <w:tcPr>
            <w:tcW w:type="dxa" w:w="4536"/>
            <w:vAlign w:val="center"/>
            <w:tcMar>
              <w:top w:w="60" w:type="dxa"/>
              <w:bottom w:w="60" w:type="dxa"/>
              <w:left w:w="100" w:type="dxa"/>
              <w:right w:w="100" w:type="dxa"/>
            </w:tcMar>
            <w:shd w:fill="F5F5F5"/>
          </w:tcPr>
          <w:p>
            <w:pPr>
              <w:spacing w:before="60" w:after="60"/>
              <w:jc w:val="center"/>
            </w:pPr>
            <w:r/>
            <w:r>
              <w:rPr>
                <w:rFonts w:ascii="Red Hat Text" w:hAnsi="Red Hat Text"/>
                <w:sz w:val="16"/>
              </w:rPr>
              <w:t>1-2 cores per high-speed NIC</w:t>
            </w:r>
          </w:p>
        </w:tc>
      </w:tr>
      <w:tr>
        <w:trPr>
          <w:cantSplit w:val="true"/>
        </w:trPr>
        <w:tc>
          <w:tcPr>
            <w:tcW w:type="dxa" w:w="4536"/>
            <w:vAlign w:val="center"/>
            <w:tcMar>
              <w:top w:w="60" w:type="dxa"/>
              <w:bottom w:w="60" w:type="dxa"/>
              <w:left w:w="100" w:type="dxa"/>
              <w:right w:w="100" w:type="dxa"/>
            </w:tcMar>
          </w:tcPr>
          <w:p>
            <w:pPr>
              <w:spacing w:before="60" w:after="60"/>
              <w:jc w:val="center"/>
            </w:pPr>
            <w:r/>
            <w:r>
              <w:rPr>
                <w:rFonts w:ascii="Red Hat Text" w:hAnsi="Red Hat Text"/>
                <w:sz w:val="16"/>
              </w:rPr>
              <w:t>systemd + kernel threads</w:t>
            </w:r>
          </w:p>
        </w:tc>
        <w:tc>
          <w:tcPr>
            <w:tcW w:type="dxa" w:w="4536"/>
            <w:vAlign w:val="center"/>
            <w:tcMar>
              <w:top w:w="60" w:type="dxa"/>
              <w:bottom w:w="60" w:type="dxa"/>
              <w:left w:w="100" w:type="dxa"/>
              <w:right w:w="100" w:type="dxa"/>
            </w:tcMar>
          </w:tcPr>
          <w:p>
            <w:pPr>
              <w:spacing w:before="60" w:after="60"/>
              <w:jc w:val="center"/>
            </w:pPr>
            <w:r/>
            <w:r>
              <w:rPr>
                <w:rFonts w:ascii="Red Hat Text" w:hAnsi="Red Hat Text"/>
                <w:sz w:val="16"/>
              </w:rPr>
              <w:t>1-2 cores</w:t>
            </w:r>
          </w:p>
        </w:tc>
      </w:tr>
      <w:tr>
        <w:trPr>
          <w:cantSplit w:val="true"/>
        </w:trPr>
        <w:tc>
          <w:tcPr>
            <w:tcW w:type="dxa" w:w="4536"/>
            <w:vAlign w:val="center"/>
            <w:tcMar>
              <w:top w:w="60" w:type="dxa"/>
              <w:bottom w:w="60" w:type="dxa"/>
              <w:left w:w="100" w:type="dxa"/>
              <w:right w:w="100" w:type="dxa"/>
            </w:tcMar>
            <w:shd w:fill="F5F5F5"/>
          </w:tcPr>
          <w:p>
            <w:pPr>
              <w:spacing w:before="60" w:after="60"/>
              <w:jc w:val="center"/>
            </w:pPr>
            <w:r/>
            <w:r>
              <w:rPr>
                <w:rFonts w:ascii="Red Hat Text" w:hAnsi="Red Hat Text"/>
                <w:sz w:val="16"/>
              </w:rPr>
              <w:t>Total recommended</w:t>
            </w:r>
          </w:p>
        </w:tc>
        <w:tc>
          <w:tcPr>
            <w:tcW w:type="dxa" w:w="4536"/>
            <w:vAlign w:val="center"/>
            <w:tcMar>
              <w:top w:w="60" w:type="dxa"/>
              <w:bottom w:w="60" w:type="dxa"/>
              <w:left w:w="100" w:type="dxa"/>
              <w:right w:w="100" w:type="dxa"/>
            </w:tcMar>
            <w:shd w:fill="F5F5F5"/>
          </w:tcPr>
          <w:p>
            <w:pPr>
              <w:spacing w:before="60" w:after="60"/>
              <w:jc w:val="left"/>
            </w:pPr>
            <w:r/>
            <w:r>
              <w:rPr>
                <w:rFonts w:ascii="Red Hat Text" w:hAnsi="Red Hat Text"/>
                <w:sz w:val="16"/>
              </w:rPr>
              <w:t>6-10 physical cores for high-density + network-heavy BM</w:t>
            </w:r>
          </w:p>
        </w:tc>
      </w:tr>
    </w:tbl>
    <w:p>
      <w:pPr>
        <w:ind w:left="283"/>
      </w:pPr>
      <w:r>
        <w:rPr>
          <w:b/>
          <w:sz w:val="20"/>
        </w:rPr>
        <w:t>Which cores to reserve?</w:t>
      </w:r>
    </w:p>
    <w:p>
      <w:pPr>
        <w:pStyle w:val="ListBullet"/>
        <w:ind w:left="850"/>
      </w:pPr>
      <w:r>
        <w:rPr>
          <w:sz w:val="20"/>
        </w:rPr>
        <w:t xml:space="preserve">Reserve cores from </w:t>
      </w:r>
      <w:r>
        <w:rPr>
          <w:b/>
          <w:sz w:val="20"/>
        </w:rPr>
        <w:t>both NUMA nodes</w:t>
      </w:r>
      <w:r>
        <w:rPr>
          <w:sz w:val="20"/>
        </w:rPr>
        <w:t xml:space="preserve"> (e.g., 0-3 from socket 0, 28-31 from socket 1)</w:t>
      </w:r>
    </w:p>
    <w:p>
      <w:pPr>
        <w:pStyle w:val="ListBullet"/>
        <w:ind w:left="850"/>
      </w:pPr>
      <w:r>
        <w:rPr>
          <w:b/>
          <w:sz w:val="20"/>
        </w:rPr>
        <w:t>Include hyperthread siblings</w:t>
      </w:r>
      <w:r>
        <w:rPr>
          <w:sz w:val="20"/>
        </w:rPr>
        <w:t xml:space="preserve"> — reserving only one thread of a physical core leaves the sibling available for workloads, which defeats isolation</w:t>
      </w:r>
    </w:p>
    <w:p>
      <w:pPr>
        <w:pStyle w:val="ListBullet"/>
        <w:ind w:left="850"/>
      </w:pPr>
      <w:r>
        <w:rPr>
          <w:sz w:val="20"/>
        </w:rPr>
        <w:t>Core 0 always handles boot interrupts — always include it in reserved</w:t>
      </w:r>
    </w:p>
    <w:p>
      <w:pPr>
        <w:pStyle w:val="ListBullet"/>
        <w:ind w:left="850"/>
      </w:pPr>
      <w:r>
        <w:rPr>
          <w:sz w:val="20"/>
        </w:rPr>
        <w:t>If the NIC is attached to a specific NUMA node, include extra reserved cores from that node for DMA locality (see below)</w:t>
      </w:r>
    </w:p>
    <w:p>
      <w:pPr>
        <w:pStyle w:val="ListBullet"/>
        <w:ind w:left="850"/>
      </w:pPr>
      <w:r>
        <w:rPr>
          <w:sz w:val="20"/>
        </w:rPr>
        <w:t xml:space="preserve">Verify topology on the node: </w:t>
      </w:r>
      <w:r>
        <w:rPr>
          <w:rFonts w:ascii="Red Hat Mono" w:hAnsi="Red Hat Mono"/>
          <w:color w:val="CC0000"/>
          <w:sz w:val="18"/>
        </w:rPr>
        <w:t>oc debug node/&lt;node&gt; -- chroot /host lscpu -p</w:t>
      </w:r>
    </w:p>
    <w:p>
      <w:pPr>
        <w:pStyle w:val="ListBullet"/>
        <w:ind w:left="850"/>
      </w:pPr>
      <w:r>
        <w:rPr>
          <w:sz w:val="20"/>
        </w:rPr>
        <w:t xml:space="preserve">Check NIC NUMA affinity: </w:t>
      </w:r>
      <w:r>
        <w:rPr>
          <w:rFonts w:ascii="Red Hat Mono" w:hAnsi="Red Hat Mono"/>
          <w:color w:val="CC0000"/>
          <w:sz w:val="18"/>
        </w:rPr>
        <w:t>oc debug node/&lt;node&gt; -- chroot /host cat /sys/class/net/&lt;iface&gt;/device/numa_node</w:t>
      </w:r>
    </w:p>
    <w:p>
      <w:pPr>
        <w:ind w:left="283"/>
      </w:pPr>
      <w:r>
        <w:rPr>
          <w:b/>
          <w:sz w:val="20"/>
        </w:rPr>
        <w:t>NUMA, RSS, aRFS, and IRQ affinity — how they interact:</w:t>
      </w:r>
    </w:p>
    <w:p>
      <w:pPr>
        <w:ind w:left="283"/>
      </w:pPr>
      <w:r>
        <w:rPr>
          <w:sz w:val="20"/>
        </w:rPr>
        <w:t>Several kernel mechanisms work together for packet delivery:</w:t>
      </w:r>
    </w:p>
    <w:p>
      <w:pPr>
        <w:pStyle w:val="ListBullet"/>
        <w:ind w:left="850"/>
      </w:pPr>
      <w:r>
        <w:rPr>
          <w:b/>
          <w:sz w:val="20"/>
        </w:rPr>
        <w:t>RSS (Receive Side Scaling):</w:t>
      </w:r>
      <w:r>
        <w:rPr>
          <w:sz w:val="20"/>
        </w:rPr>
        <w:t xml:space="preserve"> The NIC distributes incoming packets across multiple RX queues using a header hash. Each queue is assigned to a CPU via its IRQ. RSS does not know which CPU runs the consuming thread.</w:t>
      </w:r>
    </w:p>
    <w:p>
      <w:pPr>
        <w:pStyle w:val="ListBullet"/>
        <w:ind w:left="850"/>
      </w:pPr>
      <w:r>
        <w:rPr>
          <w:b/>
          <w:sz w:val="20"/>
        </w:rPr>
        <w:t>RFS (Receive Flow Steering):</w:t>
      </w:r>
      <w:r>
        <w:rPr>
          <w:sz w:val="20"/>
        </w:rPr>
        <w:t xml:space="preserve"> Software-level steering in the softirq path. After RSS delivers a packet to an RX queue, RFS checks which CPU last accessed this flow's socket and steers the packet there.</w:t>
      </w:r>
    </w:p>
    <w:p>
      <w:pPr>
        <w:pStyle w:val="ListBullet"/>
        <w:ind w:left="850"/>
      </w:pPr>
      <w:r>
        <w:rPr>
          <w:b/>
          <w:sz w:val="20"/>
        </w:rPr>
        <w:t>aRFS (Accelerated RFS):</w:t>
      </w:r>
      <w:r>
        <w:rPr>
          <w:sz w:val="20"/>
        </w:rPr>
        <w:t xml:space="preserve"> Hardware-assisted RFS. The NIC itself steers packets to the CPU running the consuming thread. Requires </w:t>
      </w:r>
      <w:r>
        <w:rPr>
          <w:rFonts w:ascii="Red Hat Mono" w:hAnsi="Red Hat Mono"/>
          <w:color w:val="CC0000"/>
          <w:sz w:val="18"/>
        </w:rPr>
        <w:t>ntuple</w:t>
      </w:r>
      <w:r>
        <w:rPr>
          <w:sz w:val="20"/>
        </w:rPr>
        <w:t xml:space="preserve"> feature support.</w:t>
      </w:r>
    </w:p>
    <w:p>
      <w:pPr>
        <w:pStyle w:val="ListBullet"/>
        <w:ind w:left="850"/>
      </w:pPr>
      <w:r>
        <w:rPr>
          <w:b/>
          <w:sz w:val="20"/>
        </w:rPr>
        <w:t>DMA locality:</w:t>
      </w:r>
      <w:r>
        <w:rPr>
          <w:sz w:val="20"/>
        </w:rPr>
        <w:t xml:space="preserve"> The NIC's DMA ring buffers are allocated in the memory of the NUMA node where the NIC's PCIe root complex is attached. A CPU on the same NUMA node accesses local memory (~80ns); a cross-NUMA access adds ~70ns latency.</w:t>
      </w:r>
    </w:p>
    <w:p>
      <w:pPr>
        <w:ind w:left="283"/>
      </w:pPr>
      <w:r>
        <w:rPr>
          <w:sz w:val="20"/>
        </w:rPr>
        <w:t xml:space="preserve">When </w:t>
      </w:r>
      <w:r>
        <w:rPr>
          <w:rFonts w:ascii="Red Hat Mono" w:hAnsi="Red Hat Mono"/>
          <w:color w:val="CC0000"/>
          <w:sz w:val="18"/>
        </w:rPr>
        <w:t>globallyDisableIrqLoadBalancing: true</w:t>
      </w:r>
      <w:r>
        <w:rPr>
          <w:sz w:val="20"/>
        </w:rPr>
        <w:t xml:space="preserve"> is set via PerformanceProfile, hardware interrupts are pinned to reserved CPUs only. RSS queues deliver to reserved CPUs, and RFS/aRFS can still steer packets at the softirq layer. Reserving cores from the NIC's NUMA node ensures the initial hardware interrupt processing accesses DMA buffers with local memory latency, reducing the window for </w:t>
      </w:r>
      <w:r>
        <w:rPr>
          <w:rFonts w:ascii="Red Hat Mono" w:hAnsi="Red Hat Mono"/>
          <w:color w:val="CC0000"/>
          <w:sz w:val="18"/>
        </w:rPr>
        <w:t>rx_no_bufs</w:t>
      </w:r>
      <w:r>
        <w:rPr>
          <w:sz w:val="20"/>
        </w:rPr>
        <w:t xml:space="preserve"> drops under high packet rates.</w:t>
      </w:r>
    </w:p>
    <w:p>
      <w:pPr>
        <w:ind w:left="283"/>
      </w:pPr>
      <w:r>
        <w:rPr>
          <w:b/>
          <w:sz w:val="20"/>
        </w:rPr>
        <w:t>The "should we pin cores 0-5 to system?" question:</w:t>
      </w:r>
    </w:p>
    <w:p>
      <w:pPr>
        <w:ind w:left="283"/>
      </w:pPr>
      <w:r>
        <w:rPr>
          <w:sz w:val="20"/>
        </w:rPr>
        <w:t xml:space="preserve">Pinning 6 cores from one socket only (e.g., 0-5) puts all reserved cores on one NUMA node. If the NIC is on the other socket, IRQ handlers incur cross-NUMA DMA latency. Better: split across both sockets — e.g., </w:t>
      </w:r>
      <w:r>
        <w:rPr>
          <w:rFonts w:ascii="Red Hat Mono" w:hAnsi="Red Hat Mono"/>
          <w:color w:val="CC0000"/>
          <w:sz w:val="18"/>
        </w:rPr>
        <w:t>0-2,28-30</w:t>
      </w:r>
      <w:r>
        <w:rPr>
          <w:sz w:val="20"/>
        </w:rPr>
        <w:t xml:space="preserve"> (3 physical cores from each socket, plus their HT siblings).</w:t>
      </w:r>
    </w:p>
    <w:p>
      <w:pPr>
        <w:pStyle w:val="Heading2"/>
        <w:ind w:left="283"/>
      </w:pPr>
      <w:r>
        <w:t>PerformanceProfile interactions with existing KubeletConfig</w:t>
      </w:r>
    </w:p>
    <w:p>
      <w:pPr>
        <w:ind w:left="283"/>
      </w:pPr>
      <w:r>
        <w:rPr>
          <w:b/>
          <w:sz w:val="20"/>
        </w:rPr>
        <w:t>Warning:</w:t>
      </w:r>
      <w:r>
        <w:rPr>
          <w:sz w:val="20"/>
        </w:rPr>
        <w:t xml:space="preserve"> A PerformanceProfile generates its own KubeletConfig, MachineConfig, and TuneD resources behind the scenes. If the target MachineConfigPool already has a KubeletConfig CR, the two can conflict. Specifically:</w:t>
      </w:r>
    </w:p>
    <w:p>
      <w:pPr>
        <w:pStyle w:val="ListBullet"/>
        <w:ind w:left="850"/>
      </w:pPr>
      <w:r>
        <w:rPr>
          <w:sz w:val="20"/>
        </w:rPr>
        <w:t xml:space="preserve">The PerformanceProfile's generated KubeletConfig sets </w:t>
      </w:r>
      <w:r>
        <w:rPr>
          <w:rFonts w:ascii="Red Hat Mono" w:hAnsi="Red Hat Mono"/>
          <w:color w:val="CC0000"/>
          <w:sz w:val="18"/>
        </w:rPr>
        <w:t>cpuManagerPolicy: static</w:t>
      </w:r>
      <w:r>
        <w:rPr>
          <w:sz w:val="20"/>
        </w:rPr>
        <w:t xml:space="preserve"> and </w:t>
      </w:r>
      <w:r>
        <w:rPr>
          <w:rFonts w:ascii="Red Hat Mono" w:hAnsi="Red Hat Mono"/>
          <w:color w:val="CC0000"/>
          <w:sz w:val="18"/>
        </w:rPr>
        <w:t>topologyManagerPolicy</w:t>
      </w:r>
      <w:r>
        <w:rPr>
          <w:sz w:val="20"/>
        </w:rPr>
        <w:t xml:space="preserve"> based on </w:t>
      </w:r>
      <w:r>
        <w:rPr>
          <w:rFonts w:ascii="Red Hat Mono" w:hAnsi="Red Hat Mono"/>
          <w:color w:val="CC0000"/>
          <w:sz w:val="18"/>
        </w:rPr>
        <w:t>spec.numa.topologyPolicy</w:t>
      </w:r>
      <w:r>
        <w:rPr>
          <w:sz w:val="20"/>
        </w:rPr>
        <w:t>.</w:t>
      </w:r>
    </w:p>
    <w:p>
      <w:pPr>
        <w:pStyle w:val="ListBullet"/>
        <w:ind w:left="850"/>
      </w:pPr>
      <w:r>
        <w:rPr>
          <w:sz w:val="20"/>
        </w:rPr>
        <w:t xml:space="preserve">Its </w:t>
      </w:r>
      <w:r>
        <w:rPr>
          <w:rFonts w:ascii="Red Hat Mono" w:hAnsi="Red Hat Mono"/>
          <w:color w:val="CC0000"/>
          <w:sz w:val="18"/>
        </w:rPr>
        <w:t>reserved</w:t>
      </w:r>
      <w:r>
        <w:rPr>
          <w:sz w:val="20"/>
        </w:rPr>
        <w:t xml:space="preserve"> CPUs override any manual </w:t>
      </w:r>
      <w:r>
        <w:rPr>
          <w:rFonts w:ascii="Red Hat Mono" w:hAnsi="Red Hat Mono"/>
          <w:color w:val="CC0000"/>
          <w:sz w:val="18"/>
        </w:rPr>
        <w:t>systemReserved.cpu</w:t>
      </w:r>
      <w:r>
        <w:rPr>
          <w:sz w:val="20"/>
        </w:rPr>
        <w:t xml:space="preserve"> setting.</w:t>
      </w:r>
    </w:p>
    <w:p>
      <w:pPr>
        <w:pStyle w:val="ListBullet"/>
        <w:ind w:left="850"/>
      </w:pPr>
      <w:r>
        <w:rPr>
          <w:sz w:val="20"/>
        </w:rPr>
        <w:t xml:space="preserve">Additional kubelet settings must be placed in the </w:t>
      </w:r>
      <w:r>
        <w:rPr>
          <w:rFonts w:ascii="Red Hat Mono" w:hAnsi="Red Hat Mono"/>
          <w:color w:val="CC0000"/>
          <w:sz w:val="18"/>
        </w:rPr>
        <w:t>kubeletconfig.experimental</w:t>
      </w:r>
      <w:r>
        <w:rPr>
          <w:sz w:val="20"/>
        </w:rPr>
        <w:t xml:space="preserve"> annotation on the PerformanceProfile, not in a separate KubeletConfig CR.</w:t>
      </w:r>
    </w:p>
    <w:p>
      <w:pPr>
        <w:pStyle w:val="Heading2"/>
        <w:ind w:left="283"/>
      </w:pPr>
      <w:r>
        <w:t>When to use PerformanceProfile vs plain KubeletConfig</w:t>
      </w:r>
    </w:p>
    <w:tbl>
      <w:tblPr>
        <w:tblStyle w:val="TableGrid"/>
        <w:tblW w:type="pct" w:w="5000"/>
        <w:jc w:val="center"/>
        <w:tblLook w:firstColumn="1" w:firstRow="1" w:lastColumn="0" w:lastRow="0" w:noHBand="0" w:noVBand="1" w:val="04A0"/>
      </w:tblPr>
      <w:tblGrid>
        <w:gridCol w:w="3024"/>
        <w:gridCol w:w="3024"/>
        <w:gridCol w:w="3024"/>
      </w:tblGrid>
      <w:tr>
        <w:trPr>
          <w:cantSplit w:val="true"/>
          <w:tblHeader w:val="true"/>
        </w:trPr>
        <w:tc>
          <w:tcPr>
            <w:tcW w:type="dxa" w:w="302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Need</w:t>
            </w:r>
          </w:p>
        </w:tc>
        <w:tc>
          <w:tcPr>
            <w:tcW w:type="dxa" w:w="302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KubeletConfig alone</w:t>
            </w:r>
          </w:p>
        </w:tc>
        <w:tc>
          <w:tcPr>
            <w:tcW w:type="dxa" w:w="302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PerformanceProfile</w:t>
            </w:r>
          </w:p>
        </w:tc>
      </w:tr>
      <w:tr>
        <w:trPr>
          <w:cantSplit w:val="true"/>
        </w:trPr>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topologyManagerPolicy: best-effort</w:t>
            </w:r>
          </w:p>
        </w:tc>
        <w:tc>
          <w:tcPr>
            <w:tcW w:type="dxa" w:w="3024"/>
            <w:vAlign w:val="center"/>
            <w:tcMar>
              <w:top w:w="60" w:type="dxa"/>
              <w:bottom w:w="60" w:type="dxa"/>
              <w:left w:w="100" w:type="dxa"/>
              <w:right w:w="100" w:type="dxa"/>
            </w:tcMar>
          </w:tcPr>
          <w:p>
            <w:pPr>
              <w:spacing w:before="60" w:after="60"/>
              <w:jc w:val="left"/>
            </w:pPr>
            <w:r/>
            <w:r>
              <w:rPr>
                <w:rFonts w:ascii="Red Hat Text" w:hAnsi="Red Hat Text"/>
                <w:sz w:val="16"/>
              </w:rPr>
              <w:t>✓ (but needs cpuManagerPolicy: static to be useful)</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w:t>
            </w:r>
          </w:p>
        </w:tc>
      </w:tr>
      <w:tr>
        <w:trPr>
          <w:cantSplit w:val="true"/>
        </w:trPr>
        <w:tc>
          <w:tcPr>
            <w:tcW w:type="dxa" w:w="3024"/>
            <w:vAlign w:val="center"/>
            <w:tcMar>
              <w:top w:w="60" w:type="dxa"/>
              <w:bottom w:w="60" w:type="dxa"/>
              <w:left w:w="100" w:type="dxa"/>
              <w:right w:w="100" w:type="dxa"/>
            </w:tcMar>
            <w:shd w:fill="F5F5F5"/>
          </w:tcPr>
          <w:p>
            <w:pPr>
              <w:spacing w:before="60" w:after="60"/>
              <w:jc w:val="left"/>
            </w:pPr>
            <w:r/>
            <w:r>
              <w:rPr>
                <w:rFonts w:ascii="Red Hat Text" w:hAnsi="Red Hat Text"/>
                <w:sz w:val="16"/>
              </w:rPr>
              <w:t>cpuManagerPolicy: static (kubelet picks cores)</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 (sets automatically)</w:t>
            </w:r>
          </w:p>
        </w:tc>
      </w:tr>
      <w:tr>
        <w:trPr>
          <w:cantSplit w:val="true"/>
        </w:trPr>
        <w:tc>
          <w:tcPr>
            <w:tcW w:type="dxa" w:w="3024"/>
            <w:vAlign w:val="center"/>
            <w:tcMar>
              <w:top w:w="60" w:type="dxa"/>
              <w:bottom w:w="60" w:type="dxa"/>
              <w:left w:w="100" w:type="dxa"/>
              <w:right w:w="100" w:type="dxa"/>
            </w:tcMar>
          </w:tcPr>
          <w:p>
            <w:pPr>
              <w:spacing w:before="60" w:after="60"/>
              <w:jc w:val="left"/>
            </w:pPr>
            <w:r/>
            <w:r>
              <w:rPr>
                <w:rFonts w:ascii="Red Hat Text" w:hAnsi="Red Hat Text"/>
                <w:sz w:val="16"/>
              </w:rPr>
              <w:t>Control which cores are reserved vs isolated</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w:t>
            </w:r>
          </w:p>
        </w:tc>
      </w:tr>
      <w:tr>
        <w:trPr>
          <w:cantSplit w:val="true"/>
        </w:trPr>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IRQ affinity control</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w:t>
            </w:r>
          </w:p>
        </w:tc>
      </w:tr>
      <w:tr>
        <w:trPr>
          <w:cantSplit w:val="true"/>
        </w:trPr>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HugePages</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w:t>
            </w:r>
          </w:p>
        </w:tc>
      </w:tr>
      <w:tr>
        <w:trPr>
          <w:cantSplit w:val="true"/>
        </w:trPr>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Kernel RT patches</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w:t>
            </w:r>
          </w:p>
        </w:tc>
      </w:tr>
      <w:tr>
        <w:trPr>
          <w:cantSplit w:val="true"/>
        </w:trPr>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C-state restriction (boot args)</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w:t>
            </w:r>
          </w:p>
        </w:tc>
      </w:tr>
    </w:tbl>
    <w:p>
      <w:pPr>
        <w:pStyle w:val="Heading2"/>
        <w:ind w:left="283"/>
      </w:pPr>
      <w:r>
        <w:t>Trade-offs of CPU pinning</w:t>
      </w:r>
    </w:p>
    <w:tbl>
      <w:tblPr>
        <w:tblStyle w:val="TableGrid"/>
        <w:tblW w:type="pct" w:w="5000"/>
        <w:jc w:val="center"/>
        <w:tblLook w:firstColumn="1" w:firstRow="1" w:lastColumn="0" w:lastRow="0" w:noHBand="0" w:noVBand="1" w:val="04A0"/>
      </w:tblPr>
      <w:tblGrid>
        <w:gridCol w:w="4536"/>
        <w:gridCol w:w="4536"/>
      </w:tblGrid>
      <w:tr>
        <w:trPr>
          <w:cantSplit w:val="true"/>
          <w:tblHeader w:val="true"/>
        </w:trPr>
        <w:tc>
          <w:tcPr>
            <w:tcW w:type="dxa" w:w="4536"/>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Benefit</w:t>
            </w:r>
          </w:p>
        </w:tc>
        <w:tc>
          <w:tcPr>
            <w:tcW w:type="dxa" w:w="4536"/>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Cost</w:t>
            </w:r>
          </w:p>
        </w:tc>
      </w:tr>
      <w:tr>
        <w:trPr>
          <w:cantSplit w:val="true"/>
        </w:trPr>
        <w:tc>
          <w:tcPr>
            <w:tcW w:type="dxa" w:w="4536"/>
            <w:vAlign w:val="center"/>
            <w:tcMar>
              <w:top w:w="60" w:type="dxa"/>
              <w:bottom w:w="60" w:type="dxa"/>
              <w:left w:w="100" w:type="dxa"/>
              <w:right w:w="100" w:type="dxa"/>
            </w:tcMar>
          </w:tcPr>
          <w:p>
            <w:pPr>
              <w:spacing w:before="60" w:after="60"/>
              <w:jc w:val="center"/>
            </w:pPr>
            <w:r/>
            <w:r>
              <w:rPr>
                <w:rFonts w:ascii="Red Hat Text" w:hAnsi="Red Hat Text"/>
                <w:sz w:val="16"/>
              </w:rPr>
              <w:t>Predictable latency for pinned pods</w:t>
            </w:r>
          </w:p>
        </w:tc>
        <w:tc>
          <w:tcPr>
            <w:tcW w:type="dxa" w:w="4536"/>
            <w:vAlign w:val="center"/>
            <w:tcMar>
              <w:top w:w="60" w:type="dxa"/>
              <w:bottom w:w="60" w:type="dxa"/>
              <w:left w:w="100" w:type="dxa"/>
              <w:right w:w="100" w:type="dxa"/>
            </w:tcMar>
          </w:tcPr>
          <w:p>
            <w:pPr>
              <w:spacing w:before="60" w:after="60"/>
              <w:jc w:val="left"/>
            </w:pPr>
            <w:r/>
            <w:r>
              <w:rPr>
                <w:rFonts w:ascii="Red Hat Text" w:hAnsi="Red Hat Text"/>
                <w:sz w:val="16"/>
              </w:rPr>
              <w:t>Reduced core availability for non-pinned pods</w:t>
            </w:r>
          </w:p>
        </w:tc>
      </w:tr>
      <w:tr>
        <w:trPr>
          <w:cantSplit w:val="true"/>
        </w:trPr>
        <w:tc>
          <w:tcPr>
            <w:tcW w:type="dxa" w:w="4536"/>
            <w:vAlign w:val="center"/>
            <w:tcMar>
              <w:top w:w="60" w:type="dxa"/>
              <w:bottom w:w="60" w:type="dxa"/>
              <w:left w:w="100" w:type="dxa"/>
              <w:right w:w="100" w:type="dxa"/>
            </w:tcMar>
            <w:shd w:fill="F5F5F5"/>
          </w:tcPr>
          <w:p>
            <w:pPr>
              <w:spacing w:before="60" w:after="60"/>
              <w:jc w:val="left"/>
            </w:pPr>
            <w:r/>
            <w:r>
              <w:rPr>
                <w:rFonts w:ascii="Red Hat Text" w:hAnsi="Red Hat Text"/>
                <w:sz w:val="16"/>
              </w:rPr>
              <w:t>No CPU context switching for isolated cores</w:t>
            </w:r>
          </w:p>
        </w:tc>
        <w:tc>
          <w:tcPr>
            <w:tcW w:type="dxa" w:w="4536"/>
            <w:vAlign w:val="center"/>
            <w:tcMar>
              <w:top w:w="60" w:type="dxa"/>
              <w:bottom w:w="60" w:type="dxa"/>
              <w:left w:w="100" w:type="dxa"/>
              <w:right w:w="100" w:type="dxa"/>
            </w:tcMar>
            <w:shd w:fill="F5F5F5"/>
          </w:tcPr>
          <w:p>
            <w:pPr>
              <w:spacing w:before="60" w:after="60"/>
              <w:jc w:val="center"/>
            </w:pPr>
            <w:r/>
            <w:r>
              <w:rPr>
                <w:rFonts w:ascii="Red Hat Text" w:hAnsi="Red Hat Text"/>
                <w:sz w:val="16"/>
              </w:rPr>
              <w:t>More complex capacity planning</w:t>
            </w:r>
          </w:p>
        </w:tc>
      </w:tr>
      <w:tr>
        <w:trPr>
          <w:cantSplit w:val="true"/>
        </w:trPr>
        <w:tc>
          <w:tcPr>
            <w:tcW w:type="dxa" w:w="4536"/>
            <w:vAlign w:val="center"/>
            <w:tcMar>
              <w:top w:w="60" w:type="dxa"/>
              <w:bottom w:w="60" w:type="dxa"/>
              <w:left w:w="100" w:type="dxa"/>
              <w:right w:w="100" w:type="dxa"/>
            </w:tcMar>
          </w:tcPr>
          <w:p>
            <w:pPr>
              <w:spacing w:before="60" w:after="60"/>
              <w:jc w:val="center"/>
            </w:pPr>
            <w:r/>
            <w:r>
              <w:rPr>
                <w:rFonts w:ascii="Red Hat Text" w:hAnsi="Red Hat Text"/>
                <w:sz w:val="16"/>
              </w:rPr>
              <w:t>Better cache locality</w:t>
            </w:r>
          </w:p>
        </w:tc>
        <w:tc>
          <w:tcPr>
            <w:tcW w:type="dxa" w:w="4536"/>
            <w:vAlign w:val="center"/>
            <w:tcMar>
              <w:top w:w="60" w:type="dxa"/>
              <w:bottom w:w="60" w:type="dxa"/>
              <w:left w:w="100" w:type="dxa"/>
              <w:right w:w="100" w:type="dxa"/>
            </w:tcMar>
          </w:tcPr>
          <w:p>
            <w:pPr>
              <w:spacing w:before="60" w:after="60"/>
              <w:jc w:val="center"/>
            </w:pPr>
            <w:r/>
            <w:r>
              <w:rPr>
                <w:rFonts w:ascii="Red Hat Text" w:hAnsi="Red Hat Text"/>
                <w:sz w:val="16"/>
              </w:rPr>
              <w:t>Reserved cores may be underutilized</w:t>
            </w:r>
          </w:p>
        </w:tc>
      </w:tr>
      <w:tr>
        <w:trPr>
          <w:cantSplit w:val="true"/>
        </w:trPr>
        <w:tc>
          <w:tcPr>
            <w:tcW w:type="dxa" w:w="4536"/>
            <w:vAlign w:val="center"/>
            <w:tcMar>
              <w:top w:w="60" w:type="dxa"/>
              <w:bottom w:w="60" w:type="dxa"/>
              <w:left w:w="100" w:type="dxa"/>
              <w:right w:w="100" w:type="dxa"/>
            </w:tcMar>
            <w:shd w:fill="F5F5F5"/>
          </w:tcPr>
          <w:p>
            <w:pPr>
              <w:spacing w:before="60" w:after="60"/>
              <w:jc w:val="center"/>
            </w:pPr>
            <w:r/>
            <w:r>
              <w:rPr>
                <w:rFonts w:ascii="Red Hat Text" w:hAnsi="Red Hat Text"/>
                <w:sz w:val="16"/>
              </w:rPr>
              <w:t>Required for DPDK/SR-IOV</w:t>
            </w:r>
          </w:p>
        </w:tc>
        <w:tc>
          <w:tcPr>
            <w:tcW w:type="dxa" w:w="4536"/>
            <w:vAlign w:val="center"/>
            <w:tcMar>
              <w:top w:w="60" w:type="dxa"/>
              <w:bottom w:w="60" w:type="dxa"/>
              <w:left w:w="100" w:type="dxa"/>
              <w:right w:w="100" w:type="dxa"/>
            </w:tcMar>
            <w:shd w:fill="F5F5F5"/>
          </w:tcPr>
          <w:p>
            <w:pPr>
              <w:spacing w:before="60" w:after="60"/>
              <w:jc w:val="left"/>
            </w:pPr>
            <w:r/>
            <w:r>
              <w:rPr>
                <w:rFonts w:ascii="Red Hat Text" w:hAnsi="Red Hat Text"/>
                <w:sz w:val="16"/>
              </w:rPr>
              <w:t>PerformanceProfile is a heavier operational change, can conflict with existing KubeletConfig</w:t>
            </w:r>
          </w:p>
        </w:tc>
      </w:tr>
    </w:tbl>
    <w:p>
      <w:pPr>
        <w:pStyle w:val="Heading2"/>
        <w:ind w:left="283"/>
      </w:pPr>
      <w:r>
        <w:t>Verification commands</w:t>
      </w:r>
    </w:p>
    <w:p>
      <w:pPr>
        <w:ind w:left="283"/>
      </w:pPr>
      <w:r>
        <w:rPr>
          <w:sz w:val="20"/>
        </w:rPr>
        <w:t xml:space="preserve">All topology commands must be run </w:t>
      </w:r>
      <w:r>
        <w:rPr>
          <w:b/>
          <w:sz w:val="20"/>
        </w:rPr>
        <w:t>on the node</w:t>
      </w:r>
      <w:r>
        <w:rPr>
          <w:sz w:val="20"/>
        </w:rPr>
        <w:t>, not on the workstation:</w:t>
      </w:r>
    </w:p>
    <w:p>
      <w:pPr>
        <w:ind w:left="850"/>
        <w:shd w:fill="F0F0F0"/>
      </w:pPr>
      <w:r>
        <w:rPr>
          <w:rFonts w:ascii="Red Hat Mono" w:hAnsi="Red Hat Mono"/>
          <w:color w:val="333333"/>
          <w:sz w:val="16"/>
        </w:rPr>
        <w:t># Check NUMA topology on a node</w:t>
        <w:br/>
        <w:t>oc debug node/&lt;node&gt; -- chroot /host lscpu | grep -i numa</w:t>
        <w:br/>
        <w:br/>
        <w:t># Check CPU-to-NUMA mapping with HT siblings</w:t>
        <w:br/>
        <w:t>oc debug node/&lt;node&gt; -- chroot /host lscpu -p | head -20</w:t>
        <w:br/>
        <w:br/>
        <w:t># Check NIC NUMA affinity</w:t>
        <w:br/>
        <w:t>oc debug node/&lt;node&gt; -- chroot /host cat /sys/class/net/ens192/device/numa_node</w:t>
        <w:br/>
        <w:br/>
        <w:t># Check current CPU manager policy</w:t>
        <w:br/>
        <w:t>oc get kubeletconfig -o yaml | grep cpuManagerPolicy</w:t>
        <w:br/>
        <w:br/>
        <w:t># Check if PerformanceProfile is active</w:t>
        <w:br/>
        <w:t>oc get performanceprofile</w:t>
      </w:r>
    </w:p>
    <w:p>
      <w:r>
        <w:br w:type="page"/>
      </w:r>
    </w:p>
    <w:p>
      <w:pPr>
        <w:pStyle w:val="Heading1"/>
      </w:pPr>
      <w:r>
        <w:t>§6 — Pod-Level Sysctl Access</w:t>
      </w:r>
    </w:p>
    <w:p>
      <w:pPr>
        <w:ind w:left="283"/>
      </w:pPr>
      <w:r>
        <w:rPr>
          <w:b/>
          <w:sz w:val="20"/>
        </w:rPr>
        <w:t>KubeletConfig field:</w:t>
      </w:r>
      <w:r>
        <w:rPr>
          <w:sz w:val="20"/>
        </w:rPr>
        <w:t xml:space="preserve"> </w:t>
      </w:r>
      <w:r>
        <w:rPr>
          <w:rFonts w:ascii="Red Hat Mono" w:hAnsi="Red Hat Mono"/>
          <w:color w:val="CC0000"/>
          <w:sz w:val="18"/>
        </w:rPr>
        <w:t>allowedUnsafeSysctls</w:t>
      </w:r>
    </w:p>
    <w:p>
      <w:pPr>
        <w:pStyle w:val="Heading2"/>
        <w:ind w:left="283"/>
      </w:pPr>
      <w:r>
        <w:t>What it does</w:t>
      </w:r>
    </w:p>
    <w:p>
      <w:pPr>
        <w:ind w:left="283"/>
      </w:pPr>
      <w:r>
        <w:rPr>
          <w:sz w:val="20"/>
        </w:rPr>
        <w:t xml:space="preserve">Kubernetes classifies sysctls as "safe" (namespaced, isolated per pod) or "unsafe" (potentially affecting other pods or the host). By default, pods can only set safe sysctls. </w:t>
      </w:r>
      <w:r>
        <w:rPr>
          <w:rFonts w:ascii="Red Hat Mono" w:hAnsi="Red Hat Mono"/>
          <w:color w:val="CC0000"/>
          <w:sz w:val="18"/>
        </w:rPr>
        <w:t>allowedUnsafeSysctls</w:t>
      </w:r>
      <w:r>
        <w:rPr>
          <w:sz w:val="20"/>
        </w:rPr>
        <w:t xml:space="preserve"> whitelists specific sysctls that pods may set in their </w:t>
      </w:r>
      <w:r>
        <w:rPr>
          <w:rFonts w:ascii="Red Hat Mono" w:hAnsi="Red Hat Mono"/>
          <w:color w:val="CC0000"/>
          <w:sz w:val="18"/>
        </w:rPr>
        <w:t>securityContext.sysctls</w:t>
      </w:r>
      <w:r>
        <w:rPr>
          <w:sz w:val="20"/>
        </w:rPr>
        <w:t>.</w:t>
      </w:r>
    </w:p>
    <w:p>
      <w:pPr>
        <w:ind w:left="283"/>
      </w:pPr>
      <w:r>
        <w:rPr>
          <w:b/>
          <w:sz w:val="20"/>
        </w:rPr>
        <w:t>Key distinction:</w:t>
      </w:r>
      <w:r>
        <w:rPr>
          <w:sz w:val="20"/>
        </w:rPr>
        <w:t xml:space="preserve"> Several network sysctls including </w:t>
      </w:r>
      <w:r>
        <w:rPr>
          <w:rFonts w:ascii="Red Hat Mono" w:hAnsi="Red Hat Mono"/>
          <w:color w:val="CC0000"/>
          <w:sz w:val="18"/>
        </w:rPr>
        <w:t>net.core.somaxconn</w:t>
      </w:r>
      <w:r>
        <w:rPr>
          <w:sz w:val="20"/>
        </w:rPr>
        <w:t xml:space="preserve">, </w:t>
      </w:r>
      <w:r>
        <w:rPr>
          <w:rFonts w:ascii="Red Hat Mono" w:hAnsi="Red Hat Mono"/>
          <w:color w:val="CC0000"/>
          <w:sz w:val="18"/>
        </w:rPr>
        <w:t>net.ipv4.tcp_max_syn_backlog</w:t>
      </w:r>
      <w:r>
        <w:rPr>
          <w:sz w:val="20"/>
        </w:rPr>
        <w:t xml:space="preserve">, and </w:t>
      </w:r>
      <w:r>
        <w:rPr>
          <w:rFonts w:ascii="Red Hat Mono" w:hAnsi="Red Hat Mono"/>
          <w:color w:val="CC0000"/>
          <w:sz w:val="18"/>
        </w:rPr>
        <w:t>net.ipv4.ip_local_port_range</w:t>
      </w:r>
      <w:r>
        <w:rPr>
          <w:sz w:val="20"/>
        </w:rPr>
        <w:t xml:space="preserve"> are set </w:t>
      </w:r>
      <w:r>
        <w:rPr>
          <w:b/>
          <w:sz w:val="20"/>
        </w:rPr>
        <w:t>per network namespace</w:t>
      </w:r>
      <w:r>
        <w:rPr>
          <w:sz w:val="20"/>
        </w:rPr>
        <w:t xml:space="preserve">. Each pod gets its own network namespace with kernel defaults (e.g., </w:t>
      </w:r>
      <w:r>
        <w:rPr>
          <w:rFonts w:ascii="Red Hat Mono" w:hAnsi="Red Hat Mono"/>
          <w:color w:val="CC0000"/>
          <w:sz w:val="18"/>
        </w:rPr>
        <w:t>somaxconn=4096</w:t>
      </w:r>
      <w:r>
        <w:rPr>
          <w:sz w:val="20"/>
        </w:rPr>
        <w:t xml:space="preserve"> on RHEL 9). Setting these via TuneD at the host level </w:t>
      </w:r>
      <w:r>
        <w:rPr>
          <w:b/>
          <w:sz w:val="20"/>
        </w:rPr>
        <w:t>only affects host-network pods</w:t>
      </w:r>
      <w:r>
        <w:rPr>
          <w:sz w:val="20"/>
        </w:rPr>
        <w:t xml:space="preserve"> (</w:t>
      </w:r>
      <w:r>
        <w:rPr>
          <w:rFonts w:ascii="Red Hat Mono" w:hAnsi="Red Hat Mono"/>
          <w:color w:val="CC0000"/>
          <w:sz w:val="18"/>
        </w:rPr>
        <w:t>hostNetwork: true</w:t>
      </w:r>
      <w:r>
        <w:rPr>
          <w:sz w:val="20"/>
        </w:rPr>
        <w:t>) and system processes — ordinary pods in their own namespace are unaffected.</w:t>
      </w:r>
    </w:p>
    <w:p>
      <w:pPr>
        <w:ind w:left="283"/>
      </w:pPr>
      <w:r>
        <w:rPr>
          <w:sz w:val="20"/>
        </w:rPr>
        <w:t>This means:</w:t>
      </w:r>
    </w:p>
    <w:p>
      <w:pPr>
        <w:pStyle w:val="ListBullet"/>
        <w:ind w:left="850"/>
      </w:pPr>
      <w:r>
        <w:rPr>
          <w:sz w:val="20"/>
        </w:rPr>
        <w:t xml:space="preserve">**TuneD's </w:t>
      </w:r>
      <w:r>
        <w:rPr>
          <w:rFonts w:ascii="Red Hat Mono" w:hAnsi="Red Hat Mono"/>
          <w:color w:val="CC0000"/>
          <w:sz w:val="18"/>
        </w:rPr>
        <w:t>somaxconn=10240</w:t>
      </w:r>
      <w:r>
        <w:rPr>
          <w:sz w:val="20"/>
        </w:rPr>
        <w:t xml:space="preserve"> on infra nodes** benefits the OpenShift router (which uses </w:t>
      </w:r>
      <w:r>
        <w:rPr>
          <w:rFonts w:ascii="Red Hat Mono" w:hAnsi="Red Hat Mono"/>
          <w:color w:val="CC0000"/>
          <w:sz w:val="18"/>
        </w:rPr>
        <w:t>hostNetwork: true</w:t>
      </w:r>
      <w:r>
        <w:rPr>
          <w:sz w:val="20"/>
        </w:rPr>
        <w:t>) but does nothing for regular application pods.</w:t>
      </w:r>
    </w:p>
    <w:p>
      <w:pPr>
        <w:pStyle w:val="ListBullet"/>
        <w:ind w:left="850"/>
      </w:pPr>
      <w:r>
        <w:rPr>
          <w:sz w:val="20"/>
        </w:rPr>
        <w:t>**</w:t>
      </w:r>
      <w:r>
        <w:rPr>
          <w:rFonts w:ascii="Red Hat Mono" w:hAnsi="Red Hat Mono"/>
          <w:color w:val="CC0000"/>
          <w:sz w:val="18"/>
        </w:rPr>
        <w:t>allowedUnsafeSysctls: [net.core.somaxconn]</w:t>
      </w:r>
      <w:r>
        <w:rPr>
          <w:sz w:val="20"/>
        </w:rPr>
        <w:t xml:space="preserve"> in KubeletConfig</w:t>
      </w:r>
      <w:r>
        <w:rPr>
          <w:b/>
          <w:sz w:val="20"/>
        </w:rPr>
        <w:t xml:space="preserve"> is needed if non-host-network pods need a somaxconn value different from the kernel default. The two settings serve different purposes and are </w:t>
      </w:r>
      <w:r>
        <w:rPr>
          <w:sz w:val="20"/>
        </w:rPr>
        <w:t xml:space="preserve">not redundant** — removing </w:t>
      </w:r>
      <w:r>
        <w:rPr>
          <w:rFonts w:ascii="Red Hat Mono" w:hAnsi="Red Hat Mono"/>
          <w:color w:val="CC0000"/>
          <w:sz w:val="18"/>
        </w:rPr>
        <w:t>allowedUnsafeSysctls</w:t>
      </w:r>
      <w:r>
        <w:rPr>
          <w:sz w:val="20"/>
        </w:rPr>
        <w:t xml:space="preserve"> because "TuneD already covers it" would be incorrect.</w:t>
      </w:r>
    </w:p>
    <w:p>
      <w:pPr>
        <w:pStyle w:val="Heading2"/>
        <w:ind w:left="283"/>
      </w:pPr>
      <w:r>
        <w:t>Finding which pods actually use allowedUnsafeSysctls</w:t>
      </w:r>
    </w:p>
    <w:p>
      <w:pPr>
        <w:ind w:left="283"/>
      </w:pPr>
      <w:r>
        <w:rPr>
          <w:sz w:val="20"/>
        </w:rPr>
        <w:t xml:space="preserve">The </w:t>
      </w:r>
      <w:r>
        <w:rPr>
          <w:rFonts w:ascii="Red Hat Mono" w:hAnsi="Red Hat Mono"/>
          <w:color w:val="CC0000"/>
          <w:sz w:val="18"/>
        </w:rPr>
        <w:t>allowedUnsafeSysctls</w:t>
      </w:r>
      <w:r>
        <w:rPr>
          <w:sz w:val="20"/>
        </w:rPr>
        <w:t xml:space="preserve"> setting only </w:t>
      </w:r>
      <w:r>
        <w:rPr>
          <w:b/>
          <w:sz w:val="20"/>
        </w:rPr>
        <w:t>permits</w:t>
      </w:r>
      <w:r>
        <w:rPr>
          <w:sz w:val="20"/>
        </w:rPr>
        <w:t xml:space="preserve"> pods to set the sysctl — it doesn't apply it. If no pod spec includes the sysctl in its </w:t>
      </w:r>
      <w:r>
        <w:rPr>
          <w:rFonts w:ascii="Red Hat Mono" w:hAnsi="Red Hat Mono"/>
          <w:color w:val="CC0000"/>
          <w:sz w:val="18"/>
        </w:rPr>
        <w:t>securityContext.sysctls</w:t>
      </w:r>
      <w:r>
        <w:rPr>
          <w:sz w:val="20"/>
        </w:rPr>
        <w:t>, the setting has no effect.</w:t>
      </w:r>
    </w:p>
    <w:p>
      <w:pPr>
        <w:ind w:left="283"/>
      </w:pPr>
      <w:r>
        <w:rPr>
          <w:sz w:val="20"/>
        </w:rPr>
        <w:t>To find pods and workloads that actually use it:</w:t>
      </w:r>
    </w:p>
    <w:p>
      <w:pPr>
        <w:ind w:left="850"/>
        <w:shd w:fill="F0F0F0"/>
      </w:pPr>
      <w:r>
        <w:rPr>
          <w:rFonts w:ascii="Red Hat Mono" w:hAnsi="Red Hat Mono"/>
          <w:color w:val="333333"/>
          <w:sz w:val="16"/>
        </w:rPr>
        <w:t>oc get pods,deploy,sts,ds -A -o json | jq -r '</w:t>
        <w:br/>
        <w:t xml:space="preserve">  .items[] |</w:t>
        <w:br/>
        <w:t xml:space="preserve">  (.spec.template.spec // .spec) as $s |</w:t>
        <w:br/>
        <w:t xml:space="preserve">  select($s.securityContext.sysctls) |</w:t>
        <w:br/>
        <w:t xml:space="preserve">  "\(.kind) \(.metadata.namespace)/\(.metadata.name): \([$s.securityContext.sysctls[].name] | join(","))"</w:t>
        <w:br/>
        <w:t>'</w:t>
      </w:r>
    </w:p>
    <w:p>
      <w:pPr>
        <w:ind w:left="283"/>
      </w:pPr>
      <w:r>
        <w:rPr>
          <w:sz w:val="20"/>
        </w:rPr>
        <w:t xml:space="preserve">If nothing is returned, the </w:t>
      </w:r>
      <w:r>
        <w:rPr>
          <w:rFonts w:ascii="Red Hat Mono" w:hAnsi="Red Hat Mono"/>
          <w:color w:val="CC0000"/>
          <w:sz w:val="18"/>
        </w:rPr>
        <w:t>allowedUnsafeSysctls</w:t>
      </w:r>
      <w:r>
        <w:rPr>
          <w:sz w:val="20"/>
        </w:rPr>
        <w:t xml:space="preserve"> setting is a no-op and may have been added proactively or recommended during a consulting engagement without a specific workload needing it. It is harmless to leave in place.</w:t>
      </w:r>
    </w:p>
    <w:p>
      <w:pPr>
        <w:pStyle w:val="Heading2"/>
        <w:ind w:left="283"/>
      </w:pPr>
      <w:r>
        <w:t>Per-archetype</w:t>
      </w:r>
    </w:p>
    <w:tbl>
      <w:tblPr>
        <w:tblStyle w:val="TableGrid"/>
        <w:tblW w:type="pct" w:w="5000"/>
        <w:jc w:val="center"/>
        <w:tblLook w:firstColumn="1" w:firstRow="1" w:lastColumn="0" w:lastRow="0" w:noHBand="0" w:noVBand="1" w:val="04A0"/>
      </w:tblPr>
      <w:tblGrid>
        <w:gridCol w:w="4536"/>
        <w:gridCol w:w="4536"/>
      </w:tblGrid>
      <w:tr>
        <w:trPr>
          <w:cantSplit w:val="true"/>
          <w:tblHeader w:val="true"/>
        </w:trPr>
        <w:tc>
          <w:tcPr>
            <w:tcW w:type="dxa" w:w="4536"/>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Archetype</w:t>
            </w:r>
          </w:p>
        </w:tc>
        <w:tc>
          <w:tcPr>
            <w:tcW w:type="dxa" w:w="4536"/>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Recommendation</w:t>
            </w:r>
          </w:p>
        </w:tc>
      </w:tr>
      <w:tr>
        <w:trPr>
          <w:cantSplit w:val="true"/>
        </w:trPr>
        <w:tc>
          <w:tcPr>
            <w:tcW w:type="dxa" w:w="4536"/>
            <w:vAlign w:val="center"/>
            <w:tcMar>
              <w:top w:w="60" w:type="dxa"/>
              <w:bottom w:w="60" w:type="dxa"/>
              <w:left w:w="100" w:type="dxa"/>
              <w:right w:w="100" w:type="dxa"/>
            </w:tcMar>
          </w:tcPr>
          <w:p>
            <w:pPr>
              <w:spacing w:before="60" w:after="60"/>
              <w:jc w:val="center"/>
            </w:pPr>
            <w:r/>
            <w:r>
              <w:rPr>
                <w:rFonts w:ascii="Red Hat Text" w:hAnsi="Red Hat Text"/>
                <w:sz w:val="16"/>
              </w:rPr>
              <w:t>Master</w:t>
            </w:r>
          </w:p>
        </w:tc>
        <w:tc>
          <w:tcPr>
            <w:tcW w:type="dxa" w:w="4536"/>
            <w:vAlign w:val="center"/>
            <w:tcMar>
              <w:top w:w="60" w:type="dxa"/>
              <w:bottom w:w="60" w:type="dxa"/>
              <w:left w:w="100" w:type="dxa"/>
              <w:right w:w="100" w:type="dxa"/>
            </w:tcMar>
          </w:tcPr>
          <w:p>
            <w:pPr>
              <w:spacing w:before="60" w:after="60"/>
              <w:jc w:val="left"/>
            </w:pPr>
            <w:r/>
            <w:r>
              <w:rPr>
                <w:rFonts w:ascii="Red Hat Text" w:hAnsi="Red Hat Text"/>
                <w:sz w:val="16"/>
              </w:rPr>
              <w:t>Not needed (masters don't run user workloads)</w:t>
            </w:r>
          </w:p>
        </w:tc>
      </w:tr>
      <w:tr>
        <w:trPr>
          <w:cantSplit w:val="true"/>
        </w:trPr>
        <w:tc>
          <w:tcPr>
            <w:tcW w:type="dxa" w:w="4536"/>
            <w:vAlign w:val="center"/>
            <w:tcMar>
              <w:top w:w="60" w:type="dxa"/>
              <w:bottom w:w="60" w:type="dxa"/>
              <w:left w:w="100" w:type="dxa"/>
              <w:right w:w="100" w:type="dxa"/>
            </w:tcMar>
            <w:shd w:fill="F5F5F5"/>
          </w:tcPr>
          <w:p>
            <w:pPr>
              <w:spacing w:before="60" w:after="60"/>
              <w:jc w:val="center"/>
            </w:pPr>
            <w:r/>
            <w:r>
              <w:rPr>
                <w:rFonts w:ascii="Red Hat Text" w:hAnsi="Red Hat Text"/>
                <w:sz w:val="16"/>
              </w:rPr>
              <w:t>Infra</w:t>
            </w:r>
          </w:p>
        </w:tc>
        <w:tc>
          <w:tcPr>
            <w:tcW w:type="dxa" w:w="4536"/>
            <w:vAlign w:val="center"/>
            <w:tcMar>
              <w:top w:w="60" w:type="dxa"/>
              <w:bottom w:w="60" w:type="dxa"/>
              <w:left w:w="100" w:type="dxa"/>
              <w:right w:w="100" w:type="dxa"/>
            </w:tcMar>
            <w:shd w:fill="F5F5F5"/>
          </w:tcPr>
          <w:p>
            <w:pPr>
              <w:spacing w:before="60" w:after="60"/>
              <w:jc w:val="left"/>
            </w:pPr>
            <w:r/>
            <w:r>
              <w:rPr>
                <w:rFonts w:ascii="Red Hat Text" w:hAnsi="Red Hat Text"/>
                <w:sz w:val="16"/>
              </w:rPr>
              <w:t>Add if non-host-network pods need somaxconn override</w:t>
            </w:r>
          </w:p>
        </w:tc>
      </w:tr>
      <w:tr>
        <w:trPr>
          <w:cantSplit w:val="true"/>
        </w:trPr>
        <w:tc>
          <w:tcPr>
            <w:tcW w:type="dxa" w:w="4536"/>
            <w:vAlign w:val="center"/>
            <w:tcMar>
              <w:top w:w="60" w:type="dxa"/>
              <w:bottom w:w="60" w:type="dxa"/>
              <w:left w:w="100" w:type="dxa"/>
              <w:right w:w="100" w:type="dxa"/>
            </w:tcMar>
          </w:tcPr>
          <w:p>
            <w:pPr>
              <w:spacing w:before="60" w:after="60"/>
              <w:jc w:val="center"/>
            </w:pPr>
            <w:r/>
            <w:r>
              <w:rPr>
                <w:rFonts w:ascii="Red Hat Text" w:hAnsi="Red Hat Text"/>
                <w:sz w:val="16"/>
              </w:rPr>
              <w:t>Worker (all)</w:t>
            </w:r>
          </w:p>
        </w:tc>
        <w:tc>
          <w:tcPr>
            <w:tcW w:type="dxa" w:w="4536"/>
            <w:vAlign w:val="center"/>
            <w:tcMar>
              <w:top w:w="60" w:type="dxa"/>
              <w:bottom w:w="60" w:type="dxa"/>
              <w:left w:w="100" w:type="dxa"/>
              <w:right w:w="100" w:type="dxa"/>
            </w:tcMar>
          </w:tcPr>
          <w:p>
            <w:pPr>
              <w:spacing w:before="60" w:after="60"/>
              <w:jc w:val="left"/>
            </w:pPr>
            <w:r/>
            <w:r>
              <w:rPr>
                <w:rFonts w:ascii="Red Hat Text" w:hAnsi="Red Hat Text"/>
                <w:sz w:val="16"/>
              </w:rPr>
              <w:t>Add sysctls that workload pods require in their securityContext</w:t>
            </w:r>
          </w:p>
        </w:tc>
      </w:tr>
    </w:tbl>
    <w:p>
      <w:pPr>
        <w:pStyle w:val="Heading2"/>
        <w:ind w:left="283"/>
      </w:pPr>
      <w:r>
        <w:t>Safe vs unsafe sysctls</w:t>
      </w:r>
    </w:p>
    <w:p>
      <w:pPr>
        <w:ind w:left="283"/>
      </w:pPr>
      <w:r>
        <w:rPr>
          <w:b/>
          <w:sz w:val="20"/>
        </w:rPr>
        <w:t>Safe sysctls</w:t>
      </w:r>
      <w:r>
        <w:rPr>
          <w:sz w:val="20"/>
        </w:rPr>
        <w:t xml:space="preserve"> (namespaced, always allowed without </w:t>
      </w:r>
      <w:r>
        <w:rPr>
          <w:rFonts w:ascii="Red Hat Mono" w:hAnsi="Red Hat Mono"/>
          <w:color w:val="CC0000"/>
          <w:sz w:val="18"/>
        </w:rPr>
        <w:t>allowedUnsafeSysctls</w:t>
      </w:r>
      <w:r>
        <w:rPr>
          <w:sz w:val="20"/>
        </w:rPr>
        <w:t>):</w:t>
      </w:r>
    </w:p>
    <w:p>
      <w:pPr>
        <w:pStyle w:val="ListBullet"/>
        <w:ind w:left="850"/>
      </w:pPr>
      <w:r>
        <w:rPr>
          <w:rFonts w:ascii="Red Hat Mono" w:hAnsi="Red Hat Mono"/>
          <w:color w:val="CC0000"/>
          <w:sz w:val="18"/>
        </w:rPr>
        <w:t>kernel.shm_rmid_forced</w:t>
      </w:r>
    </w:p>
    <w:p>
      <w:pPr>
        <w:pStyle w:val="ListBullet"/>
        <w:ind w:left="850"/>
      </w:pPr>
      <w:r>
        <w:rPr>
          <w:rFonts w:ascii="Red Hat Mono" w:hAnsi="Red Hat Mono"/>
          <w:color w:val="CC0000"/>
          <w:sz w:val="18"/>
        </w:rPr>
        <w:t>net.ipv4.ip_local_port_range</w:t>
      </w:r>
    </w:p>
    <w:p>
      <w:pPr>
        <w:pStyle w:val="ListBullet"/>
        <w:ind w:left="850"/>
      </w:pPr>
      <w:r>
        <w:rPr>
          <w:rFonts w:ascii="Red Hat Mono" w:hAnsi="Red Hat Mono"/>
          <w:color w:val="CC0000"/>
          <w:sz w:val="18"/>
        </w:rPr>
        <w:t>net.ipv4.tcp_syncookies</w:t>
      </w:r>
    </w:p>
    <w:p>
      <w:pPr>
        <w:pStyle w:val="ListBullet"/>
        <w:ind w:left="850"/>
      </w:pPr>
      <w:r>
        <w:rPr>
          <w:rFonts w:ascii="Red Hat Mono" w:hAnsi="Red Hat Mono"/>
          <w:color w:val="CC0000"/>
          <w:sz w:val="18"/>
        </w:rPr>
        <w:t>net.ipv4.ping_group_range</w:t>
      </w:r>
    </w:p>
    <w:p>
      <w:pPr>
        <w:pStyle w:val="ListBullet"/>
        <w:ind w:left="850"/>
      </w:pPr>
      <w:r>
        <w:rPr>
          <w:rFonts w:ascii="Red Hat Mono" w:hAnsi="Red Hat Mono"/>
          <w:color w:val="CC0000"/>
          <w:sz w:val="18"/>
        </w:rPr>
        <w:t>net.ipv4.ip_unprivileged_port_start</w:t>
      </w:r>
    </w:p>
    <w:p>
      <w:pPr>
        <w:ind w:left="283"/>
      </w:pPr>
      <w:r>
        <w:rPr>
          <w:b/>
          <w:sz w:val="20"/>
        </w:rPr>
        <w:t>Unsafe sysctls</w:t>
      </w:r>
      <w:r>
        <w:rPr>
          <w:sz w:val="20"/>
        </w:rPr>
        <w:t xml:space="preserve"> (require explicit allowlisting in the KubeletConfig):</w:t>
      </w:r>
    </w:p>
    <w:p>
      <w:pPr>
        <w:pStyle w:val="ListBullet"/>
        <w:ind w:left="850"/>
      </w:pPr>
      <w:r>
        <w:rPr>
          <w:rFonts w:ascii="Red Hat Mono" w:hAnsi="Red Hat Mono"/>
          <w:color w:val="CC0000"/>
          <w:sz w:val="18"/>
        </w:rPr>
        <w:t>net.core.somaxconn</w:t>
      </w:r>
    </w:p>
    <w:p>
      <w:pPr>
        <w:pStyle w:val="ListBullet"/>
        <w:ind w:left="850"/>
      </w:pPr>
      <w:r>
        <w:rPr>
          <w:rFonts w:ascii="Red Hat Mono" w:hAnsi="Red Hat Mono"/>
          <w:color w:val="CC0000"/>
          <w:sz w:val="18"/>
        </w:rPr>
        <w:t>net.ipv4.tcp_max_syn_backlog</w:t>
      </w:r>
    </w:p>
    <w:p>
      <w:pPr>
        <w:pStyle w:val="ListBullet"/>
        <w:ind w:left="850"/>
      </w:pPr>
      <w:r>
        <w:rPr>
          <w:sz w:val="20"/>
        </w:rPr>
        <w:t xml:space="preserve">Any </w:t>
      </w:r>
      <w:r>
        <w:rPr>
          <w:rFonts w:ascii="Red Hat Mono" w:hAnsi="Red Hat Mono"/>
          <w:color w:val="CC0000"/>
          <w:sz w:val="18"/>
        </w:rPr>
        <w:t>net.*</w:t>
      </w:r>
      <w:r>
        <w:rPr>
          <w:sz w:val="20"/>
        </w:rPr>
        <w:t xml:space="preserve"> sysctl not in the safe list</w:t>
      </w:r>
    </w:p>
    <w:p>
      <w:pPr>
        <w:pStyle w:val="ListBullet"/>
        <w:ind w:left="850"/>
      </w:pPr>
      <w:r>
        <w:rPr>
          <w:sz w:val="20"/>
        </w:rPr>
        <w:t xml:space="preserve">Any </w:t>
      </w:r>
      <w:r>
        <w:rPr>
          <w:rFonts w:ascii="Red Hat Mono" w:hAnsi="Red Hat Mono"/>
          <w:color w:val="CC0000"/>
          <w:sz w:val="18"/>
        </w:rPr>
        <w:t>kernel.*</w:t>
      </w:r>
      <w:r>
        <w:rPr>
          <w:sz w:val="20"/>
        </w:rPr>
        <w:t xml:space="preserve"> sysctl not in the safe list</w:t>
      </w:r>
    </w:p>
    <w:p>
      <w:r>
        <w:br w:type="page"/>
      </w:r>
    </w:p>
    <w:p>
      <w:pPr>
        <w:pStyle w:val="Heading1"/>
      </w:pPr>
      <w:r>
        <w:t>§7 — Registry &amp; Image Pull</w:t>
      </w:r>
    </w:p>
    <w:p>
      <w:pPr>
        <w:ind w:left="283"/>
      </w:pPr>
      <w:r>
        <w:rPr>
          <w:b/>
          <w:sz w:val="20"/>
        </w:rPr>
        <w:t>KubeletConfig fields:</w:t>
      </w:r>
      <w:r>
        <w:rPr>
          <w:sz w:val="20"/>
        </w:rPr>
        <w:t xml:space="preserve"> </w:t>
      </w:r>
      <w:r>
        <w:rPr>
          <w:rFonts w:ascii="Red Hat Mono" w:hAnsi="Red Hat Mono"/>
          <w:color w:val="CC0000"/>
          <w:sz w:val="18"/>
        </w:rPr>
        <w:t>registryPullQPS</w:t>
      </w:r>
      <w:r>
        <w:rPr>
          <w:sz w:val="20"/>
        </w:rPr>
        <w:t xml:space="preserve">, </w:t>
      </w:r>
      <w:r>
        <w:rPr>
          <w:rFonts w:ascii="Red Hat Mono" w:hAnsi="Red Hat Mono"/>
          <w:color w:val="CC0000"/>
          <w:sz w:val="18"/>
        </w:rPr>
        <w:t>registryBurst</w:t>
      </w:r>
      <w:r>
        <w:rPr>
          <w:sz w:val="20"/>
        </w:rPr>
        <w:t xml:space="preserve">, </w:t>
      </w:r>
      <w:r>
        <w:rPr>
          <w:rFonts w:ascii="Red Hat Mono" w:hAnsi="Red Hat Mono"/>
          <w:color w:val="CC0000"/>
          <w:sz w:val="18"/>
        </w:rPr>
        <w:t>serializeImagePulls</w:t>
      </w:r>
    </w:p>
    <w:p>
      <w:pPr>
        <w:pStyle w:val="Heading2"/>
        <w:ind w:left="283"/>
      </w:pPr>
      <w:r>
        <w:t>registryPullQPS / registryBurst</w:t>
      </w:r>
    </w:p>
    <w:p>
      <w:pPr>
        <w:ind w:left="283"/>
      </w:pPr>
      <w:r>
        <w:rPr>
          <w:b/>
          <w:sz w:val="20"/>
        </w:rPr>
        <w:t>Defaults:</w:t>
      </w:r>
      <w:r>
        <w:rPr>
          <w:sz w:val="20"/>
        </w:rPr>
        <w:t xml:space="preserve"> QPS=5, Burst=10</w:t>
      </w:r>
    </w:p>
    <w:p>
      <w:pPr>
        <w:ind w:left="283"/>
      </w:pPr>
      <w:r>
        <w:rPr>
          <w:b/>
          <w:sz w:val="20"/>
        </w:rPr>
        <w:t>What they do:</w:t>
      </w:r>
      <w:r>
        <w:rPr>
          <w:sz w:val="20"/>
        </w:rPr>
        <w:t xml:space="preserve"> Rate limit for image pull requests to container registries.</w:t>
      </w:r>
    </w:p>
    <w:p>
      <w:pPr>
        <w:ind w:left="283"/>
      </w:pPr>
      <w:r>
        <w:rPr>
          <w:b/>
          <w:sz w:val="20"/>
        </w:rPr>
        <w:t>When to raise:</w:t>
      </w:r>
      <w:r>
        <w:rPr>
          <w:sz w:val="20"/>
        </w:rPr>
        <w:t xml:space="preserve"> When many pods start simultaneously (e.g., after node drain/reboot with 300-400 pods). Symptoms: "pull QPS exceeded" events, slow pod startup.</w:t>
      </w:r>
    </w:p>
    <w:tbl>
      <w:tblPr>
        <w:tblStyle w:val="TableGrid"/>
        <w:tblW w:type="pct" w:w="5000"/>
        <w:jc w:val="center"/>
        <w:tblLook w:firstColumn="1" w:firstRow="1" w:lastColumn="0" w:lastRow="0" w:noHBand="0" w:noVBand="1" w:val="04A0"/>
      </w:tblPr>
      <w:tblGrid>
        <w:gridCol w:w="3024"/>
        <w:gridCol w:w="3024"/>
        <w:gridCol w:w="3024"/>
      </w:tblGrid>
      <w:tr>
        <w:trPr>
          <w:cantSplit w:val="true"/>
          <w:tblHeader w:val="true"/>
        </w:trPr>
        <w:tc>
          <w:tcPr>
            <w:tcW w:type="dxa" w:w="302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Scenario</w:t>
            </w:r>
          </w:p>
        </w:tc>
        <w:tc>
          <w:tcPr>
            <w:tcW w:type="dxa" w:w="302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Recommended QPS</w:t>
            </w:r>
          </w:p>
        </w:tc>
        <w:tc>
          <w:tcPr>
            <w:tcW w:type="dxa" w:w="302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Recommended Burst</w:t>
            </w:r>
          </w:p>
        </w:tc>
      </w:tr>
      <w:tr>
        <w:trPr>
          <w:cantSplit w:val="true"/>
        </w:trPr>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Standard (≤250 pods)</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5 (default)</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10 (default)</w:t>
            </w:r>
          </w:p>
        </w:tc>
      </w:tr>
      <w:tr>
        <w:trPr>
          <w:cantSplit w:val="true"/>
        </w:trPr>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High density (250-500 pods)</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20-50</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40-100</w:t>
            </w:r>
          </w:p>
        </w:tc>
      </w:tr>
      <w:tr>
        <w:trPr>
          <w:cantSplit w:val="true"/>
        </w:trPr>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Burst recovery (post-drain)</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50</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100</w:t>
            </w:r>
          </w:p>
        </w:tc>
      </w:tr>
    </w:tbl>
    <w:p>
      <w:pPr>
        <w:ind w:left="283"/>
      </w:pPr>
      <w:r>
        <w:rPr>
          <w:b/>
          <w:sz w:val="20"/>
        </w:rPr>
        <w:t>Case 04046963:</w:t>
      </w:r>
      <w:r>
        <w:rPr>
          <w:sz w:val="20"/>
        </w:rPr>
        <w:t xml:space="preserve"> Customer configured </w:t>
      </w:r>
      <w:r>
        <w:rPr>
          <w:rFonts w:ascii="Red Hat Mono" w:hAnsi="Red Hat Mono"/>
          <w:color w:val="CC0000"/>
          <w:sz w:val="18"/>
        </w:rPr>
        <w:t>registryPullQPS: 50, registryBurst: 100</w:t>
      </w:r>
      <w:r>
        <w:rPr>
          <w:sz w:val="20"/>
        </w:rPr>
        <w:t xml:space="preserve"> to resolve "pull QPS exceeded" errors during burst pod creation after node drains.</w:t>
      </w:r>
    </w:p>
    <w:p>
      <w:pPr>
        <w:pStyle w:val="Heading2"/>
        <w:ind w:left="283"/>
      </w:pPr>
      <w:r>
        <w:t>serializeImagePulls</w:t>
      </w:r>
    </w:p>
    <w:p>
      <w:pPr>
        <w:ind w:left="283"/>
      </w:pPr>
      <w:r>
        <w:rPr>
          <w:b/>
          <w:sz w:val="20"/>
        </w:rPr>
        <w:t>Default:</w:t>
      </w:r>
      <w:r>
        <w:rPr>
          <w:sz w:val="20"/>
        </w:rPr>
        <w:t xml:space="preserve"> false (parallel pulls enabled)</w:t>
      </w:r>
    </w:p>
    <w:p>
      <w:pPr>
        <w:ind w:left="283"/>
      </w:pPr>
      <w:r>
        <w:rPr>
          <w:b/>
          <w:sz w:val="20"/>
        </w:rPr>
        <w:t>What it does:</w:t>
      </w:r>
      <w:r>
        <w:rPr>
          <w:sz w:val="20"/>
        </w:rPr>
        <w:t xml:space="preserve"> When true, images are pulled one at a time. When false, multiple pulls happen concurrently.</w:t>
      </w:r>
    </w:p>
    <w:p>
      <w:pPr>
        <w:ind w:left="283"/>
      </w:pPr>
      <w:r>
        <w:rPr>
          <w:b/>
          <w:sz w:val="20"/>
        </w:rPr>
        <w:t>Recommendation:</w:t>
      </w:r>
      <w:r>
        <w:rPr>
          <w:sz w:val="20"/>
        </w:rPr>
        <w:t xml:space="preserve"> Keep at false (default). Parallel pulls are faster, especially in air-gapped environments with local mirrors.</w:t>
      </w:r>
    </w:p>
    <w:p>
      <w:r>
        <w:br w:type="page"/>
      </w:r>
    </w:p>
    <w:p>
      <w:pPr>
        <w:pStyle w:val="Heading1"/>
      </w:pPr>
      <w:r>
        <w:t>§8 — Timeouts, Shutdown &amp; Operational Parameters</w:t>
      </w:r>
    </w:p>
    <w:p>
      <w:pPr>
        <w:pStyle w:val="Heading2"/>
        <w:ind w:left="283"/>
      </w:pPr>
      <w:r>
        <w:t>runtimeRequestTimeout</w:t>
      </w:r>
    </w:p>
    <w:p>
      <w:pPr>
        <w:ind w:left="283"/>
      </w:pPr>
      <w:r>
        <w:rPr>
          <w:b/>
          <w:sz w:val="20"/>
        </w:rPr>
        <w:t>Default:</w:t>
      </w:r>
      <w:r>
        <w:rPr>
          <w:sz w:val="20"/>
        </w:rPr>
        <w:t xml:space="preserve"> 2m0s</w:t>
      </w:r>
    </w:p>
    <w:p>
      <w:pPr>
        <w:ind w:left="283"/>
      </w:pPr>
      <w:r>
        <w:rPr>
          <w:b/>
          <w:sz w:val="20"/>
        </w:rPr>
        <w:t>What it does:</w:t>
      </w:r>
      <w:r>
        <w:rPr>
          <w:sz w:val="20"/>
        </w:rPr>
        <w:t xml:space="preserve"> Timeout for CRI-O operations such as container create, start, and stop.</w:t>
      </w:r>
    </w:p>
    <w:p>
      <w:pPr>
        <w:ind w:left="283"/>
      </w:pPr>
      <w:r>
        <w:rPr>
          <w:b/>
          <w:sz w:val="20"/>
        </w:rPr>
        <w:t>Note:</w:t>
      </w:r>
      <w:r>
        <w:rPr>
          <w:sz w:val="20"/>
        </w:rPr>
        <w:t xml:space="preserve"> Image pulls are handled separately by CRI-O and are generally not subject to this timeout. Slow image pulls in air-gapped environments are better addressed by increasing </w:t>
      </w:r>
      <w:r>
        <w:rPr>
          <w:rFonts w:ascii="Red Hat Mono" w:hAnsi="Red Hat Mono"/>
          <w:color w:val="CC0000"/>
          <w:sz w:val="18"/>
        </w:rPr>
        <w:t>registryPullQPS/Burst</w:t>
      </w:r>
      <w:r>
        <w:rPr>
          <w:sz w:val="20"/>
        </w:rPr>
        <w:t xml:space="preserve"> or fixing the underlying network issue (e.g., the enic </w:t>
      </w:r>
      <w:r>
        <w:rPr>
          <w:rFonts w:ascii="Red Hat Mono" w:hAnsi="Red Hat Mono"/>
          <w:color w:val="CC0000"/>
          <w:sz w:val="18"/>
        </w:rPr>
        <w:t>tcp_rmem</w:t>
      </w:r>
      <w:r>
        <w:rPr>
          <w:sz w:val="20"/>
        </w:rPr>
        <w:t xml:space="preserve"> regression).</w:t>
      </w:r>
    </w:p>
    <w:p>
      <w:pPr>
        <w:pStyle w:val="Heading2"/>
        <w:ind w:left="283"/>
      </w:pPr>
      <w:r>
        <w:t>streamingConnectionIdleTimeout</w:t>
      </w:r>
    </w:p>
    <w:p>
      <w:pPr>
        <w:ind w:left="283"/>
      </w:pPr>
      <w:r>
        <w:rPr>
          <w:b/>
          <w:sz w:val="20"/>
        </w:rPr>
        <w:t>Default:</w:t>
      </w:r>
      <w:r>
        <w:rPr>
          <w:sz w:val="20"/>
        </w:rPr>
        <w:t xml:space="preserve"> 4h0m0s</w:t>
      </w:r>
    </w:p>
    <w:p>
      <w:pPr>
        <w:ind w:left="283"/>
      </w:pPr>
      <w:r>
        <w:rPr>
          <w:b/>
          <w:sz w:val="20"/>
        </w:rPr>
        <w:t>What it does:</w:t>
      </w:r>
      <w:r>
        <w:rPr>
          <w:sz w:val="20"/>
        </w:rPr>
        <w:t xml:space="preserve"> How long </w:t>
      </w:r>
      <w:r>
        <w:rPr>
          <w:rFonts w:ascii="Red Hat Mono" w:hAnsi="Red Hat Mono"/>
          <w:color w:val="CC0000"/>
          <w:sz w:val="18"/>
        </w:rPr>
        <w:t>oc exec</w:t>
      </w:r>
      <w:r>
        <w:rPr>
          <w:sz w:val="20"/>
        </w:rPr>
        <w:t xml:space="preserve">, </w:t>
      </w:r>
      <w:r>
        <w:rPr>
          <w:rFonts w:ascii="Red Hat Mono" w:hAnsi="Red Hat Mono"/>
          <w:color w:val="CC0000"/>
          <w:sz w:val="18"/>
        </w:rPr>
        <w:t>oc attach</w:t>
      </w:r>
      <w:r>
        <w:rPr>
          <w:sz w:val="20"/>
        </w:rPr>
        <w:t>, and port-forward sessions stay open when idle.</w:t>
      </w:r>
    </w:p>
    <w:p>
      <w:pPr>
        <w:ind w:left="283"/>
      </w:pPr>
      <w:r>
        <w:rPr>
          <w:b/>
          <w:sz w:val="20"/>
        </w:rPr>
        <w:t>Recommendation:</w:t>
      </w:r>
      <w:r>
        <w:rPr>
          <w:sz w:val="20"/>
        </w:rPr>
        <w:t xml:space="preserve"> Keep at default.</w:t>
      </w:r>
    </w:p>
    <w:p>
      <w:pPr>
        <w:pStyle w:val="Heading2"/>
        <w:ind w:left="283"/>
      </w:pPr>
      <w:r>
        <w:t>shutdownGracePeriod / shutdownGracePeriodCriticalPods</w:t>
      </w:r>
    </w:p>
    <w:p>
      <w:pPr>
        <w:ind w:left="283"/>
      </w:pPr>
      <w:r>
        <w:rPr>
          <w:b/>
          <w:sz w:val="20"/>
        </w:rPr>
        <w:t>Defaults:</w:t>
      </w:r>
      <w:r>
        <w:rPr>
          <w:sz w:val="20"/>
        </w:rPr>
        <w:t xml:space="preserve"> Both 0s (graceful shutdown disabled)</w:t>
      </w:r>
    </w:p>
    <w:p>
      <w:pPr>
        <w:ind w:left="283"/>
      </w:pPr>
      <w:r>
        <w:rPr>
          <w:b/>
          <w:sz w:val="20"/>
        </w:rPr>
        <w:t>What they do:</w:t>
      </w:r>
      <w:r>
        <w:rPr>
          <w:sz w:val="20"/>
        </w:rPr>
        <w:t xml:space="preserve"> When the node receives a shutdown signal, kubelet gracefully terminates pods instead of letting the OS kill them.</w:t>
      </w:r>
    </w:p>
    <w:tbl>
      <w:tblPr>
        <w:tblStyle w:val="TableGrid"/>
        <w:tblW w:type="pct" w:w="5000"/>
        <w:jc w:val="center"/>
        <w:tblLook w:firstColumn="1" w:firstRow="1" w:lastColumn="0" w:lastRow="0" w:noHBand="0" w:noVBand="1" w:val="04A0"/>
      </w:tblPr>
      <w:tblGrid>
        <w:gridCol w:w="4536"/>
        <w:gridCol w:w="4536"/>
      </w:tblGrid>
      <w:tr>
        <w:trPr>
          <w:cantSplit w:val="true"/>
          <w:tblHeader w:val="true"/>
        </w:trPr>
        <w:tc>
          <w:tcPr>
            <w:tcW w:type="dxa" w:w="4536"/>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Parameter</w:t>
            </w:r>
          </w:p>
        </w:tc>
        <w:tc>
          <w:tcPr>
            <w:tcW w:type="dxa" w:w="4536"/>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Recommended</w:t>
            </w:r>
          </w:p>
        </w:tc>
      </w:tr>
      <w:tr>
        <w:trPr>
          <w:cantSplit w:val="true"/>
        </w:trPr>
        <w:tc>
          <w:tcPr>
            <w:tcW w:type="dxa" w:w="4536"/>
            <w:vAlign w:val="center"/>
            <w:tcMar>
              <w:top w:w="60" w:type="dxa"/>
              <w:bottom w:w="60" w:type="dxa"/>
              <w:left w:w="100" w:type="dxa"/>
              <w:right w:w="100" w:type="dxa"/>
            </w:tcMar>
          </w:tcPr>
          <w:p>
            <w:pPr>
              <w:spacing w:before="60" w:after="60"/>
              <w:jc w:val="center"/>
            </w:pPr>
            <w:r/>
            <w:r>
              <w:rPr>
                <w:rFonts w:ascii="Red Hat Text" w:hAnsi="Red Hat Text"/>
                <w:sz w:val="16"/>
              </w:rPr>
              <w:t>shutdownGracePeriod</w:t>
            </w:r>
          </w:p>
        </w:tc>
        <w:tc>
          <w:tcPr>
            <w:tcW w:type="dxa" w:w="4536"/>
            <w:vAlign w:val="center"/>
            <w:tcMar>
              <w:top w:w="60" w:type="dxa"/>
              <w:bottom w:w="60" w:type="dxa"/>
              <w:left w:w="100" w:type="dxa"/>
              <w:right w:w="100" w:type="dxa"/>
            </w:tcMar>
          </w:tcPr>
          <w:p>
            <w:pPr>
              <w:spacing w:before="60" w:after="60"/>
              <w:jc w:val="left"/>
            </w:pPr>
            <w:r/>
            <w:r>
              <w:rPr>
                <w:rFonts w:ascii="Red Hat Text" w:hAnsi="Red Hat Text"/>
                <w:sz w:val="16"/>
              </w:rPr>
              <w:t>60s-120s — total time for all pod termination</w:t>
            </w:r>
          </w:p>
        </w:tc>
      </w:tr>
      <w:tr>
        <w:trPr>
          <w:cantSplit w:val="true"/>
        </w:trPr>
        <w:tc>
          <w:tcPr>
            <w:tcW w:type="dxa" w:w="4536"/>
            <w:vAlign w:val="center"/>
            <w:tcMar>
              <w:top w:w="60" w:type="dxa"/>
              <w:bottom w:w="60" w:type="dxa"/>
              <w:left w:w="100" w:type="dxa"/>
              <w:right w:w="100" w:type="dxa"/>
            </w:tcMar>
            <w:shd w:fill="F5F5F5"/>
          </w:tcPr>
          <w:p>
            <w:pPr>
              <w:spacing w:before="60" w:after="60"/>
              <w:jc w:val="center"/>
            </w:pPr>
            <w:r/>
            <w:r>
              <w:rPr>
                <w:rFonts w:ascii="Red Hat Text" w:hAnsi="Red Hat Text"/>
                <w:sz w:val="16"/>
              </w:rPr>
              <w:t>shutdownGracePeriodCriticalPods</w:t>
            </w:r>
          </w:p>
        </w:tc>
        <w:tc>
          <w:tcPr>
            <w:tcW w:type="dxa" w:w="4536"/>
            <w:vAlign w:val="center"/>
            <w:tcMar>
              <w:top w:w="60" w:type="dxa"/>
              <w:bottom w:w="60" w:type="dxa"/>
              <w:left w:w="100" w:type="dxa"/>
              <w:right w:w="100" w:type="dxa"/>
            </w:tcMar>
            <w:shd w:fill="F5F5F5"/>
          </w:tcPr>
          <w:p>
            <w:pPr>
              <w:spacing w:before="60" w:after="60"/>
              <w:jc w:val="left"/>
            </w:pPr>
            <w:r/>
            <w:r>
              <w:rPr>
                <w:rFonts w:ascii="Red Hat Text" w:hAnsi="Red Hat Text"/>
                <w:sz w:val="16"/>
              </w:rPr>
              <w:t>15s-30s — portion reserved for critical pods (from the end of the total period)</w:t>
            </w:r>
          </w:p>
        </w:tc>
      </w:tr>
    </w:tbl>
    <w:p>
      <w:pPr>
        <w:ind w:left="283"/>
      </w:pPr>
      <w:r>
        <w:rPr>
          <w:b/>
          <w:sz w:val="20"/>
        </w:rPr>
        <w:t>When to enable:</w:t>
      </w:r>
      <w:r>
        <w:rPr>
          <w:sz w:val="20"/>
        </w:rPr>
        <w:t xml:space="preserve"> If nodes are shut down/rebooted outside of </w:t>
      </w:r>
      <w:r>
        <w:rPr>
          <w:rFonts w:ascii="Red Hat Mono" w:hAnsi="Red Hat Mono"/>
          <w:color w:val="CC0000"/>
          <w:sz w:val="18"/>
        </w:rPr>
        <w:t>oc drain</w:t>
      </w:r>
      <w:r>
        <w:rPr>
          <w:sz w:val="20"/>
        </w:rPr>
        <w:t xml:space="preserve"> (e.g., hardware maintenance, power events). </w:t>
      </w:r>
      <w:r>
        <w:rPr>
          <w:rFonts w:ascii="Red Hat Mono" w:hAnsi="Red Hat Mono"/>
          <w:color w:val="CC0000"/>
          <w:sz w:val="18"/>
        </w:rPr>
        <w:t>oc drain</w:t>
      </w:r>
      <w:r>
        <w:rPr>
          <w:sz w:val="20"/>
        </w:rPr>
        <w:t xml:space="preserve"> already handles graceful termination; this setting protects against ungraceful shutdown.</w:t>
      </w:r>
    </w:p>
    <w:p>
      <w:pPr>
        <w:pStyle w:val="Heading2"/>
        <w:ind w:left="283"/>
      </w:pPr>
      <w:r>
        <w:t>Authentication/Authorization webhook cache</w:t>
      </w:r>
    </w:p>
    <w:p>
      <w:pPr>
        <w:ind w:left="283"/>
      </w:pPr>
      <w:r>
        <w:rPr>
          <w:b/>
          <w:sz w:val="20"/>
        </w:rPr>
        <w:t>Defaults:</w:t>
      </w:r>
      <w:r>
        <w:rPr>
          <w:sz w:val="20"/>
        </w:rPr>
        <w:t xml:space="preserve"> </w:t>
      </w:r>
      <w:r>
        <w:rPr>
          <w:rFonts w:ascii="Red Hat Mono" w:hAnsi="Red Hat Mono"/>
          <w:color w:val="CC0000"/>
          <w:sz w:val="18"/>
        </w:rPr>
        <w:t>authentication.webhook.cacheTTL: 2m0s</w:t>
      </w:r>
      <w:r>
        <w:rPr>
          <w:sz w:val="20"/>
        </w:rPr>
        <w:t xml:space="preserve">, </w:t>
      </w:r>
      <w:r>
        <w:rPr>
          <w:rFonts w:ascii="Red Hat Mono" w:hAnsi="Red Hat Mono"/>
          <w:color w:val="CC0000"/>
          <w:sz w:val="18"/>
        </w:rPr>
        <w:t>authorization.webhook.cacheAuthorizedTTL: 5m0s</w:t>
      </w:r>
      <w:r>
        <w:rPr>
          <w:sz w:val="20"/>
        </w:rPr>
        <w:t xml:space="preserve">, </w:t>
      </w:r>
      <w:r>
        <w:rPr>
          <w:rFonts w:ascii="Red Hat Mono" w:hAnsi="Red Hat Mono"/>
          <w:color w:val="CC0000"/>
          <w:sz w:val="18"/>
        </w:rPr>
        <w:t>authorization.webhook.cacheUnauthorizedTTL: 30s</w:t>
      </w:r>
    </w:p>
    <w:p>
      <w:pPr>
        <w:ind w:left="283"/>
      </w:pPr>
      <w:r>
        <w:rPr>
          <w:sz w:val="20"/>
        </w:rPr>
        <w:t xml:space="preserve">These caches apply to requests </w:t>
      </w:r>
      <w:r>
        <w:rPr>
          <w:b/>
          <w:sz w:val="20"/>
        </w:rPr>
        <w:t>to the kubelet</w:t>
      </w:r>
      <w:r>
        <w:rPr>
          <w:sz w:val="20"/>
        </w:rPr>
        <w:t xml:space="preserve"> (e.g., from the metrics server, log collectors, exec/attach). They are not related to </w:t>
      </w:r>
      <w:r>
        <w:rPr>
          <w:rFonts w:ascii="Red Hat Mono" w:hAnsi="Red Hat Mono"/>
          <w:color w:val="CC0000"/>
          <w:sz w:val="18"/>
        </w:rPr>
        <w:t>kubeAPIQPS</w:t>
      </w:r>
      <w:r>
        <w:rPr>
          <w:sz w:val="20"/>
        </w:rPr>
        <w:t xml:space="preserve"> or pod count.</w:t>
      </w:r>
    </w:p>
    <w:p>
      <w:pPr>
        <w:ind w:left="283"/>
      </w:pPr>
      <w:r>
        <w:rPr>
          <w:b/>
          <w:sz w:val="20"/>
        </w:rPr>
        <w:t>Recommendation:</w:t>
      </w:r>
      <w:r>
        <w:rPr>
          <w:sz w:val="20"/>
        </w:rPr>
        <w:t xml:space="preserve"> Keep at defaults. The customer's tuned-worker has these set to 0s as a config dump artifact. The kubelet replaces zero durations with compiled defaults, so the current behavior is correct. Remove the explicit 0s values for clarity.</w:t>
      </w:r>
    </w:p>
    <w:p>
      <w:pPr>
        <w:pStyle w:val="Heading2"/>
        <w:ind w:left="283"/>
      </w:pPr>
      <w:r>
        <w:t>Logging</w:t>
      </w:r>
    </w:p>
    <w:p>
      <w:pPr>
        <w:ind w:left="283"/>
      </w:pPr>
      <w:r>
        <w:rPr>
          <w:b/>
          <w:sz w:val="20"/>
        </w:rPr>
        <w:t>Default:</w:t>
      </w:r>
      <w:r>
        <w:rPr>
          <w:sz w:val="20"/>
        </w:rPr>
        <w:t xml:space="preserve"> </w:t>
      </w:r>
      <w:r>
        <w:rPr>
          <w:rFonts w:ascii="Red Hat Mono" w:hAnsi="Red Hat Mono"/>
          <w:color w:val="CC0000"/>
          <w:sz w:val="18"/>
        </w:rPr>
        <w:t>logging.verbosity: 2</w:t>
      </w:r>
    </w:p>
    <w:p>
      <w:pPr>
        <w:ind w:left="283"/>
      </w:pPr>
      <w:r>
        <w:rPr>
          <w:b/>
          <w:sz w:val="20"/>
        </w:rPr>
        <w:t>Recommendation:</w:t>
      </w:r>
      <w:r>
        <w:rPr>
          <w:sz w:val="20"/>
        </w:rPr>
        <w:t xml:space="preserve"> Keep at 2 for production. Raise to 4-5 temporarily for debugging. Level 0 may hide useful diagnostics.</w:t>
      </w:r>
    </w:p>
    <w:p>
      <w:r>
        <w:br w:type="page"/>
      </w:r>
    </w:p>
    <w:p>
      <w:pPr>
        <w:pStyle w:val="Heading1"/>
      </w:pPr>
      <w:r>
        <w:t>§9 — Advanced: PerformanceProfile &amp; MachineConfig</w:t>
      </w:r>
    </w:p>
    <w:p>
      <w:pPr>
        <w:ind w:left="283"/>
      </w:pPr>
      <w:r>
        <w:rPr>
          <w:sz w:val="20"/>
        </w:rPr>
        <w:t>These items go beyond KubeletConfig and require node reboots (MCO rollout).</w:t>
      </w:r>
    </w:p>
    <w:p>
      <w:pPr>
        <w:pStyle w:val="Heading2"/>
        <w:ind w:left="283"/>
      </w:pPr>
      <w:r>
        <w:t>HugePages</w:t>
      </w:r>
    </w:p>
    <w:p>
      <w:pPr>
        <w:ind w:left="283"/>
      </w:pPr>
      <w:r>
        <w:rPr>
          <w:sz w:val="20"/>
        </w:rPr>
        <w:t>Configure via PerformanceProfile if workloads require them (DPDK, databases, JVMs with large heaps):</w:t>
      </w:r>
    </w:p>
    <w:p>
      <w:pPr>
        <w:ind w:left="850"/>
        <w:shd w:fill="F0F0F0"/>
      </w:pPr>
      <w:r>
        <w:rPr>
          <w:rFonts w:ascii="Red Hat Mono" w:hAnsi="Red Hat Mono"/>
          <w:color w:val="333333"/>
          <w:sz w:val="16"/>
        </w:rPr>
        <w:t>spec:</w:t>
        <w:br/>
        <w:t xml:space="preserve">  hugepages:</w:t>
        <w:br/>
        <w:t xml:space="preserve">    defaultHugepagesSize: "1Gi"</w:t>
        <w:br/>
        <w:t xml:space="preserve">    pages:</w:t>
        <w:br/>
        <w:t xml:space="preserve">      - count: 16</w:t>
        <w:br/>
        <w:t xml:space="preserve">        size: "1Gi"</w:t>
        <w:br/>
        <w:t xml:space="preserve">        node: 0</w:t>
      </w:r>
    </w:p>
    <w:p>
      <w:pPr>
        <w:ind w:left="283"/>
      </w:pPr>
      <w:r>
        <w:rPr>
          <w:b/>
          <w:sz w:val="20"/>
        </w:rPr>
        <w:t>Per-archetype:</w:t>
      </w:r>
      <w:r>
        <w:rPr>
          <w:sz w:val="20"/>
        </w:rPr>
        <w:t xml:space="preserve"> Only configure on worker BM nodes running workloads that explicitly request hugepages. Never on masters or infra.</w:t>
      </w:r>
    </w:p>
    <w:p>
      <w:pPr>
        <w:pStyle w:val="Heading2"/>
        <w:ind w:left="283"/>
      </w:pPr>
      <w:r>
        <w:t>Real-Time Kernel</w:t>
      </w:r>
    </w:p>
    <w:p>
      <w:pPr>
        <w:ind w:left="850"/>
        <w:shd w:fill="F0F0F0"/>
      </w:pPr>
      <w:r>
        <w:rPr>
          <w:rFonts w:ascii="Red Hat Mono" w:hAnsi="Red Hat Mono"/>
          <w:color w:val="333333"/>
          <w:sz w:val="16"/>
        </w:rPr>
        <w:t>spec:</w:t>
        <w:br/>
        <w:t xml:space="preserve">  realTimeKernel:</w:t>
        <w:br/>
        <w:t xml:space="preserve">    enabled: true</w:t>
      </w:r>
    </w:p>
    <w:p>
      <w:pPr>
        <w:ind w:left="283"/>
      </w:pPr>
      <w:r>
        <w:rPr>
          <w:b/>
          <w:sz w:val="20"/>
        </w:rPr>
        <w:t>When to use:</w:t>
      </w:r>
      <w:r>
        <w:rPr>
          <w:sz w:val="20"/>
        </w:rPr>
        <w:t xml:space="preserve"> Only for ultra-low-latency workloads (telco RAN, industrial control). The RT kernel adds overhead for general-purpose workloads. Not recommended for this customer's current workload profile.</w:t>
      </w:r>
    </w:p>
    <w:p>
      <w:pPr>
        <w:pStyle w:val="Heading2"/>
        <w:ind w:left="283"/>
      </w:pPr>
      <w:r>
        <w:t>C-States (CPU idle)</w:t>
      </w:r>
    </w:p>
    <w:p>
      <w:pPr>
        <w:ind w:left="283"/>
      </w:pPr>
      <w:r>
        <w:rPr>
          <w:sz w:val="20"/>
        </w:rPr>
        <w:t>C-states can be restricted in two ways:</w:t>
      </w:r>
    </w:p>
    <w:p>
      <w:pPr>
        <w:pStyle w:val="ListNumber"/>
        <w:ind w:left="850"/>
      </w:pPr>
      <w:r>
        <w:rPr>
          <w:b/>
          <w:sz w:val="20"/>
        </w:rPr>
        <w:t>Runtime (no reboot):</w:t>
      </w:r>
      <w:r>
        <w:rPr>
          <w:sz w:val="20"/>
        </w:rPr>
        <w:t xml:space="preserve"> TuneD's </w:t>
      </w:r>
      <w:r>
        <w:rPr>
          <w:rFonts w:ascii="Red Hat Mono" w:hAnsi="Red Hat Mono"/>
          <w:color w:val="CC0000"/>
          <w:sz w:val="18"/>
        </w:rPr>
        <w:t>[cpu]</w:t>
      </w:r>
      <w:r>
        <w:rPr>
          <w:sz w:val="20"/>
        </w:rPr>
        <w:t xml:space="preserve"> section with </w:t>
      </w:r>
      <w:r>
        <w:rPr>
          <w:rFonts w:ascii="Red Hat Mono" w:hAnsi="Red Hat Mono"/>
          <w:color w:val="CC0000"/>
          <w:sz w:val="18"/>
        </w:rPr>
        <w:t>force_latency=1</w:t>
      </w:r>
      <w:r>
        <w:rPr>
          <w:sz w:val="20"/>
        </w:rPr>
        <w:t xml:space="preserve"> limits C-states to C1 while the profile is active. This is the lightest approach.</w:t>
      </w:r>
    </w:p>
    <w:p>
      <w:pPr>
        <w:pStyle w:val="ListNumber"/>
        <w:ind w:left="850"/>
      </w:pPr>
      <w:r>
        <w:rPr>
          <w:b/>
          <w:sz w:val="20"/>
        </w:rPr>
        <w:t>Boot-time (reboot required):</w:t>
      </w:r>
      <w:r>
        <w:rPr>
          <w:sz w:val="20"/>
        </w:rPr>
        <w:t xml:space="preserve"> Kernel arguments via PerformanceProfile or MachineConfig:</w:t>
      </w:r>
    </w:p>
    <w:p>
      <w:pPr>
        <w:ind w:left="850"/>
        <w:shd w:fill="F0F0F0"/>
      </w:pPr>
      <w:r>
        <w:rPr>
          <w:rFonts w:ascii="Red Hat Mono" w:hAnsi="Red Hat Mono"/>
          <w:color w:val="333333"/>
          <w:sz w:val="16"/>
        </w:rPr>
        <w:t>spec:</w:t>
        <w:br/>
        <w:t xml:space="preserve">  additionalKernelArgs:</w:t>
        <w:br/>
        <w:t xml:space="preserve">    - "intel_idle.max_cstate=1"</w:t>
        <w:br/>
        <w:t xml:space="preserve">    - "processor.max_cstate=1"</w:t>
      </w:r>
    </w:p>
    <w:p>
      <w:pPr>
        <w:ind w:left="283"/>
      </w:pPr>
      <w:r>
        <w:rPr>
          <w:b/>
          <w:sz w:val="20"/>
        </w:rPr>
        <w:t>Trade-off:</w:t>
      </w:r>
      <w:r>
        <w:rPr>
          <w:sz w:val="20"/>
        </w:rPr>
        <w:t xml:space="preserve"> Restricting C-states to C1 eliminates ~100µs wake-up latency for interrupt handling (improves NIC packet processing) but increases power consumption and heat. Only do this if </w:t>
      </w:r>
      <w:r>
        <w:rPr>
          <w:rFonts w:ascii="Red Hat Mono" w:hAnsi="Red Hat Mono"/>
          <w:color w:val="CC0000"/>
          <w:sz w:val="18"/>
        </w:rPr>
        <w:t>rx_no_bufs</w:t>
      </w:r>
      <w:r>
        <w:rPr>
          <w:sz w:val="20"/>
        </w:rPr>
        <w:t xml:space="preserve"> drops persist after deploying ring buffer and backlog TuneD fixes.</w:t>
      </w:r>
    </w:p>
    <w:p>
      <w:pPr>
        <w:pStyle w:val="Heading2"/>
        <w:ind w:left="283"/>
      </w:pPr>
      <w:r>
        <w:t>IRQ Affinity</w:t>
      </w:r>
    </w:p>
    <w:p>
      <w:pPr>
        <w:ind w:left="283"/>
      </w:pPr>
      <w:r>
        <w:rPr>
          <w:sz w:val="20"/>
        </w:rPr>
        <w:t xml:space="preserve">IRQ affinity pinning is configured via PerformanceProfile. Setting </w:t>
      </w:r>
      <w:r>
        <w:rPr>
          <w:rFonts w:ascii="Red Hat Mono" w:hAnsi="Red Hat Mono"/>
          <w:color w:val="CC0000"/>
          <w:sz w:val="18"/>
        </w:rPr>
        <w:t>globallyDisableIrqLoadBalancing: true</w:t>
      </w:r>
      <w:r>
        <w:rPr>
          <w:sz w:val="20"/>
        </w:rPr>
        <w:t xml:space="preserve"> ensures hardware interrupts only go to reserved CPUs, keeping isolated CPUs free for workload pods.</w:t>
      </w:r>
    </w:p>
    <w:p>
      <w:pPr>
        <w:ind w:left="283"/>
      </w:pPr>
      <w:r>
        <w:rPr>
          <w:b/>
          <w:sz w:val="20"/>
        </w:rPr>
        <w:t>Note:</w:t>
      </w:r>
      <w:r>
        <w:rPr>
          <w:sz w:val="20"/>
        </w:rPr>
        <w:t xml:space="preserve"> The </w:t>
      </w:r>
      <w:r>
        <w:rPr>
          <w:rFonts w:ascii="Red Hat Mono" w:hAnsi="Red Hat Mono"/>
          <w:color w:val="CC0000"/>
          <w:sz w:val="18"/>
        </w:rPr>
        <w:t>spec.net.devices</w:t>
      </w:r>
      <w:r>
        <w:rPr>
          <w:sz w:val="20"/>
        </w:rPr>
        <w:t xml:space="preserve"> field in PerformanceProfile controls NIC queue counts when </w:t>
      </w:r>
      <w:r>
        <w:rPr>
          <w:rFonts w:ascii="Red Hat Mono" w:hAnsi="Red Hat Mono"/>
          <w:color w:val="CC0000"/>
          <w:sz w:val="18"/>
        </w:rPr>
        <w:t>userLevelNetworking: true</w:t>
      </w:r>
      <w:r>
        <w:rPr>
          <w:sz w:val="20"/>
        </w:rPr>
        <w:t xml:space="preserve"> (for DPDK). It does not control IRQ affinity by itself. IRQ affinity for non-DPDK use is controlled by </w:t>
      </w:r>
      <w:r>
        <w:rPr>
          <w:rFonts w:ascii="Red Hat Mono" w:hAnsi="Red Hat Mono"/>
          <w:color w:val="CC0000"/>
          <w:sz w:val="18"/>
        </w:rPr>
        <w:t>globallyDisableIrqLoadBalancing</w:t>
      </w:r>
      <w:r>
        <w:rPr>
          <w:sz w:val="20"/>
        </w:rPr>
        <w:t xml:space="preserve"> and the reserved CPU set.</w:t>
      </w:r>
    </w:p>
    <w:p>
      <w:r>
        <w:br w:type="page"/>
      </w:r>
    </w:p>
    <w:p>
      <w:pPr>
        <w:pStyle w:val="Heading1"/>
      </w:pPr>
      <w:r>
        <w:t>§10 — Parameters You Should NOT Touch</w:t>
      </w:r>
    </w:p>
    <w:p>
      <w:pPr>
        <w:ind w:left="283"/>
      </w:pPr>
      <w:r>
        <w:rPr>
          <w:sz w:val="20"/>
        </w:rPr>
        <w:t>These parameters are managed by OpenShift or have no practical reason to change:</w:t>
      </w:r>
    </w:p>
    <w:tbl>
      <w:tblPr>
        <w:tblStyle w:val="TableGrid"/>
        <w:tblW w:type="pct" w:w="5000"/>
        <w:jc w:val="center"/>
        <w:tblLook w:firstColumn="1" w:firstRow="1" w:lastColumn="0" w:lastRow="0" w:noHBand="0" w:noVBand="1" w:val="04A0"/>
      </w:tblPr>
      <w:tblGrid>
        <w:gridCol w:w="3024"/>
        <w:gridCol w:w="3024"/>
        <w:gridCol w:w="3024"/>
      </w:tblGrid>
      <w:tr>
        <w:trPr>
          <w:cantSplit w:val="true"/>
          <w:tblHeader w:val="true"/>
        </w:trPr>
        <w:tc>
          <w:tcPr>
            <w:tcW w:type="dxa" w:w="302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Parameter</w:t>
            </w:r>
          </w:p>
        </w:tc>
        <w:tc>
          <w:tcPr>
            <w:tcW w:type="dxa" w:w="302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Default</w:t>
            </w:r>
          </w:p>
        </w:tc>
        <w:tc>
          <w:tcPr>
            <w:tcW w:type="dxa" w:w="302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Why leave it alone</w:t>
            </w:r>
          </w:p>
        </w:tc>
      </w:tr>
      <w:tr>
        <w:trPr>
          <w:cantSplit w:val="true"/>
        </w:trPr>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cgroupDriver</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systemd</w:t>
            </w:r>
          </w:p>
        </w:tc>
        <w:tc>
          <w:tcPr>
            <w:tcW w:type="dxa" w:w="3024"/>
            <w:vAlign w:val="center"/>
            <w:tcMar>
              <w:top w:w="60" w:type="dxa"/>
              <w:bottom w:w="60" w:type="dxa"/>
              <w:left w:w="100" w:type="dxa"/>
              <w:right w:w="100" w:type="dxa"/>
            </w:tcMar>
          </w:tcPr>
          <w:p>
            <w:pPr>
              <w:spacing w:before="60" w:after="60"/>
              <w:jc w:val="left"/>
            </w:pPr>
            <w:r/>
            <w:r>
              <w:rPr>
                <w:rFonts w:ascii="Red Hat Text" w:hAnsi="Red Hat Text"/>
                <w:sz w:val="16"/>
              </w:rPr>
              <w:t>Required by OpenShift; changing breaks CRI-O</w:t>
            </w:r>
          </w:p>
        </w:tc>
      </w:tr>
      <w:tr>
        <w:trPr>
          <w:cantSplit w:val="true"/>
        </w:trPr>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cgroupsPerQOS</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true</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Required for QoS class enforcement</w:t>
            </w:r>
          </w:p>
        </w:tc>
      </w:tr>
      <w:tr>
        <w:trPr>
          <w:cantSplit w:val="true"/>
        </w:trPr>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protectKernelDefaults</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false (OCP default)</w:t>
            </w:r>
          </w:p>
        </w:tc>
        <w:tc>
          <w:tcPr>
            <w:tcW w:type="dxa" w:w="3024"/>
            <w:vAlign w:val="center"/>
            <w:tcMar>
              <w:top w:w="60" w:type="dxa"/>
              <w:bottom w:w="60" w:type="dxa"/>
              <w:left w:w="100" w:type="dxa"/>
              <w:right w:w="100" w:type="dxa"/>
            </w:tcMar>
          </w:tcPr>
          <w:p>
            <w:pPr>
              <w:spacing w:before="60" w:after="60"/>
              <w:jc w:val="left"/>
            </w:pPr>
            <w:r/>
            <w:r>
              <w:rPr>
                <w:rFonts w:ascii="Red Hat Text" w:hAnsi="Red Hat Text"/>
                <w:sz w:val="16"/>
              </w:rPr>
              <w:t>Set by MCO; changing may conflict with RHCOS kernel defaults</w:t>
            </w:r>
          </w:p>
        </w:tc>
      </w:tr>
      <w:tr>
        <w:trPr>
          <w:cantSplit w:val="true"/>
        </w:trPr>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failSwapOn</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true</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Swap is not supported on RHCOS</w:t>
            </w:r>
          </w:p>
        </w:tc>
      </w:tr>
      <w:tr>
        <w:trPr>
          <w:cantSplit w:val="true"/>
        </w:trPr>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rotateCertificates</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true</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Required for certificate rotation</w:t>
            </w:r>
          </w:p>
        </w:tc>
      </w:tr>
      <w:tr>
        <w:trPr>
          <w:cantSplit w:val="true"/>
        </w:trPr>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serverTLSBootstrap</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true</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Required for kubelet TLS</w:t>
            </w:r>
          </w:p>
        </w:tc>
      </w:tr>
      <w:tr>
        <w:trPr>
          <w:cantSplit w:val="true"/>
        </w:trPr>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enableControllerAttachDetach</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true</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Required for volume lifecycle</w:t>
            </w:r>
          </w:p>
        </w:tc>
      </w:tr>
      <w:tr>
        <w:trPr>
          <w:cantSplit w:val="true"/>
        </w:trPr>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tlsCipherSuites</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(hardened list)</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Security requirement; do not weaken</w:t>
            </w:r>
          </w:p>
        </w:tc>
      </w:tr>
      <w:tr>
        <w:trPr>
          <w:cantSplit w:val="true"/>
        </w:trPr>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tlsMinVersion</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VersionTLS12</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Security requirement; do not lower</w:t>
            </w:r>
          </w:p>
        </w:tc>
      </w:tr>
      <w:tr>
        <w:trPr>
          <w:cantSplit w:val="true"/>
        </w:trPr>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enforceNodeAllocatable</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[pods]</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Required for resource enforcement</w:t>
            </w:r>
          </w:p>
        </w:tc>
      </w:tr>
      <w:tr>
        <w:trPr>
          <w:cantSplit w:val="true"/>
        </w:trPr>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featureGates</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(managed by OCP)</w:t>
            </w:r>
          </w:p>
        </w:tc>
        <w:tc>
          <w:tcPr>
            <w:tcW w:type="dxa" w:w="3024"/>
            <w:vAlign w:val="center"/>
            <w:tcMar>
              <w:top w:w="60" w:type="dxa"/>
              <w:bottom w:w="60" w:type="dxa"/>
              <w:left w:w="100" w:type="dxa"/>
              <w:right w:w="100" w:type="dxa"/>
            </w:tcMar>
          </w:tcPr>
          <w:p>
            <w:pPr>
              <w:spacing w:before="60" w:after="60"/>
              <w:jc w:val="left"/>
            </w:pPr>
            <w:r/>
            <w:r>
              <w:rPr>
                <w:rFonts w:ascii="Red Hat Text" w:hAnsi="Red Hat Text"/>
                <w:sz w:val="16"/>
              </w:rPr>
              <w:t>Set by cluster version operator; manual changes are overwritten</w:t>
            </w:r>
          </w:p>
        </w:tc>
      </w:tr>
      <w:tr>
        <w:trPr>
          <w:cantSplit w:val="true"/>
        </w:trPr>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address</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0.0.0.0</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Required for metrics/health endpoints</w:t>
            </w:r>
          </w:p>
        </w:tc>
      </w:tr>
      <w:tr>
        <w:trPr>
          <w:cantSplit w:val="true"/>
        </w:trPr>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port</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10250</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Standard kubelet port</w:t>
            </w:r>
          </w:p>
        </w:tc>
      </w:tr>
      <w:tr>
        <w:trPr>
          <w:cantSplit w:val="true"/>
        </w:trPr>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clusterDNS</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(cluster-specific)</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Set during installation</w:t>
            </w:r>
          </w:p>
        </w:tc>
      </w:tr>
      <w:tr>
        <w:trPr>
          <w:cantSplit w:val="true"/>
        </w:trPr>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clusterDomain</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cluster.local</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Set during installation</w:t>
            </w:r>
          </w:p>
        </w:tc>
      </w:tr>
      <w:tr>
        <w:trPr>
          <w:cantSplit w:val="true"/>
        </w:trPr>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staticPodPath</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/etc/kubernetes/manifests</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Required for control-plane static pods</w:t>
            </w:r>
          </w:p>
        </w:tc>
      </w:tr>
      <w:tr>
        <w:trPr>
          <w:cantSplit w:val="true"/>
        </w:trPr>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containerRuntimeEndpoint</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/var/run/crio/crio.sock</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CRI-O socket path; do not change</w:t>
            </w:r>
          </w:p>
        </w:tc>
      </w:tr>
      <w:tr>
        <w:trPr>
          <w:cantSplit w:val="true"/>
        </w:trPr>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systemCgroups</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/system.slice</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RHCOS systemd cgroup layout</w:t>
            </w:r>
          </w:p>
        </w:tc>
      </w:tr>
      <w:tr>
        <w:trPr>
          <w:cantSplit w:val="true"/>
        </w:trPr>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hairpinMode</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promiscuous-bridge</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Required for service networking</w:t>
            </w:r>
          </w:p>
        </w:tc>
      </w:tr>
      <w:tr>
        <w:trPr>
          <w:cantSplit w:val="true"/>
        </w:trPr>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oomScoreAdj</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-999</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Protects kubelet from OOM killer</w:t>
            </w:r>
          </w:p>
        </w:tc>
      </w:tr>
      <w:tr>
        <w:trPr>
          <w:cantSplit w:val="true"/>
        </w:trPr>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maxOpenFiles</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1000000</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Already set high; rarely needs change</w:t>
            </w:r>
          </w:p>
        </w:tc>
      </w:tr>
      <w:tr>
        <w:trPr>
          <w:cantSplit w:val="true"/>
        </w:trPr>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seccompDefault</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false</w:t>
            </w:r>
          </w:p>
        </w:tc>
        <w:tc>
          <w:tcPr>
            <w:tcW w:type="dxa" w:w="3024"/>
            <w:vAlign w:val="center"/>
            <w:tcMar>
              <w:top w:w="60" w:type="dxa"/>
              <w:bottom w:w="60" w:type="dxa"/>
              <w:left w:w="100" w:type="dxa"/>
              <w:right w:w="100" w:type="dxa"/>
            </w:tcMar>
            <w:shd w:fill="F5F5F5"/>
          </w:tcPr>
          <w:p>
            <w:pPr>
              <w:spacing w:before="60" w:after="60"/>
              <w:jc w:val="left"/>
            </w:pPr>
            <w:r/>
            <w:r>
              <w:rPr>
                <w:rFonts w:ascii="Red Hat Text" w:hAnsi="Red Hat Text"/>
                <w:sz w:val="16"/>
              </w:rPr>
              <w:t>Enabling may break workloads without seccomp profiles</w:t>
            </w:r>
          </w:p>
        </w:tc>
      </w:tr>
      <w:tr>
        <w:trPr>
          <w:cantSplit w:val="true"/>
        </w:trPr>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memoryThrottlingFactor</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0.9</w:t>
            </w:r>
          </w:p>
        </w:tc>
        <w:tc>
          <w:tcPr>
            <w:tcW w:type="dxa" w:w="3024"/>
            <w:vAlign w:val="center"/>
            <w:tcMar>
              <w:top w:w="60" w:type="dxa"/>
              <w:bottom w:w="60" w:type="dxa"/>
              <w:left w:w="100" w:type="dxa"/>
              <w:right w:w="100" w:type="dxa"/>
            </w:tcMar>
          </w:tcPr>
          <w:p>
            <w:pPr>
              <w:spacing w:before="60" w:after="60"/>
              <w:jc w:val="left"/>
            </w:pPr>
            <w:r/>
            <w:r>
              <w:rPr>
                <w:rFonts w:ascii="Red Hat Text" w:hAnsi="Red Hat Text"/>
                <w:sz w:val="16"/>
              </w:rPr>
              <w:t>Kernel memory throttling ratio; default is appropriate</w:t>
            </w:r>
          </w:p>
        </w:tc>
      </w:tr>
      <w:tr>
        <w:trPr>
          <w:cantSplit w:val="true"/>
        </w:trPr>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cpuCFSQuota</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true</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Required for CPU limit enforcement</w:t>
            </w:r>
          </w:p>
        </w:tc>
      </w:tr>
      <w:tr>
        <w:trPr>
          <w:cantSplit w:val="true"/>
        </w:trPr>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eventRecordQPS / eventBurst</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50/100</w:t>
            </w:r>
          </w:p>
        </w:tc>
        <w:tc>
          <w:tcPr>
            <w:tcW w:type="dxa" w:w="3024"/>
            <w:vAlign w:val="center"/>
            <w:tcMar>
              <w:top w:w="60" w:type="dxa"/>
              <w:bottom w:w="60" w:type="dxa"/>
              <w:left w:w="100" w:type="dxa"/>
              <w:right w:w="100" w:type="dxa"/>
            </w:tcMar>
          </w:tcPr>
          <w:p>
            <w:pPr>
              <w:spacing w:before="60" w:after="60"/>
              <w:jc w:val="left"/>
            </w:pPr>
            <w:r/>
            <w:r>
              <w:rPr>
                <w:rFonts w:ascii="Red Hat Text" w:hAnsi="Red Hat Text"/>
                <w:sz w:val="16"/>
              </w:rPr>
              <w:t>Event rate limiting; default is appropriate</w:t>
            </w:r>
          </w:p>
        </w:tc>
      </w:tr>
      <w:tr>
        <w:trPr>
          <w:cantSplit w:val="true"/>
        </w:trPr>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nodeLeaseDurationSeconds</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40</w:t>
            </w:r>
          </w:p>
        </w:tc>
        <w:tc>
          <w:tcPr>
            <w:tcW w:type="dxa" w:w="3024"/>
            <w:vAlign w:val="center"/>
            <w:tcMar>
              <w:top w:w="60" w:type="dxa"/>
              <w:bottom w:w="60" w:type="dxa"/>
              <w:left w:w="100" w:type="dxa"/>
              <w:right w:w="100" w:type="dxa"/>
            </w:tcMar>
            <w:shd w:fill="F5F5F5"/>
          </w:tcPr>
          <w:p>
            <w:pPr>
              <w:spacing w:before="60" w:after="60"/>
              <w:jc w:val="left"/>
            </w:pPr>
            <w:r/>
            <w:r>
              <w:rPr>
                <w:rFonts w:ascii="Red Hat Text" w:hAnsi="Red Hat Text"/>
                <w:sz w:val="16"/>
              </w:rPr>
              <w:t>Node lease heartbeat; changing affects NotReady detection timing</w:t>
            </w:r>
          </w:p>
        </w:tc>
      </w:tr>
    </w:tbl>
    <w:p>
      <w:r>
        <w:br w:type="page"/>
      </w:r>
    </w:p>
    <w:p>
      <w:pPr>
        <w:pStyle w:val="Heading1"/>
      </w:pPr>
      <w:r>
        <w:t>Appendix A — Customer KubeletConfig Divergence Analysis</w:t>
      </w:r>
    </w:p>
    <w:p>
      <w:pPr>
        <w:ind w:left="283"/>
      </w:pPr>
      <w:r>
        <w:rPr>
          <w:sz w:val="20"/>
        </w:rPr>
        <w:t>Baseline: live kubelet configz from a vanilla OCP 4.16.49 worker (no KubeletConfig CR applied).</w:t>
      </w:r>
    </w:p>
    <w:p>
      <w:pPr>
        <w:ind w:left="283"/>
      </w:pPr>
      <w:r>
        <w:rPr>
          <w:sz w:val="20"/>
        </w:rPr>
        <w:t>Cluster: v1.29.14+f3d9123, RHCOS 416.94, kernel 5.14.0-427.91.1.el9_4.</w:t>
      </w:r>
    </w:p>
    <w:p>
      <w:pPr>
        <w:pStyle w:val="Heading2"/>
        <w:ind w:left="283"/>
      </w:pPr>
      <w:r>
        <w:t>Case Archive Lore</w:t>
      </w:r>
    </w:p>
    <w:p>
      <w:pPr>
        <w:ind w:left="283"/>
      </w:pPr>
      <w:r>
        <w:rPr>
          <w:sz w:val="20"/>
        </w:rPr>
        <w:t>Historical support cases that explain why specific KubeletConfig settings were chosen. Source: 83 cases from the customer archive, cross-referenced against each divergent setting.</w:t>
      </w:r>
    </w:p>
    <w:p>
      <w:pPr>
        <w:ind w:left="283"/>
      </w:pPr>
      <w:r>
        <w:rPr>
          <w:b/>
          <w:sz w:val="20"/>
        </w:rPr>
        <w:t>Case 03548427 — PLEG / CRI-O Panic (OCP 4.12, Jun–Sep 2023)</w:t>
      </w:r>
    </w:p>
    <w:p>
      <w:pPr>
        <w:ind w:left="283"/>
      </w:pPr>
      <w:r>
        <w:rPr>
          <w:sz w:val="20"/>
        </w:rPr>
        <w:t>The "master reference" case for this cluster's kubelet tuning. After upgrading from OCP 4.12.2 to 4.12.15, workers went NotReady with PLEG failures and CRI-O panics ("close of closed channel"). Cisco UCS bare-metal nodes (56 cores, 756GB RAM) with NetApp iSCSI.</w:t>
      </w:r>
    </w:p>
    <w:p>
      <w:pPr>
        <w:ind w:left="283"/>
      </w:pPr>
      <w:r>
        <w:rPr>
          <w:sz w:val="20"/>
        </w:rPr>
        <w:t>Timeline of config changes during the crisis:</w:t>
      </w:r>
    </w:p>
    <w:p>
      <w:pPr>
        <w:pStyle w:val="ListBullet"/>
        <w:ind w:left="850"/>
      </w:pPr>
      <w:r>
        <w:rPr>
          <w:b/>
          <w:sz w:val="20"/>
        </w:rPr>
        <w:t>Jun 29</w:t>
      </w:r>
      <w:r>
        <w:rPr>
          <w:sz w:val="20"/>
        </w:rPr>
        <w:t xml:space="preserve">: KubeletConfig dump shows original state: </w:t>
      </w:r>
      <w:r>
        <w:rPr>
          <w:rFonts w:ascii="Red Hat Mono" w:hAnsi="Red Hat Mono"/>
          <w:color w:val="CC0000"/>
          <w:sz w:val="18"/>
        </w:rPr>
        <w:t>autoSizingReserved: true</w:t>
      </w:r>
      <w:r>
        <w:rPr>
          <w:sz w:val="20"/>
        </w:rPr>
        <w:t xml:space="preserve">, </w:t>
      </w:r>
      <w:r>
        <w:rPr>
          <w:rFonts w:ascii="Red Hat Mono" w:hAnsi="Red Hat Mono"/>
          <w:color w:val="CC0000"/>
          <w:sz w:val="18"/>
        </w:rPr>
        <w:t>maxPods: 500</w:t>
      </w:r>
      <w:r>
        <w:rPr>
          <w:sz w:val="20"/>
        </w:rPr>
        <w:t xml:space="preserve">, </w:t>
      </w:r>
      <w:r>
        <w:rPr>
          <w:rFonts w:ascii="Red Hat Mono" w:hAnsi="Red Hat Mono"/>
          <w:color w:val="CC0000"/>
          <w:sz w:val="18"/>
        </w:rPr>
        <w:t>nodeStatusMaxImages: 500</w:t>
      </w:r>
      <w:r>
        <w:rPr>
          <w:sz w:val="20"/>
        </w:rPr>
        <w:t xml:space="preserve">, </w:t>
      </w:r>
      <w:r>
        <w:rPr>
          <w:rFonts w:ascii="Red Hat Mono" w:hAnsi="Red Hat Mono"/>
          <w:color w:val="CC0000"/>
          <w:sz w:val="18"/>
        </w:rPr>
        <w:t>allowedUnsafeSysctls: [net.core.somaxconn]</w:t>
      </w:r>
    </w:p>
    <w:p>
      <w:pPr>
        <w:pStyle w:val="ListBullet"/>
        <w:ind w:left="850"/>
      </w:pPr>
      <w:r>
        <w:rPr>
          <w:b/>
          <w:sz w:val="20"/>
        </w:rPr>
        <w:t>Jul 2</w:t>
      </w:r>
      <w:r>
        <w:rPr>
          <w:sz w:val="20"/>
        </w:rPr>
        <w:t xml:space="preserve"> (PS consultant): *"Over 10,000 zombie processes. Attempting to restrict container PIDs to 1024 (default value in 4.10)."*</w:t>
      </w:r>
    </w:p>
    <w:p>
      <w:pPr>
        <w:pStyle w:val="ListBullet"/>
        <w:ind w:left="850"/>
      </w:pPr>
      <w:r>
        <w:rPr>
          <w:b/>
          <w:sz w:val="20"/>
        </w:rPr>
        <w:t>Jul 3</w:t>
      </w:r>
      <w:r>
        <w:rPr>
          <w:sz w:val="20"/>
        </w:rPr>
        <w:t>: *"Changed pids_limit to 1024 on all workers."*</w:t>
      </w:r>
    </w:p>
    <w:p>
      <w:pPr>
        <w:pStyle w:val="ListBullet"/>
        <w:ind w:left="850"/>
      </w:pPr>
      <w:r>
        <w:rPr>
          <w:b/>
          <w:sz w:val="20"/>
        </w:rPr>
        <w:t>Jul 5</w:t>
      </w:r>
      <w:r>
        <w:rPr>
          <w:sz w:val="20"/>
        </w:rPr>
        <w:t xml:space="preserve"> (Internal): *"CU tried the crio wipe and reduced the pid limit to 1024 and still faced the issue"* — the PID limit did not fix the issue.</w:t>
      </w:r>
    </w:p>
    <w:p>
      <w:pPr>
        <w:pStyle w:val="ListBullet"/>
        <w:ind w:left="850"/>
      </w:pPr>
      <w:r>
        <w:rPr>
          <w:b/>
          <w:sz w:val="20"/>
        </w:rPr>
        <w:t>Jul 5</w:t>
      </w:r>
      <w:r>
        <w:rPr>
          <w:sz w:val="20"/>
        </w:rPr>
        <w:t>: Investigation split: (1) maxPods=500 with default kubeAPIBurst/QPS + hostPrefix /23, (2) CRI-O race condition (actual root cause).</w:t>
      </w:r>
    </w:p>
    <w:p>
      <w:pPr>
        <w:pStyle w:val="ListBullet"/>
        <w:ind w:left="850"/>
      </w:pPr>
      <w:r>
        <w:rPr>
          <w:b/>
          <w:sz w:val="20"/>
        </w:rPr>
        <w:t>Jul 6</w:t>
      </w:r>
      <w:r>
        <w:rPr>
          <w:sz w:val="20"/>
        </w:rPr>
        <w:t>: Changed kubeletconfig — decreased maxPods to 400, increased kubeAPIQPS to 100 and kubeAPIBurst to 200.</w:t>
      </w:r>
    </w:p>
    <w:p>
      <w:pPr>
        <w:pStyle w:val="ListBullet"/>
        <w:ind w:left="850"/>
      </w:pPr>
      <w:r>
        <w:rPr>
          <w:b/>
          <w:sz w:val="20"/>
        </w:rPr>
        <w:t>Jul 17</w:t>
      </w:r>
      <w:r>
        <w:rPr>
          <w:sz w:val="20"/>
        </w:rPr>
        <w:t>: Customer kept auto-sizing, split cluster into two pools (maxPods=250 and maxPods=500).</w:t>
      </w:r>
    </w:p>
    <w:p>
      <w:pPr>
        <w:ind w:left="283"/>
      </w:pPr>
      <w:r>
        <w:rPr>
          <w:sz w:val="20"/>
        </w:rPr>
        <w:t>Root cause: CRI-O race condition (OCPBUGS-15868), fixed in OCP 4.12.30 (RHSA-2023:4671).</w:t>
      </w:r>
    </w:p>
    <w:p>
      <w:pPr>
        <w:ind w:left="283"/>
      </w:pPr>
      <w:r>
        <w:rPr>
          <w:b/>
          <w:sz w:val="20"/>
        </w:rPr>
        <w:t>Case 03562048 — Manual Node Sizing (OCP 4.12, Jul 2023)</w:t>
      </w:r>
    </w:p>
    <w:p>
      <w:pPr>
        <w:ind w:left="283"/>
      </w:pPr>
      <w:r>
        <w:rPr>
          <w:sz w:val="20"/>
        </w:rPr>
        <w:t xml:space="preserve">Red Hat engineering recommended: </w:t>
      </w:r>
      <w:r>
        <w:rPr>
          <w:rFonts w:ascii="Red Hat Mono" w:hAnsi="Red Hat Mono"/>
          <w:color w:val="CC0000"/>
          <w:sz w:val="18"/>
        </w:rPr>
        <w:t>systemReserved cpu: 4000m, memory: 10Gi</w:t>
      </w:r>
      <w:r>
        <w:rPr>
          <w:sz w:val="20"/>
        </w:rPr>
        <w:t>. Auto-sizing yielded CPU=210m (enforced as 500m), Memory=22Gi for the 756GB workers. Customer decided not to switch, but the CPU recommendation (4000m) was later adopted. The memory recommendation (10Gi) was not — current value is 500Mi.</w:t>
      </w:r>
    </w:p>
    <w:p>
      <w:pPr>
        <w:ind w:left="283"/>
      </w:pPr>
      <w:r>
        <w:rPr>
          <w:sz w:val="20"/>
        </w:rPr>
        <w:t xml:space="preserve">Auto-sizing values confirmed from </w:t>
      </w:r>
      <w:r>
        <w:rPr>
          <w:rFonts w:ascii="Red Hat Mono" w:hAnsi="Red Hat Mono"/>
          <w:color w:val="CC0000"/>
          <w:sz w:val="18"/>
        </w:rPr>
        <w:t>/etc/node-sizing.env</w:t>
      </w:r>
      <w:r>
        <w:rPr>
          <w:sz w:val="20"/>
        </w:rPr>
        <w:t>:</w:t>
      </w:r>
    </w:p>
    <w:p>
      <w:pPr>
        <w:pStyle w:val="ListBullet"/>
        <w:ind w:left="850"/>
      </w:pPr>
      <w:r>
        <w:rPr>
          <w:sz w:val="20"/>
        </w:rPr>
        <w:t>Masters (20 vCPU, 130GB): memory=9Gi, cpu=117m (enforced 500m), es=1Gi</w:t>
      </w:r>
    </w:p>
    <w:p>
      <w:pPr>
        <w:pStyle w:val="ListBullet"/>
        <w:ind w:left="850"/>
      </w:pPr>
      <w:r>
        <w:rPr>
          <w:sz w:val="20"/>
        </w:rPr>
        <w:t>Infra VMs (12 vCPU, 42GB): memory=4Gi, cpu=100m (enforced 500m), es=1Gi</w:t>
      </w:r>
    </w:p>
    <w:p>
      <w:pPr>
        <w:pStyle w:val="ListBullet"/>
        <w:ind w:left="850"/>
      </w:pPr>
      <w:r>
        <w:rPr>
          <w:sz w:val="20"/>
        </w:rPr>
        <w:t>Workers BM (56 CPU, 756GB): memory=22Gi, cpu=210m (enforced 500m), es=1Gi</w:t>
      </w:r>
    </w:p>
    <w:p>
      <w:pPr>
        <w:ind w:left="283"/>
      </w:pPr>
      <w:r>
        <w:rPr>
          <w:b/>
          <w:sz w:val="20"/>
        </w:rPr>
        <w:t>Case 03703812 — Kubelet GC Under High Load (OCP 4.12, Jan 2024)</w:t>
      </w:r>
    </w:p>
    <w:p>
      <w:pPr>
        <w:ind w:left="283"/>
      </w:pPr>
      <w:r>
        <w:rPr>
          <w:sz w:val="20"/>
        </w:rPr>
        <w:t>Workers with maxPods=500 and systemReserved at 4 CPU cores + 20GB RAM had load averages over 100. Kubelet consumed up to 6 CPU cores. pprof showed GC as the top consumer. Resolved by cleaning pods stuck in error state. Confirms systemReserved.cpu: 4000m is justified.</w:t>
      </w:r>
    </w:p>
    <w:p>
      <w:pPr>
        <w:ind w:left="283"/>
      </w:pPr>
      <w:r>
        <w:rPr>
          <w:b/>
          <w:sz w:val="20"/>
        </w:rPr>
        <w:t>Case 04046963 — Pod Startup Delay After Drain (OCP 4.12, Jan–Mar 2025)</w:t>
      </w:r>
    </w:p>
    <w:p>
      <w:pPr>
        <w:ind w:left="283"/>
      </w:pPr>
      <w:r>
        <w:rPr>
          <w:sz w:val="20"/>
        </w:rPr>
        <w:t>300-400 pods restarting simultaneously caused CRI-O timeouts. Confirmed systemReserved.memory was already at 500Mi. Configured registryPullQPS: 50, registryBurst: 100. Tried increasing to 8 cores CPU and 5Gi memory with no improvement (the issue was OVS-related, not resource starvation).</w:t>
      </w:r>
    </w:p>
    <w:p>
      <w:pPr>
        <w:ind w:left="283"/>
      </w:pPr>
      <w:r>
        <w:rPr>
          <w:b/>
          <w:sz w:val="20"/>
        </w:rPr>
        <w:t>Case 04472910 — Multus Thread Exhaustion (OCP 4.16, Jun 2026)</w:t>
      </w:r>
    </w:p>
    <w:p>
      <w:pPr>
        <w:ind w:left="283"/>
      </w:pPr>
      <w:r>
        <w:rPr>
          <w:sz w:val="20"/>
        </w:rPr>
        <w:t>Multus daemon hit pids.max=1024 due to Go runtime thread accumulation during OVS/OVN stalls. Red Hat recommended raising podPidsLimit to 4096 immediately.</w:t>
      </w:r>
    </w:p>
    <w:p>
      <w:pPr>
        <w:pStyle w:val="Heading2"/>
        <w:ind w:left="283"/>
      </w:pPr>
      <w:r>
        <w:t>Per-Pool Divergence Tables</w:t>
      </w:r>
    </w:p>
    <w:p>
      <w:pPr>
        <w:ind w:left="283"/>
      </w:pPr>
      <w:r>
        <w:rPr>
          <w:b/>
          <w:sz w:val="20"/>
        </w:rPr>
        <w:t>master-kubeletconfig</w:t>
      </w:r>
      <w:r>
        <w:rPr>
          <w:sz w:val="20"/>
        </w:rPr>
        <w:t xml:space="preserve"> — 1 divergence:</w:t>
      </w:r>
    </w:p>
    <w:tbl>
      <w:tblPr>
        <w:tblStyle w:val="TableGrid"/>
        <w:tblW w:type="pct" w:w="5000"/>
        <w:jc w:val="center"/>
        <w:tblLook w:firstColumn="1" w:firstRow="1" w:lastColumn="0" w:lastRow="0" w:noHBand="0" w:noVBand="1" w:val="04A0"/>
      </w:tblPr>
      <w:tblGrid>
        <w:gridCol w:w="1814"/>
        <w:gridCol w:w="1814"/>
        <w:gridCol w:w="1814"/>
        <w:gridCol w:w="1814"/>
        <w:gridCol w:w="1814"/>
      </w:tblGrid>
      <w:tr>
        <w:trPr>
          <w:cantSplit w:val="true"/>
          <w:tblHeader w:val="true"/>
        </w:trPr>
        <w:tc>
          <w:tcPr>
            <w:tcW w:type="dxa" w:w="181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Field</w:t>
            </w:r>
          </w:p>
        </w:tc>
        <w:tc>
          <w:tcPr>
            <w:tcW w:type="dxa" w:w="181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OCP Default</w:t>
            </w:r>
          </w:p>
        </w:tc>
        <w:tc>
          <w:tcPr>
            <w:tcW w:type="dxa" w:w="181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Customer Value</w:t>
            </w:r>
          </w:p>
        </w:tc>
        <w:tc>
          <w:tcPr>
            <w:tcW w:type="dxa" w:w="181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Origin</w:t>
            </w:r>
          </w:p>
        </w:tc>
        <w:tc>
          <w:tcPr>
            <w:tcW w:type="dxa" w:w="181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Notes</w:t>
            </w:r>
          </w:p>
        </w:tc>
      </w:tr>
      <w:tr>
        <w:trPr>
          <w:cantSplit w:val="true"/>
        </w:trPr>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autoSizingReserved</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not set</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true</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Case 03548427</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Auto-calculates system reserves</w:t>
            </w:r>
          </w:p>
        </w:tc>
      </w:tr>
    </w:tbl>
    <w:p>
      <w:pPr>
        <w:ind w:left="283"/>
      </w:pPr>
      <w:r>
        <w:rPr>
          <w:b/>
          <w:sz w:val="20"/>
        </w:rPr>
        <w:t>infra-kubeletconfig</w:t>
      </w:r>
      <w:r>
        <w:rPr>
          <w:sz w:val="20"/>
        </w:rPr>
        <w:t xml:space="preserve"> — 5 divergences:</w:t>
      </w:r>
    </w:p>
    <w:tbl>
      <w:tblPr>
        <w:tblStyle w:val="TableGrid"/>
        <w:tblW w:type="pct" w:w="5000"/>
        <w:jc w:val="center"/>
        <w:tblLook w:firstColumn="1" w:firstRow="1" w:lastColumn="0" w:lastRow="0" w:noHBand="0" w:noVBand="1" w:val="04A0"/>
      </w:tblPr>
      <w:tblGrid>
        <w:gridCol w:w="1512"/>
        <w:gridCol w:w="1512"/>
        <w:gridCol w:w="1512"/>
        <w:gridCol w:w="1512"/>
        <w:gridCol w:w="1512"/>
        <w:gridCol w:w="1512"/>
      </w:tblGrid>
      <w:tr>
        <w:trPr>
          <w:cantSplit w:val="true"/>
          <w:tblHeader w:val="true"/>
        </w:trPr>
        <w:tc>
          <w:tcPr>
            <w:tcW w:type="dxa" w:w="1512"/>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Field</w:t>
            </w:r>
          </w:p>
        </w:tc>
        <w:tc>
          <w:tcPr>
            <w:tcW w:type="dxa" w:w="1512"/>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OCP Default</w:t>
            </w:r>
          </w:p>
        </w:tc>
        <w:tc>
          <w:tcPr>
            <w:tcW w:type="dxa" w:w="1512"/>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Customer Value</w:t>
            </w:r>
          </w:p>
        </w:tc>
        <w:tc>
          <w:tcPr>
            <w:tcW w:type="dxa" w:w="1512"/>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Severity</w:t>
            </w:r>
          </w:p>
        </w:tc>
        <w:tc>
          <w:tcPr>
            <w:tcW w:type="dxa" w:w="1512"/>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Origin</w:t>
            </w:r>
          </w:p>
        </w:tc>
        <w:tc>
          <w:tcPr>
            <w:tcW w:type="dxa" w:w="1512"/>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Notes</w:t>
            </w:r>
          </w:p>
        </w:tc>
      </w:tr>
      <w:tr>
        <w:trPr>
          <w:cantSplit w:val="true"/>
        </w:trPr>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autoSizingReserved</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not set</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true</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INFO</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Case 03548427</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Auto-calculates system reserves</w:t>
            </w:r>
          </w:p>
        </w:tc>
      </w:tr>
      <w:tr>
        <w:trPr>
          <w:cantSplit w:val="true"/>
        </w:trPr>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allowedUnsafeSysctls</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(none)</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net.core.somaxconn</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INFO</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(no case lore)</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Enables pod-level somaxconn override</w:t>
            </w:r>
          </w:p>
        </w:tc>
      </w:tr>
      <w:tr>
        <w:trPr>
          <w:cantSplit w:val="true"/>
        </w:trPr>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maxPods</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250</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100</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INFO</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(no case lore)</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Infra nodes run fewer, heavier pods</w:t>
            </w:r>
          </w:p>
        </w:tc>
      </w:tr>
      <w:tr>
        <w:trPr>
          <w:cantSplit w:val="true"/>
        </w:trPr>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nodeStatusMaxImages</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50</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250</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INFO</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(no case lore)</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Reports more images in node status</w:t>
            </w:r>
          </w:p>
        </w:tc>
      </w:tr>
      <w:tr>
        <w:trPr>
          <w:cantSplit w:val="true"/>
        </w:trPr>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podPidsLimit</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4096</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1024</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CRITICAL</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Case 03548427 / 04472910</w:t>
            </w:r>
          </w:p>
        </w:tc>
        <w:tc>
          <w:tcPr>
            <w:tcW w:type="dxa" w:w="1512"/>
            <w:vAlign w:val="center"/>
            <w:tcMar>
              <w:top w:w="60" w:type="dxa"/>
              <w:bottom w:w="60" w:type="dxa"/>
              <w:left w:w="100" w:type="dxa"/>
              <w:right w:w="100" w:type="dxa"/>
            </w:tcMar>
          </w:tcPr>
          <w:p>
            <w:pPr>
              <w:spacing w:before="60" w:after="60"/>
              <w:jc w:val="left"/>
            </w:pPr>
            <w:r/>
            <w:r>
              <w:rPr>
                <w:rFonts w:ascii="Red Hat Text" w:hAnsi="Red Hat Text"/>
                <w:sz w:val="16"/>
              </w:rPr>
              <w:t>Emergency measure (Jul 2023) that did not fix the CRI-O issue. Later caused Multus failure on OCP 4.16.</w:t>
            </w:r>
          </w:p>
        </w:tc>
      </w:tr>
    </w:tbl>
    <w:p>
      <w:pPr>
        <w:ind w:left="283"/>
      </w:pPr>
      <w:r>
        <w:rPr>
          <w:b/>
          <w:sz w:val="20"/>
        </w:rPr>
        <w:t>normal-worker-kubeletconfig</w:t>
      </w:r>
      <w:r>
        <w:rPr>
          <w:sz w:val="20"/>
        </w:rPr>
        <w:t xml:space="preserve"> — 3 divergences:</w:t>
      </w:r>
    </w:p>
    <w:tbl>
      <w:tblPr>
        <w:tblStyle w:val="TableGrid"/>
        <w:tblW w:type="pct" w:w="5000"/>
        <w:jc w:val="center"/>
        <w:tblLook w:firstColumn="1" w:firstRow="1" w:lastColumn="0" w:lastRow="0" w:noHBand="0" w:noVBand="1" w:val="04A0"/>
      </w:tblPr>
      <w:tblGrid>
        <w:gridCol w:w="1512"/>
        <w:gridCol w:w="1512"/>
        <w:gridCol w:w="1512"/>
        <w:gridCol w:w="1512"/>
        <w:gridCol w:w="1512"/>
        <w:gridCol w:w="1512"/>
      </w:tblGrid>
      <w:tr>
        <w:trPr>
          <w:cantSplit w:val="true"/>
          <w:tblHeader w:val="true"/>
        </w:trPr>
        <w:tc>
          <w:tcPr>
            <w:tcW w:type="dxa" w:w="1512"/>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Field</w:t>
            </w:r>
          </w:p>
        </w:tc>
        <w:tc>
          <w:tcPr>
            <w:tcW w:type="dxa" w:w="1512"/>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OCP Default</w:t>
            </w:r>
          </w:p>
        </w:tc>
        <w:tc>
          <w:tcPr>
            <w:tcW w:type="dxa" w:w="1512"/>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Customer Value</w:t>
            </w:r>
          </w:p>
        </w:tc>
        <w:tc>
          <w:tcPr>
            <w:tcW w:type="dxa" w:w="1512"/>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Severity</w:t>
            </w:r>
          </w:p>
        </w:tc>
        <w:tc>
          <w:tcPr>
            <w:tcW w:type="dxa" w:w="1512"/>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Origin</w:t>
            </w:r>
          </w:p>
        </w:tc>
        <w:tc>
          <w:tcPr>
            <w:tcW w:type="dxa" w:w="1512"/>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Notes</w:t>
            </w:r>
          </w:p>
        </w:tc>
      </w:tr>
      <w:tr>
        <w:trPr>
          <w:cantSplit w:val="true"/>
        </w:trPr>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autoSizingReserved</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not set</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true</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WARNING</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Case 03548427</w:t>
            </w:r>
          </w:p>
        </w:tc>
        <w:tc>
          <w:tcPr>
            <w:tcW w:type="dxa" w:w="1512"/>
            <w:vAlign w:val="center"/>
            <w:tcMar>
              <w:top w:w="60" w:type="dxa"/>
              <w:bottom w:w="60" w:type="dxa"/>
              <w:left w:w="100" w:type="dxa"/>
              <w:right w:w="100" w:type="dxa"/>
            </w:tcMar>
          </w:tcPr>
          <w:p>
            <w:pPr>
              <w:spacing w:before="60" w:after="60"/>
              <w:jc w:val="left"/>
            </w:pPr>
            <w:r/>
            <w:r>
              <w:rPr>
                <w:rFonts w:ascii="Red Hat Text" w:hAnsi="Red Hat Text"/>
                <w:sz w:val="16"/>
              </w:rPr>
              <w:t>Auto-sizing reserves only 500m CPU for a 500-pod node. Manual sizing needed.</w:t>
            </w:r>
          </w:p>
        </w:tc>
      </w:tr>
      <w:tr>
        <w:trPr>
          <w:cantSplit w:val="true"/>
        </w:trPr>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allowedUnsafeSysctls</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(none)</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net.core.somaxconn</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INFO</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(no case lore)</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Enables pod-level somaxconn override</w:t>
            </w:r>
          </w:p>
        </w:tc>
      </w:tr>
      <w:tr>
        <w:trPr>
          <w:cantSplit w:val="true"/>
        </w:trPr>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maxPods</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250</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500</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WARNING</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Case 03548427</w:t>
            </w:r>
          </w:p>
        </w:tc>
        <w:tc>
          <w:tcPr>
            <w:tcW w:type="dxa" w:w="1512"/>
            <w:vAlign w:val="center"/>
            <w:tcMar>
              <w:top w:w="60" w:type="dxa"/>
              <w:bottom w:w="60" w:type="dxa"/>
              <w:left w:w="100" w:type="dxa"/>
              <w:right w:w="100" w:type="dxa"/>
            </w:tcMar>
          </w:tcPr>
          <w:p>
            <w:pPr>
              <w:spacing w:before="60" w:after="60"/>
              <w:jc w:val="left"/>
            </w:pPr>
            <w:r/>
            <w:r>
              <w:rPr>
                <w:rFonts w:ascii="Red Hat Text" w:hAnsi="Red Hat Text"/>
                <w:sz w:val="16"/>
              </w:rPr>
              <w:t>High-density with default kubeAPIQPS=50 — should be raised to 100</w:t>
            </w:r>
          </w:p>
        </w:tc>
      </w:tr>
    </w:tbl>
    <w:p>
      <w:pPr>
        <w:ind w:left="283"/>
      </w:pPr>
      <w:r>
        <w:rPr>
          <w:b/>
          <w:sz w:val="20"/>
        </w:rPr>
        <w:t>tuned-worker-kubeletconfig</w:t>
      </w:r>
      <w:r>
        <w:rPr>
          <w:sz w:val="20"/>
        </w:rPr>
        <w:t xml:space="preserve"> — 23 intentional divergences + 14 config dump artifacts:</w:t>
      </w:r>
    </w:p>
    <w:tbl>
      <w:tblPr>
        <w:tblStyle w:val="TableGrid"/>
        <w:tblW w:type="pct" w:w="5000"/>
        <w:jc w:val="center"/>
        <w:tblLook w:firstColumn="1" w:firstRow="1" w:lastColumn="0" w:lastRow="0" w:noHBand="0" w:noVBand="1" w:val="04A0"/>
      </w:tblPr>
      <w:tblGrid>
        <w:gridCol w:w="1512"/>
        <w:gridCol w:w="1512"/>
        <w:gridCol w:w="1512"/>
        <w:gridCol w:w="1512"/>
        <w:gridCol w:w="1512"/>
        <w:gridCol w:w="1512"/>
      </w:tblGrid>
      <w:tr>
        <w:trPr>
          <w:cantSplit w:val="true"/>
          <w:tblHeader w:val="true"/>
        </w:trPr>
        <w:tc>
          <w:tcPr>
            <w:tcW w:type="dxa" w:w="1512"/>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Field</w:t>
            </w:r>
          </w:p>
        </w:tc>
        <w:tc>
          <w:tcPr>
            <w:tcW w:type="dxa" w:w="1512"/>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OCP Default</w:t>
            </w:r>
          </w:p>
        </w:tc>
        <w:tc>
          <w:tcPr>
            <w:tcW w:type="dxa" w:w="1512"/>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Customer Value</w:t>
            </w:r>
          </w:p>
        </w:tc>
        <w:tc>
          <w:tcPr>
            <w:tcW w:type="dxa" w:w="1512"/>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Severity</w:t>
            </w:r>
          </w:p>
        </w:tc>
        <w:tc>
          <w:tcPr>
            <w:tcW w:type="dxa" w:w="1512"/>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Origin</w:t>
            </w:r>
          </w:p>
        </w:tc>
        <w:tc>
          <w:tcPr>
            <w:tcW w:type="dxa" w:w="1512"/>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Notes</w:t>
            </w:r>
          </w:p>
        </w:tc>
      </w:tr>
      <w:tr>
        <w:trPr>
          <w:cantSplit w:val="true"/>
        </w:trPr>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autoSizingReserved</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true (other roles)</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not set</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WARNING</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Case 03562048</w:t>
            </w:r>
          </w:p>
        </w:tc>
        <w:tc>
          <w:tcPr>
            <w:tcW w:type="dxa" w:w="1512"/>
            <w:vAlign w:val="center"/>
            <w:tcMar>
              <w:top w:w="60" w:type="dxa"/>
              <w:bottom w:w="60" w:type="dxa"/>
              <w:left w:w="100" w:type="dxa"/>
              <w:right w:w="100" w:type="dxa"/>
            </w:tcMar>
          </w:tcPr>
          <w:p>
            <w:pPr>
              <w:spacing w:before="60" w:after="60"/>
              <w:jc w:val="left"/>
            </w:pPr>
            <w:r/>
            <w:r>
              <w:rPr>
                <w:rFonts w:ascii="Red Hat Text" w:hAnsi="Red Hat Text"/>
                <w:sz w:val="16"/>
              </w:rPr>
              <w:t>Only role without auto-sizing; uses manual systemReserved instead</w:t>
            </w:r>
          </w:p>
        </w:tc>
      </w:tr>
      <w:tr>
        <w:trPr>
          <w:cantSplit w:val="true"/>
        </w:trPr>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systemReserved.cpu</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500m</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4000m</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INFO</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Case 03562048 / 03703812</w:t>
            </w:r>
          </w:p>
        </w:tc>
        <w:tc>
          <w:tcPr>
            <w:tcW w:type="dxa" w:w="1512"/>
            <w:vAlign w:val="center"/>
            <w:tcMar>
              <w:top w:w="60" w:type="dxa"/>
              <w:bottom w:w="60" w:type="dxa"/>
              <w:left w:w="100" w:type="dxa"/>
              <w:right w:w="100" w:type="dxa"/>
            </w:tcMar>
            <w:shd w:fill="F5F5F5"/>
          </w:tcPr>
          <w:p>
            <w:pPr>
              <w:spacing w:before="60" w:after="60"/>
              <w:jc w:val="left"/>
            </w:pPr>
            <w:r/>
            <w:r>
              <w:rPr>
                <w:rFonts w:ascii="Red Hat Text" w:hAnsi="Red Hat Text"/>
                <w:sz w:val="16"/>
              </w:rPr>
              <w:t>Correctly adopted from engineering recommendation</w:t>
            </w:r>
          </w:p>
        </w:tc>
      </w:tr>
      <w:tr>
        <w:trPr>
          <w:cantSplit w:val="true"/>
        </w:trPr>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systemReserved.memory</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1Gi</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500Mi</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CRITICAL</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Case 04046963</w:t>
            </w:r>
          </w:p>
        </w:tc>
        <w:tc>
          <w:tcPr>
            <w:tcW w:type="dxa" w:w="1512"/>
            <w:vAlign w:val="center"/>
            <w:tcMar>
              <w:top w:w="60" w:type="dxa"/>
              <w:bottom w:w="60" w:type="dxa"/>
              <w:left w:w="100" w:type="dxa"/>
              <w:right w:w="100" w:type="dxa"/>
            </w:tcMar>
          </w:tcPr>
          <w:p>
            <w:pPr>
              <w:spacing w:before="60" w:after="60"/>
              <w:jc w:val="left"/>
            </w:pPr>
            <w:r/>
            <w:r>
              <w:rPr>
                <w:rFonts w:ascii="Red Hat Text" w:hAnsi="Red Hat Text"/>
                <w:sz w:val="16"/>
              </w:rPr>
              <w:t>Engineering recommended 10Gi. Current value is 20x below.</w:t>
            </w:r>
          </w:p>
        </w:tc>
      </w:tr>
      <w:tr>
        <w:trPr>
          <w:cantSplit w:val="true"/>
        </w:trPr>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systemReserved.ephemeral-storage</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1Gi</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not set (0)</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WARNING</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w:t>
            </w:r>
          </w:p>
        </w:tc>
        <w:tc>
          <w:tcPr>
            <w:tcW w:type="dxa" w:w="1512"/>
            <w:vAlign w:val="center"/>
            <w:tcMar>
              <w:top w:w="60" w:type="dxa"/>
              <w:bottom w:w="60" w:type="dxa"/>
              <w:left w:w="100" w:type="dxa"/>
              <w:right w:w="100" w:type="dxa"/>
            </w:tcMar>
            <w:shd w:fill="F5F5F5"/>
          </w:tcPr>
          <w:p>
            <w:pPr>
              <w:spacing w:before="60" w:after="60"/>
              <w:jc w:val="left"/>
            </w:pPr>
            <w:r/>
            <w:r>
              <w:rPr>
                <w:rFonts w:ascii="Red Hat Text" w:hAnsi="Red Hat Text"/>
                <w:sz w:val="16"/>
              </w:rPr>
              <w:t>Lost when switching from auto-sizing to manual</w:t>
            </w:r>
          </w:p>
        </w:tc>
      </w:tr>
      <w:tr>
        <w:trPr>
          <w:cantSplit w:val="true"/>
        </w:trPr>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allowedUnsafeSysctls</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(none)</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net.core.somaxconn</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INFO</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Case 03548427</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Enables pod-level somaxconn override</w:t>
            </w:r>
          </w:p>
        </w:tc>
      </w:tr>
      <w:tr>
        <w:trPr>
          <w:cantSplit w:val="true"/>
        </w:trPr>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maxPods</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250</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500</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INFO</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Case 03548427</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High-density bare-metal</w:t>
            </w:r>
          </w:p>
        </w:tc>
      </w:tr>
      <w:tr>
        <w:trPr>
          <w:cantSplit w:val="true"/>
        </w:trPr>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nodeStatusMaxImages</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50</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500</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INFO</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Case 03548427</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Large image cache on bare-metal</w:t>
            </w:r>
          </w:p>
        </w:tc>
      </w:tr>
      <w:tr>
        <w:trPr>
          <w:cantSplit w:val="true"/>
        </w:trPr>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podPidsLimit</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4096</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1024</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CRITICAL</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Case 03548427 / 04472910</w:t>
            </w:r>
          </w:p>
        </w:tc>
        <w:tc>
          <w:tcPr>
            <w:tcW w:type="dxa" w:w="1512"/>
            <w:vAlign w:val="center"/>
            <w:tcMar>
              <w:top w:w="60" w:type="dxa"/>
              <w:bottom w:w="60" w:type="dxa"/>
              <w:left w:w="100" w:type="dxa"/>
              <w:right w:w="100" w:type="dxa"/>
            </w:tcMar>
            <w:shd w:fill="F5F5F5"/>
          </w:tcPr>
          <w:p>
            <w:pPr>
              <w:spacing w:before="60" w:after="60"/>
              <w:jc w:val="left"/>
            </w:pPr>
            <w:r/>
            <w:r>
              <w:rPr>
                <w:rFonts w:ascii="Red Hat Text" w:hAnsi="Red Hat Text"/>
                <w:sz w:val="16"/>
              </w:rPr>
              <w:t>Emergency measure that did not fix the CRI-O issue. Caused Multus failure on 4.16.</w:t>
            </w:r>
          </w:p>
        </w:tc>
      </w:tr>
      <w:tr>
        <w:trPr>
          <w:cantSplit w:val="true"/>
        </w:trPr>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kubeAPIQPS</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50</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100</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INFO</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Case 03548427</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Correctly raised for 500-pod density</w:t>
            </w:r>
          </w:p>
        </w:tc>
      </w:tr>
      <w:tr>
        <w:trPr>
          <w:cantSplit w:val="true"/>
        </w:trPr>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kubeAPIBurst</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100</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200</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INFO</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Case 03548427</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Correctly raised alongside QPS</w:t>
            </w:r>
          </w:p>
        </w:tc>
      </w:tr>
      <w:tr>
        <w:trPr>
          <w:cantSplit w:val="true"/>
        </w:trPr>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topologyManagerPolicy</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none</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best-effort</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WARNING</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(no case lore)</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No-op without cpuManagerPolicy: static</w:t>
            </w:r>
          </w:p>
        </w:tc>
      </w:tr>
      <w:tr>
        <w:trPr>
          <w:cantSplit w:val="true"/>
        </w:trPr>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imageMinimumGCAge</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2m0s</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5m</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INFO</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(no case lore)</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More lenient GC</w:t>
            </w:r>
          </w:p>
        </w:tc>
      </w:tr>
      <w:tr>
        <w:trPr>
          <w:cantSplit w:val="true"/>
        </w:trPr>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imageGCHighThresholdPercent</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85</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75</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INFO</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(no case lore)</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More aggressive disk management</w:t>
            </w:r>
          </w:p>
        </w:tc>
      </w:tr>
      <w:tr>
        <w:trPr>
          <w:cantSplit w:val="true"/>
        </w:trPr>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imageGCLowThresholdPercent</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80</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50</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INFO</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(no case lore)</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More aggressive cleanup</w:t>
            </w:r>
          </w:p>
        </w:tc>
      </w:tr>
      <w:tr>
        <w:trPr>
          <w:cantSplit w:val="true"/>
        </w:trPr>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evictionSoft.memory.available</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(not set)</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16000Mi</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INFO</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Case 03502380</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Soft eviction at 16GB</w:t>
            </w:r>
          </w:p>
        </w:tc>
      </w:tr>
      <w:tr>
        <w:trPr>
          <w:cantSplit w:val="true"/>
        </w:trPr>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evictionHard.memory.available</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100Mi</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8000Mi</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INFO</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Case 03502380</w:t>
            </w:r>
          </w:p>
        </w:tc>
        <w:tc>
          <w:tcPr>
            <w:tcW w:type="dxa" w:w="1512"/>
            <w:vAlign w:val="center"/>
            <w:tcMar>
              <w:top w:w="60" w:type="dxa"/>
              <w:bottom w:w="60" w:type="dxa"/>
              <w:left w:w="100" w:type="dxa"/>
              <w:right w:w="100" w:type="dxa"/>
            </w:tcMar>
            <w:shd w:fill="F5F5F5"/>
          </w:tcPr>
          <w:p>
            <w:pPr>
              <w:spacing w:before="60" w:after="60"/>
              <w:jc w:val="center"/>
            </w:pPr>
            <w:r/>
            <w:r>
              <w:rPr>
                <w:rFonts w:ascii="Red Hat Text" w:hAnsi="Red Hat Text"/>
                <w:sz w:val="16"/>
              </w:rPr>
              <w:t>Hard eviction at 8GB</w:t>
            </w:r>
          </w:p>
        </w:tc>
      </w:tr>
      <w:tr>
        <w:trPr>
          <w:cantSplit w:val="true"/>
        </w:trPr>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evictionSoftGracePeriod (all)</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(not set)</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1m30s</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INFO</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w:t>
            </w:r>
          </w:p>
        </w:tc>
        <w:tc>
          <w:tcPr>
            <w:tcW w:type="dxa" w:w="1512"/>
            <w:vAlign w:val="center"/>
            <w:tcMar>
              <w:top w:w="60" w:type="dxa"/>
              <w:bottom w:w="60" w:type="dxa"/>
              <w:left w:w="100" w:type="dxa"/>
              <w:right w:w="100" w:type="dxa"/>
            </w:tcMar>
          </w:tcPr>
          <w:p>
            <w:pPr>
              <w:spacing w:before="60" w:after="60"/>
              <w:jc w:val="center"/>
            </w:pPr>
            <w:r/>
            <w:r>
              <w:rPr>
                <w:rFonts w:ascii="Red Hat Text" w:hAnsi="Red Hat Text"/>
                <w:sz w:val="16"/>
              </w:rPr>
              <w:t>90-second grace before eviction</w:t>
            </w:r>
          </w:p>
        </w:tc>
      </w:tr>
    </w:tbl>
    <w:p>
      <w:pPr>
        <w:ind w:left="283"/>
      </w:pPr>
      <w:r>
        <w:rPr>
          <w:b/>
          <w:sz w:val="20"/>
        </w:rPr>
        <w:t>Zero-value config dump artifacts</w:t>
      </w:r>
      <w:r>
        <w:rPr>
          <w:sz w:val="20"/>
        </w:rPr>
        <w:t xml:space="preserve"> (14 fields): The tuned-worker config contains </w:t>
      </w:r>
      <w:r>
        <w:rPr>
          <w:rFonts w:ascii="Red Hat Mono" w:hAnsi="Red Hat Mono"/>
          <w:color w:val="CC0000"/>
          <w:sz w:val="18"/>
        </w:rPr>
        <w:t>kind: KubeletConfiguration</w:t>
      </w:r>
      <w:r>
        <w:rPr>
          <w:sz w:val="20"/>
        </w:rPr>
        <w:t xml:space="preserve"> and </w:t>
      </w:r>
      <w:r>
        <w:rPr>
          <w:rFonts w:ascii="Red Hat Mono" w:hAnsi="Red Hat Mono"/>
          <w:color w:val="CC0000"/>
          <w:sz w:val="18"/>
        </w:rPr>
        <w:t>apiVersion: kubelet.config.k8s.io/v1beta1</w:t>
      </w:r>
      <w:r>
        <w:rPr>
          <w:sz w:val="20"/>
        </w:rPr>
        <w:t xml:space="preserve"> nested inside </w:t>
      </w:r>
      <w:r>
        <w:rPr>
          <w:rFonts w:ascii="Red Hat Mono" w:hAnsi="Red Hat Mono"/>
          <w:color w:val="CC0000"/>
          <w:sz w:val="18"/>
        </w:rPr>
        <w:t>.spec.kubeletConfig</w:t>
      </w:r>
      <w:r>
        <w:rPr>
          <w:sz w:val="20"/>
        </w:rPr>
        <w:t xml:space="preserve">, plus 14 fields set to </w:t>
      </w:r>
      <w:r>
        <w:rPr>
          <w:rFonts w:ascii="Red Hat Mono" w:hAnsi="Red Hat Mono"/>
          <w:color w:val="CC0000"/>
          <w:sz w:val="18"/>
        </w:rPr>
        <w:t>0s</w:t>
      </w:r>
      <w:r>
        <w:rPr>
          <w:sz w:val="20"/>
        </w:rPr>
        <w:t>/</w:t>
      </w:r>
      <w:r>
        <w:rPr>
          <w:rFonts w:ascii="Red Hat Mono" w:hAnsi="Red Hat Mono"/>
          <w:color w:val="CC0000"/>
          <w:sz w:val="18"/>
        </w:rPr>
        <w:t>0</w:t>
      </w:r>
      <w:r>
        <w:rPr>
          <w:sz w:val="20"/>
        </w:rPr>
        <w:t>. This indicates the config was extracted from a running kubelet rather than authored from scratch. The kubelet replaces zero durations with compiled defaults, so these values are currently harmless but should be removed for clarity.</w:t>
      </w:r>
    </w:p>
    <w:tbl>
      <w:tblPr>
        <w:tblStyle w:val="TableGrid"/>
        <w:tblW w:type="pct" w:w="5000"/>
        <w:jc w:val="center"/>
        <w:tblLook w:firstColumn="1" w:firstRow="1" w:lastColumn="0" w:lastRow="0" w:noHBand="0" w:noVBand="1" w:val="04A0"/>
      </w:tblPr>
      <w:tblGrid>
        <w:gridCol w:w="3024"/>
        <w:gridCol w:w="3024"/>
        <w:gridCol w:w="3024"/>
      </w:tblGrid>
      <w:tr>
        <w:trPr>
          <w:cantSplit w:val="true"/>
          <w:tblHeader w:val="true"/>
        </w:trPr>
        <w:tc>
          <w:tcPr>
            <w:tcW w:type="dxa" w:w="302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Field</w:t>
            </w:r>
          </w:p>
        </w:tc>
        <w:tc>
          <w:tcPr>
            <w:tcW w:type="dxa" w:w="302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OCP Default</w:t>
            </w:r>
          </w:p>
        </w:tc>
        <w:tc>
          <w:tcPr>
            <w:tcW w:type="dxa" w:w="302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Assessment</w:t>
            </w:r>
          </w:p>
        </w:tc>
      </w:tr>
      <w:tr>
        <w:trPr>
          <w:cantSplit w:val="true"/>
        </w:trPr>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syncFrequency</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1m0s</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Remove — kubelet uses compiled default</w:t>
            </w:r>
          </w:p>
        </w:tc>
      </w:tr>
      <w:tr>
        <w:trPr>
          <w:cantSplit w:val="true"/>
        </w:trPr>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fileCheckFrequency</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20s</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Remove</w:t>
            </w:r>
          </w:p>
        </w:tc>
      </w:tr>
      <w:tr>
        <w:trPr>
          <w:cantSplit w:val="true"/>
        </w:trPr>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httpCheckFrequency</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20s</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Remove</w:t>
            </w:r>
          </w:p>
        </w:tc>
      </w:tr>
      <w:tr>
        <w:trPr>
          <w:cantSplit w:val="true"/>
        </w:trPr>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runtimeRequestTimeout</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2m0s</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Remove</w:t>
            </w:r>
          </w:p>
        </w:tc>
      </w:tr>
      <w:tr>
        <w:trPr>
          <w:cantSplit w:val="true"/>
        </w:trPr>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streamingConnectionIdleTimeout</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4h0m0s</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Remove</w:t>
            </w:r>
          </w:p>
        </w:tc>
      </w:tr>
      <w:tr>
        <w:trPr>
          <w:cantSplit w:val="true"/>
        </w:trPr>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nodeStatusReportFrequency</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5m0s</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Remove</w:t>
            </w:r>
          </w:p>
        </w:tc>
      </w:tr>
      <w:tr>
        <w:trPr>
          <w:cantSplit w:val="true"/>
        </w:trPr>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nodeStatusUpdateFrequency</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10s</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Remove</w:t>
            </w:r>
          </w:p>
        </w:tc>
      </w:tr>
      <w:tr>
        <w:trPr>
          <w:cantSplit w:val="true"/>
        </w:trPr>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evictionPressureTransitionPeriod</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5m0s</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Remove</w:t>
            </w:r>
          </w:p>
        </w:tc>
      </w:tr>
      <w:tr>
        <w:trPr>
          <w:cantSplit w:val="true"/>
        </w:trPr>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volumeStatsAggPeriod</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1m0s</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Remove</w:t>
            </w:r>
          </w:p>
        </w:tc>
      </w:tr>
      <w:tr>
        <w:trPr>
          <w:cantSplit w:val="true"/>
        </w:trPr>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authentication.webhook.cacheTTL</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2m0s</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Remove</w:t>
            </w:r>
          </w:p>
        </w:tc>
      </w:tr>
      <w:tr>
        <w:trPr>
          <w:cantSplit w:val="true"/>
        </w:trPr>
        <w:tc>
          <w:tcPr>
            <w:tcW w:type="dxa" w:w="3024"/>
            <w:vAlign w:val="center"/>
            <w:tcMar>
              <w:top w:w="60" w:type="dxa"/>
              <w:bottom w:w="60" w:type="dxa"/>
              <w:left w:w="100" w:type="dxa"/>
              <w:right w:w="100" w:type="dxa"/>
            </w:tcMar>
          </w:tcPr>
          <w:p>
            <w:pPr>
              <w:spacing w:before="60" w:after="60"/>
              <w:jc w:val="left"/>
            </w:pPr>
            <w:r/>
            <w:r>
              <w:rPr>
                <w:rFonts w:ascii="Red Hat Text" w:hAnsi="Red Hat Text"/>
                <w:sz w:val="16"/>
              </w:rPr>
              <w:t>authorization.webhook.cacheAuthorizedTTL</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5m0s</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Remove</w:t>
            </w:r>
          </w:p>
        </w:tc>
      </w:tr>
      <w:tr>
        <w:trPr>
          <w:cantSplit w:val="true"/>
        </w:trPr>
        <w:tc>
          <w:tcPr>
            <w:tcW w:type="dxa" w:w="3024"/>
            <w:vAlign w:val="center"/>
            <w:tcMar>
              <w:top w:w="60" w:type="dxa"/>
              <w:bottom w:w="60" w:type="dxa"/>
              <w:left w:w="100" w:type="dxa"/>
              <w:right w:w="100" w:type="dxa"/>
            </w:tcMar>
            <w:shd w:fill="F5F5F5"/>
          </w:tcPr>
          <w:p>
            <w:pPr>
              <w:spacing w:before="60" w:after="60"/>
              <w:jc w:val="left"/>
            </w:pPr>
            <w:r/>
            <w:r>
              <w:rPr>
                <w:rFonts w:ascii="Red Hat Text" w:hAnsi="Red Hat Text"/>
                <w:sz w:val="16"/>
              </w:rPr>
              <w:t>authorization.webhook.cacheUnauthorizedTTL</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30s</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Remove</w:t>
            </w:r>
          </w:p>
        </w:tc>
      </w:tr>
      <w:tr>
        <w:trPr>
          <w:cantSplit w:val="true"/>
        </w:trPr>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logging.verbosity</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2</w:t>
            </w:r>
          </w:p>
        </w:tc>
        <w:tc>
          <w:tcPr>
            <w:tcW w:type="dxa" w:w="3024"/>
            <w:vAlign w:val="center"/>
            <w:tcMar>
              <w:top w:w="60" w:type="dxa"/>
              <w:bottom w:w="60" w:type="dxa"/>
              <w:left w:w="100" w:type="dxa"/>
              <w:right w:w="100" w:type="dxa"/>
            </w:tcMar>
          </w:tcPr>
          <w:p>
            <w:pPr>
              <w:spacing w:before="60" w:after="60"/>
              <w:jc w:val="center"/>
            </w:pPr>
            <w:r/>
            <w:r>
              <w:rPr>
                <w:rFonts w:ascii="Red Hat Text" w:hAnsi="Red Hat Text"/>
                <w:sz w:val="16"/>
              </w:rPr>
              <w:t>Remove</w:t>
            </w:r>
          </w:p>
        </w:tc>
      </w:tr>
      <w:tr>
        <w:trPr>
          <w:cantSplit w:val="true"/>
        </w:trPr>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logging.flushFrequency</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5s</w:t>
            </w:r>
          </w:p>
        </w:tc>
        <w:tc>
          <w:tcPr>
            <w:tcW w:type="dxa" w:w="3024"/>
            <w:vAlign w:val="center"/>
            <w:tcMar>
              <w:top w:w="60" w:type="dxa"/>
              <w:bottom w:w="60" w:type="dxa"/>
              <w:left w:w="100" w:type="dxa"/>
              <w:right w:w="100" w:type="dxa"/>
            </w:tcMar>
            <w:shd w:fill="F5F5F5"/>
          </w:tcPr>
          <w:p>
            <w:pPr>
              <w:spacing w:before="60" w:after="60"/>
              <w:jc w:val="center"/>
            </w:pPr>
            <w:r/>
            <w:r>
              <w:rPr>
                <w:rFonts w:ascii="Red Hat Text" w:hAnsi="Red Hat Text"/>
                <w:sz w:val="16"/>
              </w:rPr>
              <w:t>Remove</w:t>
            </w:r>
          </w:p>
        </w:tc>
      </w:tr>
    </w:tbl>
    <w:p>
      <w:pPr>
        <w:pStyle w:val="Heading2"/>
        <w:ind w:left="283"/>
      </w:pPr>
      <w:r>
        <w:t>systemReserved Gap Analysis</w:t>
      </w:r>
    </w:p>
    <w:p>
      <w:pPr>
        <w:ind w:left="283"/>
      </w:pPr>
      <w:r>
        <w:rPr>
          <w:sz w:val="20"/>
        </w:rPr>
        <w:t>Comparison for 56-core / 756GB bare-metal nodes (tuned-worker):</w:t>
      </w:r>
    </w:p>
    <w:tbl>
      <w:tblPr>
        <w:tblStyle w:val="TableGrid"/>
        <w:tblW w:type="pct" w:w="5000"/>
        <w:jc w:val="center"/>
        <w:tblLook w:firstColumn="1" w:firstRow="1" w:lastColumn="0" w:lastRow="0" w:noHBand="0" w:noVBand="1" w:val="04A0"/>
      </w:tblPr>
      <w:tblGrid>
        <w:gridCol w:w="2268"/>
        <w:gridCol w:w="2268"/>
        <w:gridCol w:w="2268"/>
        <w:gridCol w:w="2268"/>
      </w:tblGrid>
      <w:tr>
        <w:trPr>
          <w:cantSplit w:val="true"/>
          <w:tblHeader w:val="true"/>
        </w:trPr>
        <w:tc>
          <w:tcPr>
            <w:tcW w:type="dxa" w:w="2268"/>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Source</w:t>
            </w:r>
          </w:p>
        </w:tc>
        <w:tc>
          <w:tcPr>
            <w:tcW w:type="dxa" w:w="2268"/>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CPU</w:t>
            </w:r>
          </w:p>
        </w:tc>
        <w:tc>
          <w:tcPr>
            <w:tcW w:type="dxa" w:w="2268"/>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Memory</w:t>
            </w:r>
          </w:p>
        </w:tc>
        <w:tc>
          <w:tcPr>
            <w:tcW w:type="dxa" w:w="2268"/>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Eph-Storage</w:t>
            </w:r>
          </w:p>
        </w:tc>
      </w:tr>
      <w:tr>
        <w:trPr>
          <w:cantSplit w:val="true"/>
        </w:trPr>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Auto-sizing (formula output)</w:t>
            </w:r>
          </w:p>
        </w:tc>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210m</w:t>
            </w:r>
          </w:p>
        </w:tc>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22 Gi</w:t>
            </w:r>
          </w:p>
        </w:tc>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1Gi</w:t>
            </w:r>
          </w:p>
        </w:tc>
      </w:tr>
      <w:tr>
        <w:trPr>
          <w:cantSplit w:val="true"/>
        </w:trPr>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Auto-sizing (enforced minimum)</w:t>
            </w:r>
          </w:p>
        </w:tc>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500m</w:t>
            </w:r>
          </w:p>
        </w:tc>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22 Gi</w:t>
            </w:r>
          </w:p>
        </w:tc>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1Gi</w:t>
            </w:r>
          </w:p>
        </w:tc>
      </w:tr>
      <w:tr>
        <w:trPr>
          <w:cantSplit w:val="true"/>
        </w:trPr>
        <w:tc>
          <w:tcPr>
            <w:tcW w:type="dxa" w:w="2268"/>
            <w:vAlign w:val="center"/>
            <w:tcMar>
              <w:top w:w="60" w:type="dxa"/>
              <w:bottom w:w="60" w:type="dxa"/>
              <w:left w:w="100" w:type="dxa"/>
              <w:right w:w="100" w:type="dxa"/>
            </w:tcMar>
          </w:tcPr>
          <w:p>
            <w:pPr>
              <w:spacing w:before="60" w:after="60"/>
              <w:jc w:val="left"/>
            </w:pPr>
            <w:r/>
            <w:r>
              <w:rPr>
                <w:rFonts w:ascii="Red Hat Text" w:hAnsi="Red Hat Text"/>
                <w:sz w:val="16"/>
              </w:rPr>
              <w:t>RH Engineering recommended (Case 03562048)</w:t>
            </w:r>
          </w:p>
        </w:tc>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4000m</w:t>
            </w:r>
          </w:p>
        </w:tc>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10 Gi</w:t>
            </w:r>
          </w:p>
        </w:tc>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1Gi</w:t>
            </w:r>
          </w:p>
        </w:tc>
      </w:tr>
      <w:tr>
        <w:trPr>
          <w:cantSplit w:val="true"/>
        </w:trPr>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OCP static default (no auto-sizing)</w:t>
            </w:r>
          </w:p>
        </w:tc>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500m</w:t>
            </w:r>
          </w:p>
        </w:tc>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1 Gi</w:t>
            </w:r>
          </w:p>
        </w:tc>
        <w:tc>
          <w:tcPr>
            <w:tcW w:type="dxa" w:w="2268"/>
            <w:vAlign w:val="center"/>
            <w:tcMar>
              <w:top w:w="60" w:type="dxa"/>
              <w:bottom w:w="60" w:type="dxa"/>
              <w:left w:w="100" w:type="dxa"/>
              <w:right w:w="100" w:type="dxa"/>
            </w:tcMar>
            <w:shd w:fill="F5F5F5"/>
          </w:tcPr>
          <w:p>
            <w:pPr>
              <w:spacing w:before="60" w:after="60"/>
              <w:jc w:val="center"/>
            </w:pPr>
            <w:r/>
            <w:r>
              <w:rPr>
                <w:rFonts w:ascii="Red Hat Text" w:hAnsi="Red Hat Text"/>
                <w:sz w:val="16"/>
              </w:rPr>
              <w:t>1Gi</w:t>
            </w:r>
          </w:p>
        </w:tc>
      </w:tr>
      <w:tr>
        <w:trPr>
          <w:cantSplit w:val="true"/>
        </w:trPr>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Customer actual (tuned-worker)</w:t>
            </w:r>
          </w:p>
        </w:tc>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4000m</w:t>
            </w:r>
          </w:p>
        </w:tc>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500 Mi</w:t>
            </w:r>
          </w:p>
        </w:tc>
        <w:tc>
          <w:tcPr>
            <w:tcW w:type="dxa" w:w="2268"/>
            <w:vAlign w:val="center"/>
            <w:tcMar>
              <w:top w:w="60" w:type="dxa"/>
              <w:bottom w:w="60" w:type="dxa"/>
              <w:left w:w="100" w:type="dxa"/>
              <w:right w:w="100" w:type="dxa"/>
            </w:tcMar>
          </w:tcPr>
          <w:p>
            <w:pPr>
              <w:spacing w:before="60" w:after="60"/>
              <w:jc w:val="center"/>
            </w:pPr>
            <w:r/>
            <w:r>
              <w:rPr>
                <w:rFonts w:ascii="Red Hat Text" w:hAnsi="Red Hat Text"/>
                <w:sz w:val="16"/>
              </w:rPr>
              <w:t>not set</w:t>
            </w:r>
          </w:p>
        </w:tc>
      </w:tr>
    </w:tbl>
    <w:p>
      <w:pPr>
        <w:pStyle w:val="ListBullet"/>
        <w:ind w:left="850"/>
      </w:pPr>
      <w:r>
        <w:rPr>
          <w:sz w:val="20"/>
        </w:rPr>
        <w:t>Customer vs auto-sizing: 500Mi / 22Gi = 2.2% — 45x under-reserved</w:t>
      </w:r>
    </w:p>
    <w:p>
      <w:pPr>
        <w:pStyle w:val="ListBullet"/>
        <w:ind w:left="850"/>
      </w:pPr>
      <w:r>
        <w:rPr>
          <w:sz w:val="20"/>
        </w:rPr>
        <w:t>Customer vs RH recommendation: 500Mi / 10Gi = 4.9% — 20x under-reserved</w:t>
      </w:r>
    </w:p>
    <w:p>
      <w:pPr>
        <w:pStyle w:val="ListBullet"/>
        <w:ind w:left="850"/>
      </w:pPr>
      <w:r>
        <w:rPr>
          <w:sz w:val="20"/>
        </w:rPr>
        <w:t>Customer vs OCP default: 500Mi / 1Gi = 48.8% — 2x under-reserved</w:t>
      </w:r>
    </w:p>
    <w:p>
      <w:pPr>
        <w:ind w:left="283"/>
      </w:pPr>
      <w:r>
        <w:rPr>
          <w:sz w:val="20"/>
        </w:rPr>
        <w:t>KCS 5843241 warns: *"Changing default values (like the podPidsLimit or the maxPods) could require more CPU and/or memory for system resources, so the automatic reservation could be not enough."*</w:t>
      </w:r>
    </w:p>
    <w:p>
      <w:pPr>
        <w:pStyle w:val="Heading2"/>
        <w:ind w:left="283"/>
      </w:pPr>
      <w:r>
        <w:t>Recommendations Summary</w:t>
      </w:r>
    </w:p>
    <w:p>
      <w:pPr>
        <w:pStyle w:val="ListNumber"/>
        <w:ind w:left="850"/>
      </w:pPr>
      <w:r>
        <w:rPr>
          <w:sz w:val="20"/>
        </w:rPr>
        <w:t xml:space="preserve">**CRITICAL — Raise </w:t>
      </w:r>
      <w:r>
        <w:rPr>
          <w:rFonts w:ascii="Red Hat Mono" w:hAnsi="Red Hat Mono"/>
          <w:color w:val="CC0000"/>
          <w:sz w:val="18"/>
        </w:rPr>
        <w:t>podPidsLimit</w:t>
      </w:r>
      <w:r>
        <w:rPr>
          <w:sz w:val="20"/>
        </w:rPr>
        <w:t xml:space="preserve"> to 4096** on infra-kubeletconfig and tuned-worker-kubeletconfig. Requires MCO rolling reboot of each pool.</w:t>
      </w:r>
    </w:p>
    <w:p>
      <w:pPr>
        <w:pStyle w:val="ListNumber"/>
        <w:ind w:left="850"/>
      </w:pPr>
      <w:r>
        <w:rPr>
          <w:sz w:val="20"/>
        </w:rPr>
        <w:t xml:space="preserve">**CRITICAL — Raise </w:t>
      </w:r>
      <w:r>
        <w:rPr>
          <w:rFonts w:ascii="Red Hat Mono" w:hAnsi="Red Hat Mono"/>
          <w:color w:val="CC0000"/>
          <w:sz w:val="18"/>
        </w:rPr>
        <w:t>systemReserved.memory</w:t>
      </w:r>
      <w:r>
        <w:rPr>
          <w:sz w:val="20"/>
        </w:rPr>
        <w:t xml:space="preserve"> to 10Gi** on tuned-worker-kubeletconfig. Add </w:t>
      </w:r>
      <w:r>
        <w:rPr>
          <w:rFonts w:ascii="Red Hat Mono" w:hAnsi="Red Hat Mono"/>
          <w:color w:val="CC0000"/>
          <w:sz w:val="18"/>
        </w:rPr>
        <w:t>ephemeral-storage: 1Gi</w:t>
      </w:r>
      <w:r>
        <w:rPr>
          <w:sz w:val="20"/>
        </w:rPr>
        <w:t>. Requires MCO rolling reboot.</w:t>
      </w:r>
    </w:p>
    <w:p>
      <w:pPr>
        <w:pStyle w:val="ListNumber"/>
        <w:ind w:left="850"/>
      </w:pPr>
      <w:r>
        <w:rPr>
          <w:sz w:val="20"/>
        </w:rPr>
        <w:t xml:space="preserve">**CRITICAL — Deploy enic </w:t>
      </w:r>
      <w:r>
        <w:rPr>
          <w:rFonts w:ascii="Red Hat Mono" w:hAnsi="Red Hat Mono"/>
          <w:color w:val="CC0000"/>
          <w:sz w:val="18"/>
        </w:rPr>
        <w:t>tcp_rmem</w:t>
      </w:r>
      <w:r>
        <w:rPr>
          <w:sz w:val="20"/>
        </w:rPr>
        <w:t xml:space="preserve"> TuneD fix** on bare-metal nodes with Cisco enic NICs before any workload churn.</w:t>
      </w:r>
    </w:p>
    <w:p>
      <w:pPr>
        <w:pStyle w:val="ListNumber"/>
        <w:ind w:left="850"/>
      </w:pPr>
      <w:r>
        <w:rPr>
          <w:b/>
          <w:sz w:val="20"/>
        </w:rPr>
        <w:t>WARNING — Fix normal-worker pool:</w:t>
      </w:r>
      <w:r>
        <w:rPr>
          <w:sz w:val="20"/>
        </w:rPr>
        <w:t xml:space="preserve"> Either switch to manual </w:t>
      </w:r>
      <w:r>
        <w:rPr>
          <w:rFonts w:ascii="Red Hat Mono" w:hAnsi="Red Hat Mono"/>
          <w:color w:val="CC0000"/>
          <w:sz w:val="18"/>
        </w:rPr>
        <w:t>systemReserved</w:t>
      </w:r>
      <w:r>
        <w:rPr>
          <w:sz w:val="20"/>
        </w:rPr>
        <w:t xml:space="preserve"> (cpu: 4000m, memory: 10Gi) or raise </w:t>
      </w:r>
      <w:r>
        <w:rPr>
          <w:rFonts w:ascii="Red Hat Mono" w:hAnsi="Red Hat Mono"/>
          <w:color w:val="CC0000"/>
          <w:sz w:val="18"/>
        </w:rPr>
        <w:t>kubeAPIQPS</w:t>
      </w:r>
      <w:r>
        <w:rPr>
          <w:sz w:val="20"/>
        </w:rPr>
        <w:t xml:space="preserve"> to 100 and </w:t>
      </w:r>
      <w:r>
        <w:rPr>
          <w:rFonts w:ascii="Red Hat Mono" w:hAnsi="Red Hat Mono"/>
          <w:color w:val="CC0000"/>
          <w:sz w:val="18"/>
        </w:rPr>
        <w:t>kubeAPIBurst</w:t>
      </w:r>
      <w:r>
        <w:rPr>
          <w:sz w:val="20"/>
        </w:rPr>
        <w:t xml:space="preserve"> to 200. Currently under-provisioned for 500-pod density.</w:t>
      </w:r>
    </w:p>
    <w:p>
      <w:pPr>
        <w:pStyle w:val="ListNumber"/>
        <w:ind w:left="850"/>
      </w:pPr>
      <w:r>
        <w:rPr>
          <w:b/>
          <w:sz w:val="20"/>
        </w:rPr>
        <w:t>WARNING — Clean up tuned-worker config dump artifacts:</w:t>
      </w:r>
      <w:r>
        <w:rPr>
          <w:sz w:val="20"/>
        </w:rPr>
        <w:t xml:space="preserve"> Remove 14 zero-value fields, embedded </w:t>
      </w:r>
      <w:r>
        <w:rPr>
          <w:rFonts w:ascii="Red Hat Mono" w:hAnsi="Red Hat Mono"/>
          <w:color w:val="CC0000"/>
          <w:sz w:val="18"/>
        </w:rPr>
        <w:t>kind</w:t>
      </w:r>
      <w:r>
        <w:rPr>
          <w:sz w:val="20"/>
        </w:rPr>
        <w:t>/</w:t>
      </w:r>
      <w:r>
        <w:rPr>
          <w:rFonts w:ascii="Red Hat Mono" w:hAnsi="Red Hat Mono"/>
          <w:color w:val="CC0000"/>
          <w:sz w:val="18"/>
        </w:rPr>
        <w:t>apiVersion</w:t>
      </w:r>
      <w:r>
        <w:rPr>
          <w:sz w:val="20"/>
        </w:rPr>
        <w:t>, and redundant logging/auth blocks.</w:t>
      </w:r>
    </w:p>
    <w:p>
      <w:pPr>
        <w:pStyle w:val="ListNumber"/>
        <w:ind w:left="850"/>
      </w:pPr>
      <w:r>
        <w:rPr>
          <w:sz w:val="20"/>
        </w:rPr>
        <w:t xml:space="preserve">**WARNING — Fix </w:t>
      </w:r>
      <w:r>
        <w:rPr>
          <w:rFonts w:ascii="Red Hat Mono" w:hAnsi="Red Hat Mono"/>
          <w:color w:val="CC0000"/>
          <w:sz w:val="18"/>
        </w:rPr>
        <w:t>topologyManagerPolicy</w:t>
      </w:r>
      <w:r>
        <w:rPr>
          <w:sz w:val="20"/>
        </w:rPr>
        <w:t xml:space="preserve">:** Either also set </w:t>
      </w:r>
      <w:r>
        <w:rPr>
          <w:rFonts w:ascii="Red Hat Mono" w:hAnsi="Red Hat Mono"/>
          <w:color w:val="CC0000"/>
          <w:sz w:val="18"/>
        </w:rPr>
        <w:t>cpuManagerPolicy: static</w:t>
      </w:r>
      <w:r>
        <w:rPr>
          <w:sz w:val="20"/>
        </w:rPr>
        <w:t xml:space="preserve"> (to make </w:t>
      </w:r>
      <w:r>
        <w:rPr>
          <w:rFonts w:ascii="Red Hat Mono" w:hAnsi="Red Hat Mono"/>
          <w:color w:val="CC0000"/>
          <w:sz w:val="18"/>
        </w:rPr>
        <w:t>best-effort</w:t>
      </w:r>
      <w:r>
        <w:rPr>
          <w:sz w:val="20"/>
        </w:rPr>
        <w:t xml:space="preserve"> effective) or remove the setting.</w:t>
      </w:r>
    </w:p>
    <w:p>
      <w:pPr>
        <w:pStyle w:val="ListNumber"/>
        <w:ind w:left="850"/>
      </w:pPr>
      <w:r>
        <w:rPr>
          <w:b/>
          <w:sz w:val="20"/>
        </w:rPr>
        <w:t>INFO — Document the memory eviction budget</w:t>
      </w:r>
      <w:r>
        <w:rPr>
          <w:sz w:val="20"/>
        </w:rPr>
        <w:t xml:space="preserve"> for 756GB nodes.</w:t>
      </w:r>
    </w:p>
    <w:p>
      <w:r>
        <w:br w:type="page"/>
      </w:r>
    </w:p>
    <w:p>
      <w:pPr>
        <w:pStyle w:val="Heading1"/>
      </w:pPr>
      <w:r>
        <w:t>Appendix B — Case Archive Summary</w:t>
      </w:r>
    </w:p>
    <w:tbl>
      <w:tblPr>
        <w:tblStyle w:val="TableGrid"/>
        <w:tblW w:type="pct" w:w="5000"/>
        <w:jc w:val="center"/>
        <w:tblLook w:firstColumn="1" w:firstRow="1" w:lastColumn="0" w:lastRow="0" w:noHBand="0" w:noVBand="1" w:val="04A0"/>
      </w:tblPr>
      <w:tblGrid>
        <w:gridCol w:w="1814"/>
        <w:gridCol w:w="1814"/>
        <w:gridCol w:w="1814"/>
        <w:gridCol w:w="1814"/>
        <w:gridCol w:w="1814"/>
      </w:tblGrid>
      <w:tr>
        <w:trPr>
          <w:cantSplit w:val="true"/>
          <w:tblHeader w:val="true"/>
        </w:trPr>
        <w:tc>
          <w:tcPr>
            <w:tcW w:type="dxa" w:w="181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Case</w:t>
            </w:r>
          </w:p>
        </w:tc>
        <w:tc>
          <w:tcPr>
            <w:tcW w:type="dxa" w:w="181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Date</w:t>
            </w:r>
          </w:p>
        </w:tc>
        <w:tc>
          <w:tcPr>
            <w:tcW w:type="dxa" w:w="181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OCP</w:t>
            </w:r>
          </w:p>
        </w:tc>
        <w:tc>
          <w:tcPr>
            <w:tcW w:type="dxa" w:w="181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Topic</w:t>
            </w:r>
          </w:p>
        </w:tc>
        <w:tc>
          <w:tcPr>
            <w:tcW w:type="dxa" w:w="1814"/>
            <w:vAlign w:val="center"/>
            <w:tcMar>
              <w:top w:w="60" w:type="dxa"/>
              <w:bottom w:w="60" w:type="dxa"/>
              <w:left w:w="100" w:type="dxa"/>
              <w:right w:w="100" w:type="dxa"/>
            </w:tcMar>
            <w:shd w:fill="CC0000"/>
          </w:tcPr>
          <w:p>
            <w:pPr>
              <w:spacing w:before="60" w:after="60"/>
              <w:jc w:val="center"/>
            </w:pPr>
            <w:r>
              <w:rPr>
                <w:b/>
                <w:color w:val="FFFFFF"/>
                <w:sz w:val="18"/>
              </w:rPr>
            </w:r>
            <w:r>
              <w:rPr>
                <w:rFonts w:ascii="Red Hat Text" w:hAnsi="Red Hat Text"/>
                <w:b/>
                <w:color w:val="FFFFFF"/>
                <w:sz w:val="18"/>
              </w:rPr>
              <w:t>Settings Affected</w:t>
            </w:r>
          </w:p>
        </w:tc>
      </w:tr>
      <w:tr>
        <w:trPr>
          <w:cantSplit w:val="true"/>
        </w:trPr>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03502380</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May 2023</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4.8</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Eviction best practices</w:t>
            </w:r>
          </w:p>
        </w:tc>
        <w:tc>
          <w:tcPr>
            <w:tcW w:type="dxa" w:w="1814"/>
            <w:vAlign w:val="center"/>
            <w:tcMar>
              <w:top w:w="60" w:type="dxa"/>
              <w:bottom w:w="60" w:type="dxa"/>
              <w:left w:w="100" w:type="dxa"/>
              <w:right w:w="100" w:type="dxa"/>
            </w:tcMar>
          </w:tcPr>
          <w:p>
            <w:pPr>
              <w:spacing w:before="60" w:after="60"/>
              <w:jc w:val="left"/>
            </w:pPr>
            <w:r/>
            <w:r>
              <w:rPr>
                <w:rFonts w:ascii="Red Hat Text" w:hAnsi="Red Hat Text"/>
                <w:sz w:val="16"/>
              </w:rPr>
              <w:t>evictionSoft, evictionHard, autoSizingReserved</w:t>
            </w:r>
          </w:p>
        </w:tc>
      </w:tr>
      <w:tr>
        <w:trPr>
          <w:cantSplit w:val="true"/>
        </w:trPr>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03548427</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Jun–Sep 2023</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4.12</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PLEG / CRI-O panic</w:t>
            </w:r>
          </w:p>
        </w:tc>
        <w:tc>
          <w:tcPr>
            <w:tcW w:type="dxa" w:w="1814"/>
            <w:vAlign w:val="center"/>
            <w:tcMar>
              <w:top w:w="60" w:type="dxa"/>
              <w:bottom w:w="60" w:type="dxa"/>
              <w:left w:w="100" w:type="dxa"/>
              <w:right w:w="100" w:type="dxa"/>
            </w:tcMar>
            <w:shd w:fill="F5F5F5"/>
          </w:tcPr>
          <w:p>
            <w:pPr>
              <w:spacing w:before="60" w:after="60"/>
              <w:jc w:val="left"/>
            </w:pPr>
            <w:r/>
            <w:r>
              <w:rPr>
                <w:rFonts w:ascii="Red Hat Text" w:hAnsi="Red Hat Text"/>
                <w:sz w:val="16"/>
              </w:rPr>
              <w:t>podPidsLimit, maxPods, kubeAPIQPS/Burst, nodeStatusMaxImages</w:t>
            </w:r>
          </w:p>
        </w:tc>
      </w:tr>
      <w:tr>
        <w:trPr>
          <w:cantSplit w:val="true"/>
        </w:trPr>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03562048</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Jul 2023</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4.12</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Manual node sizing</w:t>
            </w:r>
          </w:p>
        </w:tc>
        <w:tc>
          <w:tcPr>
            <w:tcW w:type="dxa" w:w="1814"/>
            <w:vAlign w:val="center"/>
            <w:tcMar>
              <w:top w:w="60" w:type="dxa"/>
              <w:bottom w:w="60" w:type="dxa"/>
              <w:left w:w="100" w:type="dxa"/>
              <w:right w:w="100" w:type="dxa"/>
            </w:tcMar>
          </w:tcPr>
          <w:p>
            <w:pPr>
              <w:spacing w:before="60" w:after="60"/>
              <w:jc w:val="left"/>
            </w:pPr>
            <w:r/>
            <w:r>
              <w:rPr>
                <w:rFonts w:ascii="Red Hat Text" w:hAnsi="Red Hat Text"/>
                <w:sz w:val="16"/>
              </w:rPr>
              <w:t>autoSizingReserved, systemReserved (10Gi recommended)</w:t>
            </w:r>
          </w:p>
        </w:tc>
      </w:tr>
      <w:tr>
        <w:trPr>
          <w:cantSplit w:val="true"/>
        </w:trPr>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03703812</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Jan 2024</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4.12</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Kubelet GC under load</w:t>
            </w:r>
          </w:p>
        </w:tc>
        <w:tc>
          <w:tcPr>
            <w:tcW w:type="dxa" w:w="1814"/>
            <w:vAlign w:val="center"/>
            <w:tcMar>
              <w:top w:w="60" w:type="dxa"/>
              <w:bottom w:w="60" w:type="dxa"/>
              <w:left w:w="100" w:type="dxa"/>
              <w:right w:w="100" w:type="dxa"/>
            </w:tcMar>
            <w:shd w:fill="F5F5F5"/>
          </w:tcPr>
          <w:p>
            <w:pPr>
              <w:spacing w:before="60" w:after="60"/>
              <w:jc w:val="left"/>
            </w:pPr>
            <w:r/>
            <w:r>
              <w:rPr>
                <w:rFonts w:ascii="Red Hat Text" w:hAnsi="Red Hat Text"/>
                <w:sz w:val="16"/>
              </w:rPr>
              <w:t>systemReserved.cpu (kubelet used 6+ cores)</w:t>
            </w:r>
          </w:p>
        </w:tc>
      </w:tr>
      <w:tr>
        <w:trPr>
          <w:cantSplit w:val="true"/>
        </w:trPr>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04046963</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Jan–Mar 2025</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4.12</w:t>
            </w:r>
          </w:p>
        </w:tc>
        <w:tc>
          <w:tcPr>
            <w:tcW w:type="dxa" w:w="1814"/>
            <w:vAlign w:val="center"/>
            <w:tcMar>
              <w:top w:w="60" w:type="dxa"/>
              <w:bottom w:w="60" w:type="dxa"/>
              <w:left w:w="100" w:type="dxa"/>
              <w:right w:w="100" w:type="dxa"/>
            </w:tcMar>
          </w:tcPr>
          <w:p>
            <w:pPr>
              <w:spacing w:before="60" w:after="60"/>
              <w:jc w:val="center"/>
            </w:pPr>
            <w:r/>
            <w:r>
              <w:rPr>
                <w:rFonts w:ascii="Red Hat Text" w:hAnsi="Red Hat Text"/>
                <w:sz w:val="16"/>
              </w:rPr>
              <w:t>Pod startup after drain</w:t>
            </w:r>
          </w:p>
        </w:tc>
        <w:tc>
          <w:tcPr>
            <w:tcW w:type="dxa" w:w="1814"/>
            <w:vAlign w:val="center"/>
            <w:tcMar>
              <w:top w:w="60" w:type="dxa"/>
              <w:bottom w:w="60" w:type="dxa"/>
              <w:left w:w="100" w:type="dxa"/>
              <w:right w:w="100" w:type="dxa"/>
            </w:tcMar>
          </w:tcPr>
          <w:p>
            <w:pPr>
              <w:spacing w:before="60" w:after="60"/>
              <w:jc w:val="left"/>
            </w:pPr>
            <w:r/>
            <w:r>
              <w:rPr>
                <w:rFonts w:ascii="Red Hat Text" w:hAnsi="Red Hat Text"/>
                <w:sz w:val="16"/>
              </w:rPr>
              <w:t>systemReserved (500Mi confirmed), registryPullQPS</w:t>
            </w:r>
          </w:p>
        </w:tc>
      </w:tr>
      <w:tr>
        <w:trPr>
          <w:cantSplit w:val="true"/>
        </w:trPr>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04472910</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Jun 2026</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4.16</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Multus thread exhaustion</w:t>
            </w:r>
          </w:p>
        </w:tc>
        <w:tc>
          <w:tcPr>
            <w:tcW w:type="dxa" w:w="1814"/>
            <w:vAlign w:val="center"/>
            <w:tcMar>
              <w:top w:w="60" w:type="dxa"/>
              <w:bottom w:w="60" w:type="dxa"/>
              <w:left w:w="100" w:type="dxa"/>
              <w:right w:w="100" w:type="dxa"/>
            </w:tcMar>
            <w:shd w:fill="F5F5F5"/>
          </w:tcPr>
          <w:p>
            <w:pPr>
              <w:spacing w:before="60" w:after="60"/>
              <w:jc w:val="center"/>
            </w:pPr>
            <w:r/>
            <w:r>
              <w:rPr>
                <w:rFonts w:ascii="Red Hat Text" w:hAnsi="Red Hat Text"/>
                <w:sz w:val="16"/>
              </w:rPr>
              <w:t>podPidsLimit (1024 caused failure)</w:t>
            </w:r>
          </w:p>
        </w:tc>
      </w:tr>
    </w:tbl>
    <w:p>
      <w:r>
        <w:br w:type="page"/>
      </w:r>
    </w:p>
    <w:p>
      <w:pPr>
        <w:pStyle w:val="Heading1"/>
      </w:pPr>
      <w:r>
        <w:t>Appendix C — References</w:t>
      </w:r>
    </w:p>
    <w:p>
      <w:pPr>
        <w:pStyle w:val="ListBullet"/>
        <w:ind w:left="850"/>
      </w:pPr>
      <w:r>
        <w:rPr>
          <w:sz w:val="20"/>
        </w:rPr>
        <w:t>KCS 5843241 — Which amount of CPU and memory are recommended to reserve for the system in OpenShift 4 nodes? (https://access.redhat.com/solutions/5843241)</w:t>
      </w:r>
    </w:p>
    <w:p>
      <w:pPr>
        <w:pStyle w:val="ListBullet"/>
        <w:ind w:left="850"/>
      </w:pPr>
      <w:r>
        <w:rPr>
          <w:sz w:val="20"/>
        </w:rPr>
        <w:t>KCS 7127975 — RHEL 9.4 TCP window auto-tuning regression, enic driver (https://access.redhat.com/solutions/7127975)</w:t>
      </w:r>
    </w:p>
    <w:p>
      <w:pPr>
        <w:pStyle w:val="ListBullet"/>
        <w:ind w:left="850"/>
      </w:pPr>
      <w:r>
        <w:rPr>
          <w:sz w:val="20"/>
        </w:rPr>
        <w:t>OCPBUGS-15868 — CRI-O race condition, fixed in 4.12.30 (https://issues.redhat.com/browse/OCPBUGS-15868)</w:t>
      </w:r>
    </w:p>
    <w:p>
      <w:pPr>
        <w:pStyle w:val="ListBullet"/>
        <w:ind w:left="850"/>
      </w:pPr>
      <w:r>
        <w:rPr>
          <w:sz w:val="20"/>
        </w:rPr>
        <w:t>RHSA-2023:4671 — CRI-O security advisory (https://access.redhat.com/errata/RHSA-2023:4671)</w:t>
      </w:r>
    </w:p>
    <w:p>
      <w:pPr>
        <w:pStyle w:val="ListBullet"/>
        <w:ind w:left="850"/>
      </w:pPr>
      <w:r>
        <w:rPr>
          <w:sz w:val="20"/>
        </w:rPr>
        <w:t>OCPBUGS-27126 — High CPU usage on kubelet (https://issues.redhat.com/browse/OCPBUGS-27126)</w:t>
      </w:r>
    </w:p>
    <w:p>
      <w:pPr>
        <w:pStyle w:val="ListBullet"/>
        <w:ind w:left="850"/>
      </w:pPr>
      <w:r>
        <w:rPr>
          <w:sz w:val="20"/>
        </w:rPr>
        <w:t>golang/go#14592 — Go runtime idle thread accumulation (https://github.com/golang/go/issues/14592)</w:t>
      </w:r>
    </w:p>
    <w:p>
      <w:pPr>
        <w:pStyle w:val="ListBullet"/>
        <w:ind w:left="850"/>
      </w:pPr>
      <w:r>
        <w:rPr>
          <w:sz w:val="20"/>
        </w:rPr>
        <w:t>Kubernetes Node Allocatable — Upstream resource reservation docs (https://kubernetes.io/docs/tasks/administer-cluster/reserve-compute-resources/)</w:t>
      </w:r>
    </w:p>
    <w:p>
      <w:pPr>
        <w:pStyle w:val="ListBullet"/>
        <w:ind w:left="850"/>
      </w:pPr>
      <w:r>
        <w:rPr>
          <w:sz w:val="20"/>
        </w:rPr>
        <w:t>PerformanceProfile API — OCP performance tuning docs (https://docs.openshift.com/container-platform/4.16/scalability_and_performance/cnf-low-latency-tuning.html)</w:t>
      </w:r>
    </w:p>
    <w:sectPr w:rsidR="00FC693F" w:rsidRPr="0006063C" w:rsidSect="00034616">
      <w:headerReference w:type="default" r:id="rId9"/>
      <w:footerReference w:type="default" r:id="rId10"/>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enter" w:pos="4820"/>
        <w:tab w:val="right" w:pos="9639"/>
      </w:tabs>
    </w:pPr>
    <w:r>
      <w:rPr>
        <w:rFonts w:ascii="Red Hat Text" w:hAnsi="Red Hat Text"/>
        <w:sz w:val="16"/>
      </w:rPr>
      <w:t>IAF — Unit Ofek 324</w:t>
    </w:r>
    <w:r>
      <w:tab/>
    </w:r>
    <w:r>
      <w:rPr>
        <w:rFonts w:ascii="Red Hat Text" w:hAnsi="Red Hat Text"/>
        <w:color w:val="999999"/>
        <w:sz w:val="16"/>
      </w:rPr>
      <w:t>OpenShift Node Tuning Field Guide</w:t>
    </w:r>
    <w:r>
      <w:tab/>
    </w:r>
    <w:r>
      <w:rPr>
        <w:sz w:val="16"/>
      </w:rPr>
      <w:t xml:space="preserve">Page </w:t>
    </w:r>
    <w:r>
      <w:rPr>
        <w:sz w:val="16"/>
      </w:rPr>
      <w:fldChar w:fldCharType="begin"/>
    </w:r>
    <w:r>
      <w:rPr>
        <w:sz w:val="16"/>
      </w:rPr>
      <w:instrText xml:space="preserve"> PAGE </w:instrText>
    </w:r>
    <w:r>
      <w:rPr>
        <w:sz w:val="16"/>
      </w:rPr>
      <w:fldChar w:fldCharType="separate"/>
    </w:r>
    <w:r>
      <w:rPr>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Red Hat Display" w:hAnsi="Red Hat Display"/>
        <w:color w:val="CC0000"/>
        <w:sz w:val="16"/>
      </w:rPr>
      <w:t>Customer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Red Hat Text" w:hAnsi="Red Hat Text"/>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Red Hat Display" w:hAnsi="Red Hat Display"/>
      <w:b/>
      <w:bCs/>
      <w:color w:val="CC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Red Hat Display" w:hAnsi="Red Hat Display"/>
      <w:b/>
      <w:bCs/>
      <w:color w:val="CC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Red Hat Display" w:hAnsi="Red Hat Display"/>
      <w:b/>
      <w:bCs/>
      <w:color w:val="CC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Red Hat Display" w:hAnsi="Red Hat Display"/>
      <w:color w:val="CC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