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11. Neuromuscular Physiology and Pharmacology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>
        <w:t>ה-</w:t>
      </w:r>
      <w:r>
        <w:rPr>
          <w:b/>
        </w:rPr>
        <w:t>NMJ (Neuromuscular Junction)</w:t>
      </w:r>
      <w:r>
        <w:t xml:space="preserve"> מורכב משלושה רכיבים: </w:t>
      </w:r>
      <w:r>
        <w:rPr>
          <w:b/>
        </w:rPr>
        <w:t>Nerve Terminal (Motor Neuron)</w:t>
      </w:r>
      <w:r>
        <w:t xml:space="preserve">, </w:t>
      </w:r>
      <w:r>
        <w:rPr>
          <w:b/>
        </w:rPr>
        <w:t>Schwann Cell</w:t>
      </w:r>
      <w:r>
        <w:t>, ו-</w:t>
      </w:r>
      <w:r>
        <w:rPr>
          <w:b/>
        </w:rPr>
        <w:t>Muscle Fiber</w:t>
      </w:r>
      <w:r>
        <w:t>. העברת האות תלויה בעיקר ב-</w:t>
      </w:r>
      <w:r>
        <w:rPr>
          <w:b/>
        </w:rPr>
        <w:t>Acetylcholine (ACh)</w:t>
      </w:r>
      <w:r>
        <w:t xml:space="preserve"> כנוירוטרנסמיטור.</w:t>
      </w:r>
    </w:p>
    <w:p>
      <w:pPr>
        <w:pStyle w:val="ListBullet"/>
      </w:pPr>
      <w:r>
        <w:t xml:space="preserve">ישנם שני סוגי </w:t>
      </w:r>
      <w:r>
        <w:rPr>
          <w:b/>
        </w:rPr>
        <w:t>AChR (Acetylcholine Receptors)</w:t>
      </w:r>
      <w:r>
        <w:t xml:space="preserve">: </w:t>
      </w:r>
      <w:r>
        <w:rPr>
          <w:b/>
        </w:rPr>
        <w:t>Muscle subtype</w:t>
      </w:r>
      <w:r>
        <w:t xml:space="preserve"> (Post-junctional) ו-</w:t>
      </w:r>
      <w:r>
        <w:rPr>
          <w:b/>
        </w:rPr>
        <w:t>Neuronal subtype</w:t>
      </w:r>
      <w:r>
        <w:t xml:space="preserve"> (Pre-junctional). שניהם רלוונטיים לפעולת חסמי עצב-שריר.</w:t>
      </w:r>
    </w:p>
    <w:p>
      <w:pPr>
        <w:pStyle w:val="ListBullet"/>
      </w:pPr>
      <w:r/>
      <w:r>
        <w:rPr>
          <w:b/>
        </w:rPr>
        <w:t>NDMR (Non-Depolarizing Muscle Relaxants)</w:t>
      </w:r>
      <w:r>
        <w:t xml:space="preserve"> פועלים כ-</w:t>
      </w:r>
      <w:r>
        <w:rPr>
          <w:b/>
        </w:rPr>
        <w:t>Antagonists</w:t>
      </w:r>
      <w:r>
        <w:t xml:space="preserve"> — חוסמים את קישור ה-ACh לרצפטור. </w:t>
      </w:r>
      <w:r>
        <w:rPr>
          <w:b/>
        </w:rPr>
        <w:t>Succinylcholine</w:t>
      </w:r>
      <w:r>
        <w:t xml:space="preserve"> פועל כ-</w:t>
      </w:r>
      <w:r>
        <w:rPr>
          <w:b/>
        </w:rPr>
        <w:t>Agonist</w:t>
      </w:r>
      <w:r>
        <w:t xml:space="preserve"> (מחקה ACh) — גורם ל-Depolarization.</w:t>
      </w:r>
    </w:p>
    <w:p>
      <w:pPr>
        <w:pStyle w:val="ListBullet"/>
      </w:pPr>
      <w:r/>
      <w:r>
        <w:rPr>
          <w:b/>
        </w:rPr>
        <w:t>Fade</w:t>
      </w:r>
      <w:r>
        <w:t xml:space="preserve"> עם גירוי חוזר (Repetitive Nerve Stimulation) מעיד על חסימה של </w:t>
      </w:r>
      <w:r>
        <w:rPr>
          <w:b/>
        </w:rPr>
        <w:t>Pre-junctional AChRs</w:t>
      </w:r>
      <w:r>
        <w:t xml:space="preserve">, ומאפיין חסימה </w:t>
      </w:r>
      <w:r>
        <w:rPr>
          <w:b/>
        </w:rPr>
        <w:t>נון-דפולריזטורית</w:t>
      </w:r>
      <w:r>
        <w:t xml:space="preserve"> (וגם מיאסטניה גרביס).</w:t>
      </w:r>
    </w:p>
    <w:p>
      <w:pPr>
        <w:pStyle w:val="ListBullet"/>
      </w:pPr>
      <w:r>
        <w:t>הרצפטור ה</w:t>
      </w:r>
      <w:r>
        <w:rPr>
          <w:b/>
        </w:rPr>
        <w:t>עוברי (Fetal/Immature AChR)</w:t>
      </w:r>
      <w:r>
        <w:t xml:space="preserve"> מכיל </w:t>
      </w:r>
      <w:r>
        <w:rPr>
          <w:b/>
        </w:rPr>
        <w:t>γ (Gamma)</w:t>
      </w:r>
      <w:r>
        <w:t xml:space="preserve"> במקום </w:t>
      </w:r>
      <w:r>
        <w:rPr>
          <w:b/>
        </w:rPr>
        <w:t>ε (Epsilon)</w:t>
      </w:r>
      <w:r>
        <w:t xml:space="preserve"> — מוליכות נמוכה יותר, זמן פתיחה ארוך יותר.</w:t>
      </w:r>
    </w:p>
    <w:p>
      <w:pPr>
        <w:pStyle w:val="ListBullet"/>
      </w:pPr>
      <w:r/>
      <w:r>
        <w:rPr>
          <w:b/>
        </w:rPr>
        <w:t>דה-סנסיטיזציה (Desensitization)</w:t>
      </w:r>
      <w:r>
        <w:t xml:space="preserve"> של הרצפטור = קישור אגוניסט בזיקה גבוהה </w:t>
      </w:r>
      <w:r>
        <w:rPr>
          <w:b/>
        </w:rPr>
        <w:t>ללא</w:t>
      </w:r>
      <w:r>
        <w:t xml:space="preserve"> פתיחת התעלה היונית — מלווה ב-</w:t>
      </w:r>
      <w:r>
        <w:rPr>
          <w:b/>
        </w:rPr>
        <w:t>Phosphorylation</w:t>
      </w:r>
      <w:r>
        <w:t xml:space="preserve"> של Tyrosine.</w:t>
      </w:r>
    </w:p>
    <w:p>
      <w:pPr>
        <w:pStyle w:val="ListBullet"/>
      </w:pPr>
      <w:r>
        <w:t xml:space="preserve">שחרור </w:t>
      </w:r>
      <w:r>
        <w:rPr>
          <w:b/>
        </w:rPr>
        <w:t>Ca²⁺</w:t>
      </w:r>
      <w:r>
        <w:t xml:space="preserve"> לפני הסינפסה הוא הטריגר לשחרור וסיקולות ACh. </w:t>
      </w:r>
      <w:r>
        <w:rPr>
          <w:b/>
        </w:rPr>
        <w:t>Mg²⁺</w:t>
      </w:r>
      <w:r>
        <w:t xml:space="preserve"> מתחרה עם Ca²⁺ ומעכב שחרור ACh.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הרכב תת-יחידות AChR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סוג רצפטור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הרכב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מוליכות (Conductance)</w:t>
            </w:r>
          </w:p>
        </w:tc>
        <w:tc>
          <w:tcPr>
            <w:tcW w:type="dxa" w:w="216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זמן פתיחה (Open Time)</w:t>
            </w:r>
          </w:p>
        </w:tc>
      </w:tr>
      <w:tr>
        <w:tc>
          <w:tcPr>
            <w:tcW w:type="dxa" w:w="2160"/>
          </w:tcPr>
          <w:p>
            <w:r>
              <w:t>Mature/Adult AChR</w:t>
            </w:r>
          </w:p>
        </w:tc>
        <w:tc>
          <w:tcPr>
            <w:tcW w:type="dxa" w:w="2160"/>
          </w:tcPr>
          <w:p>
            <w:r>
              <w:t>2α, β, δ, ε</w:t>
            </w:r>
          </w:p>
        </w:tc>
        <w:tc>
          <w:tcPr>
            <w:tcW w:type="dxa" w:w="2160"/>
          </w:tcPr>
          <w:p>
            <w:r>
              <w:t>גבוהה</w:t>
            </w:r>
          </w:p>
        </w:tc>
        <w:tc>
          <w:tcPr>
            <w:tcW w:type="dxa" w:w="2160"/>
          </w:tcPr>
          <w:p>
            <w:r>
              <w:t>קצר</w:t>
            </w:r>
          </w:p>
        </w:tc>
      </w:tr>
      <w:tr>
        <w:tc>
          <w:tcPr>
            <w:tcW w:type="dxa" w:w="2160"/>
          </w:tcPr>
          <w:p>
            <w:r>
              <w:t>Fetal/Immature AChR</w:t>
            </w:r>
          </w:p>
        </w:tc>
        <w:tc>
          <w:tcPr>
            <w:tcW w:type="dxa" w:w="2160"/>
          </w:tcPr>
          <w:p>
            <w:r>
              <w:t>2α, β, δ, γ</w:t>
            </w:r>
          </w:p>
        </w:tc>
        <w:tc>
          <w:tcPr>
            <w:tcW w:type="dxa" w:w="2160"/>
          </w:tcPr>
          <w:p>
            <w:r>
              <w:t>נמוכה</w:t>
            </w:r>
          </w:p>
        </w:tc>
        <w:tc>
          <w:tcPr>
            <w:tcW w:type="dxa" w:w="2160"/>
          </w:tcPr>
          <w:p>
            <w:r>
              <w:t>ארוך (×2–10)</w:t>
            </w:r>
          </w:p>
        </w:tc>
      </w:tr>
    </w:tbl>
    <w:p/>
    <w:p/>
    <w:p>
      <w:pPr>
        <w:pStyle w:val="Quote"/>
      </w:pPr>
      <w:r>
        <w:t>💡 כלל אצבע: גמא = ג'וניור (עוברי) — פתוח זמן רב אך מעביר פחות יונים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מאפייני גירוי עצבי חוזר (Nerve Stimulation Patterns)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דפוס גירוי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חסימה דפולריזטורית (Phase I)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חסימה נון-דפולריזטורית</w:t>
            </w:r>
          </w:p>
        </w:tc>
      </w:tr>
      <w:tr>
        <w:tc>
          <w:tcPr>
            <w:tcW w:type="dxa" w:w="2880"/>
          </w:tcPr>
          <w:p>
            <w:r>
              <w:t>Train of Four (TOF)</w:t>
            </w:r>
          </w:p>
        </w:tc>
        <w:tc>
          <w:tcPr>
            <w:tcW w:type="dxa" w:w="2880"/>
          </w:tcPr>
          <w:p>
            <w:r>
              <w:t>ירידה שווה (Fade אין)</w:t>
            </w:r>
          </w:p>
        </w:tc>
        <w:tc>
          <w:tcPr>
            <w:tcW w:type="dxa" w:w="2880"/>
          </w:tcPr>
          <w:p>
            <w:r>
              <w:t>Fade (T4 &lt; T1)</w:t>
            </w:r>
          </w:p>
        </w:tc>
      </w:tr>
      <w:tr>
        <w:tc>
          <w:tcPr>
            <w:tcW w:type="dxa" w:w="2880"/>
          </w:tcPr>
          <w:p>
            <w:r>
              <w:t>Tetanus</w:t>
            </w:r>
          </w:p>
        </w:tc>
        <w:tc>
          <w:tcPr>
            <w:tcW w:type="dxa" w:w="2880"/>
          </w:tcPr>
          <w:p>
            <w:r>
              <w:t>נשמר</w:t>
            </w:r>
          </w:p>
        </w:tc>
        <w:tc>
          <w:tcPr>
            <w:tcW w:type="dxa" w:w="2880"/>
          </w:tcPr>
          <w:p>
            <w:r>
              <w:t>Fade</w:t>
            </w:r>
          </w:p>
        </w:tc>
      </w:tr>
      <w:tr>
        <w:tc>
          <w:tcPr>
            <w:tcW w:type="dxa" w:w="2880"/>
          </w:tcPr>
          <w:p>
            <w:r>
              <w:t>Post-Tetanic Facilitation</w:t>
            </w:r>
          </w:p>
        </w:tc>
        <w:tc>
          <w:tcPr>
            <w:tcW w:type="dxa" w:w="2880"/>
          </w:tcPr>
          <w:p>
            <w:r>
              <w:t>אין</w:t>
            </w:r>
          </w:p>
        </w:tc>
        <w:tc>
          <w:tcPr>
            <w:tcW w:type="dxa" w:w="2880"/>
          </w:tcPr>
          <w:p>
            <w:r>
              <w:t>יש</w:t>
            </w:r>
          </w:p>
        </w:tc>
      </w:tr>
      <w:tr>
        <w:tc>
          <w:tcPr>
            <w:tcW w:type="dxa" w:w="2880"/>
          </w:tcPr>
          <w:p>
            <w:r>
              <w:t>Double Burst</w:t>
            </w:r>
          </w:p>
        </w:tc>
        <w:tc>
          <w:tcPr>
            <w:tcW w:type="dxa" w:w="2880"/>
          </w:tcPr>
          <w:p>
            <w:r>
              <w:t>אין Fade</w:t>
            </w:r>
          </w:p>
        </w:tc>
        <w:tc>
          <w:tcPr>
            <w:tcW w:type="dxa" w:w="2880"/>
          </w:tcPr>
          <w:p>
            <w:r>
              <w:t>Fade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ריכוזי יונים בסינפסה (ערכי ייחוס)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יון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תוך-תאי (Intracellular)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חוץ-תאי (Extracellular)</w:t>
            </w:r>
          </w:p>
        </w:tc>
      </w:tr>
      <w:tr>
        <w:tc>
          <w:tcPr>
            <w:tcW w:type="dxa" w:w="2880"/>
          </w:tcPr>
          <w:p>
            <w:r>
              <w:t>Na⁺</w:t>
            </w:r>
          </w:p>
        </w:tc>
        <w:tc>
          <w:tcPr>
            <w:tcW w:type="dxa" w:w="2880"/>
          </w:tcPr>
          <w:p>
            <w:r>
              <w:t>נמוך (~15 mEq/L)</w:t>
            </w:r>
          </w:p>
        </w:tc>
        <w:tc>
          <w:tcPr>
            <w:tcW w:type="dxa" w:w="2880"/>
          </w:tcPr>
          <w:p>
            <w:r>
              <w:t>גבוה (~145 mEq/L)</w:t>
            </w:r>
          </w:p>
        </w:tc>
      </w:tr>
      <w:tr>
        <w:tc>
          <w:tcPr>
            <w:tcW w:type="dxa" w:w="2880"/>
          </w:tcPr>
          <w:p>
            <w:r>
              <w:t>K⁺</w:t>
            </w:r>
          </w:p>
        </w:tc>
        <w:tc>
          <w:tcPr>
            <w:tcW w:type="dxa" w:w="2880"/>
          </w:tcPr>
          <w:p>
            <w:r>
              <w:t>גבוה (~150 mEq/L)</w:t>
            </w:r>
          </w:p>
        </w:tc>
        <w:tc>
          <w:tcPr>
            <w:tcW w:type="dxa" w:w="2880"/>
          </w:tcPr>
          <w:p>
            <w:r>
              <w:t>נמוך (~5 mEq/L)</w:t>
            </w:r>
          </w:p>
        </w:tc>
      </w:tr>
      <w:tr>
        <w:tc>
          <w:tcPr>
            <w:tcW w:type="dxa" w:w="2880"/>
          </w:tcPr>
          <w:p>
            <w:r>
              <w:t>Ca²⁺</w:t>
            </w:r>
          </w:p>
        </w:tc>
        <w:tc>
          <w:tcPr>
            <w:tcW w:type="dxa" w:w="2880"/>
          </w:tcPr>
          <w:p>
            <w:r>
              <w:t>נמוך מאוד</w:t>
            </w:r>
          </w:p>
        </w:tc>
        <w:tc>
          <w:tcPr>
            <w:tcW w:type="dxa" w:w="2880"/>
          </w:tcPr>
          <w:p>
            <w:r>
              <w:t>גבוה יחסית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מבנה הסרקומר (לפי אזורים)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אזור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תוכן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שינוי בכיווץ</w:t>
            </w:r>
          </w:p>
        </w:tc>
      </w:tr>
      <w:tr>
        <w:tc>
          <w:tcPr>
            <w:tcW w:type="dxa" w:w="2880"/>
          </w:tcPr>
          <w:p>
            <w:r>
              <w:t>A Band</w:t>
            </w:r>
          </w:p>
        </w:tc>
        <w:tc>
          <w:tcPr>
            <w:tcW w:type="dxa" w:w="2880"/>
          </w:tcPr>
          <w:p>
            <w:r>
              <w:t>Myosin + Actin (חפיפה)</w:t>
            </w:r>
          </w:p>
        </w:tc>
        <w:tc>
          <w:tcPr>
            <w:tcW w:type="dxa" w:w="2880"/>
          </w:tcPr>
          <w:p>
            <w:r>
              <w:t>קבוע</w:t>
            </w:r>
          </w:p>
        </w:tc>
      </w:tr>
      <w:tr>
        <w:tc>
          <w:tcPr>
            <w:tcW w:type="dxa" w:w="2880"/>
          </w:tcPr>
          <w:p>
            <w:r>
              <w:t>I Band</w:t>
            </w:r>
          </w:p>
        </w:tc>
        <w:tc>
          <w:tcPr>
            <w:tcW w:type="dxa" w:w="2880"/>
          </w:tcPr>
          <w:p>
            <w:r>
              <w:t>Actin בלבד</w:t>
            </w:r>
          </w:p>
        </w:tc>
        <w:tc>
          <w:tcPr>
            <w:tcW w:type="dxa" w:w="2880"/>
          </w:tcPr>
          <w:p>
            <w:r>
              <w:t>מתקצר</w:t>
            </w:r>
          </w:p>
        </w:tc>
      </w:tr>
      <w:tr>
        <w:tc>
          <w:tcPr>
            <w:tcW w:type="dxa" w:w="2880"/>
          </w:tcPr>
          <w:p>
            <w:r>
              <w:t>H Zone</w:t>
            </w:r>
          </w:p>
        </w:tc>
        <w:tc>
          <w:tcPr>
            <w:tcW w:type="dxa" w:w="2880"/>
          </w:tcPr>
          <w:p>
            <w:r>
              <w:t>Myosin בלבד</w:t>
            </w:r>
          </w:p>
        </w:tc>
        <w:tc>
          <w:tcPr>
            <w:tcW w:type="dxa" w:w="2880"/>
          </w:tcPr>
          <w:p>
            <w:r>
              <w:t>מתקצר/נעלם</w:t>
            </w:r>
          </w:p>
        </w:tc>
      </w:tr>
      <w:tr>
        <w:tc>
          <w:tcPr>
            <w:tcW w:type="dxa" w:w="2880"/>
          </w:tcPr>
          <w:p>
            <w:r>
              <w:t>Z Line</w:t>
            </w:r>
          </w:p>
        </w:tc>
        <w:tc>
          <w:tcPr>
            <w:tcW w:type="dxa" w:w="2880"/>
          </w:tcPr>
          <w:p>
            <w:r>
              <w:t>עוגן ל-Actin</w:t>
            </w:r>
          </w:p>
        </w:tc>
        <w:tc>
          <w:tcPr>
            <w:tcW w:type="dxa" w:w="2880"/>
          </w:tcPr>
          <w:p>
            <w:r>
              <w:t>מתקרב למרכז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Heading3"/>
      </w:pPr>
      <w:r>
        <w:t>🔴 קריטי לבחינה — שגיאות נפוצות:</w:t>
      </w:r>
    </w:p>
    <w:p/>
    <w:p>
      <w:pPr>
        <w:pStyle w:val="ListNumber"/>
      </w:pPr>
      <w:r/>
      <w:r>
        <w:rPr>
          <w:b/>
        </w:rPr>
        <w:t>Fetal AChR ≠ עמיד לNDMR</w:t>
      </w:r>
      <w:r>
        <w:t xml:space="preserve"> — הרצפטור העוברי דווקא </w:t>
      </w:r>
      <w:r>
        <w:rPr>
          <w:b/>
        </w:rPr>
        <w:t>רגיש</w:t>
      </w:r>
      <w:r>
        <w:t xml:space="preserve"> יותר ל-Succinylcholine ו</w:t>
      </w:r>
      <w:r>
        <w:rPr>
          <w:b/>
        </w:rPr>
        <w:t>עמיד</w:t>
      </w:r>
      <w:r>
        <w:t xml:space="preserve"> ל-NDMR. זה ההסבר לפאשציקולציות ורגישות להיפרקלמיה בחולים עם Up-regulation של רצפטורים עובריים (כוויות, פגיעות עמוד שדרה, immobilization).</w:t>
      </w:r>
    </w:p>
    <w:p/>
    <w:p>
      <w:pPr>
        <w:pStyle w:val="ListNumber"/>
      </w:pPr>
      <w:r/>
      <w:r>
        <w:rPr>
          <w:b/>
        </w:rPr>
        <w:t>Desensitization — Verapamil</w:t>
      </w:r>
      <w:r>
        <w:t xml:space="preserve"> היא התרופה שמופיעה בשאלות הבחינה (יוני 2023) כגורמת ל-Desensitization. תרופות נוספות ב-Box 11.1:</w:t>
      </w:r>
    </w:p>
    <w:p>
      <w:r>
        <w:t xml:space="preserve">   - </w:t>
      </w:r>
      <w:r>
        <w:rPr>
          <w:b/>
        </w:rPr>
        <w:t>Volatile Anesthetics:</w:t>
      </w:r>
      <w:r>
        <w:t xml:space="preserve"> Halothane, Sevoflurane, Isoflurane</w:t>
      </w:r>
    </w:p>
    <w:p>
      <w:r>
        <w:t xml:space="preserve">   - </w:t>
      </w:r>
      <w:r>
        <w:rPr>
          <w:b/>
        </w:rPr>
        <w:t>Barbiturates:</w:t>
      </w:r>
      <w:r>
        <w:t xml:space="preserve"> Thiopental</w:t>
      </w:r>
    </w:p>
    <w:p>
      <w:r>
        <w:t xml:space="preserve">   - </w:t>
      </w:r>
      <w:r>
        <w:rPr>
          <w:b/>
        </w:rPr>
        <w:t>Agonists:</w:t>
      </w:r>
      <w:r>
        <w:t xml:space="preserve"> Succinylcholine, ACh</w:t>
      </w:r>
    </w:p>
    <w:p>
      <w:r>
        <w:t xml:space="preserve">   - </w:t>
      </w:r>
      <w:r>
        <w:rPr>
          <w:b/>
        </w:rPr>
        <w:t>Anticholinesterases:</w:t>
      </w:r>
      <w:r>
        <w:t xml:space="preserve"> Neostigmine, Pyridostigmine</w:t>
      </w:r>
    </w:p>
    <w:p>
      <w:r>
        <w:t xml:space="preserve">   - </w:t>
      </w:r>
      <w:r>
        <w:rPr>
          <w:b/>
        </w:rPr>
        <w:t>מאלחשים מקומיים:</w:t>
      </w:r>
      <w:r>
        <w:t xml:space="preserve"> Lidocaine, Bupivacaine</w:t>
      </w:r>
    </w:p>
    <w:p>
      <w:r>
        <w:t xml:space="preserve">   - </w:t>
      </w:r>
      <w:r>
        <w:rPr>
          <w:b/>
        </w:rPr>
        <w:t>אנטיביוטיקה:</w:t>
      </w:r>
      <w:r>
        <w:t xml:space="preserve"> Polymyxin B</w:t>
      </w:r>
    </w:p>
    <w:p>
      <w:r>
        <w:t xml:space="preserve">   - </w:t>
      </w:r>
      <w:r>
        <w:rPr>
          <w:b/>
        </w:rPr>
        <w:t>Ethanol</w:t>
      </w:r>
      <w:r/>
    </w:p>
    <w:p/>
    <w:p>
      <w:pPr>
        <w:pStyle w:val="ListNumber"/>
      </w:pPr>
      <w:r/>
      <w:r>
        <w:rPr>
          <w:b/>
        </w:rPr>
        <w:t>Fade ≠ תמיד Pre-junctional בלבד</w:t>
      </w:r>
      <w:r>
        <w:t xml:space="preserve"> — Fade יכול להופיע גם כאשר ה-Post-junctional AChRs חסומים בלבד (כגון Bungarotoxin) או כאשר מספר הרצפטורים מופחת (מיאסטניה גרביס).</w:t>
      </w:r>
    </w:p>
    <w:p/>
    <w:p>
      <w:pPr>
        <w:pStyle w:val="ListNumber"/>
      </w:pPr>
      <w:r/>
      <w:r>
        <w:rPr>
          <w:b/>
        </w:rPr>
        <w:t>Magnesium Sulfate</w:t>
      </w:r>
      <w:r>
        <w:t xml:space="preserve"> — מעכב שחרור ACh (חוסם כניסת Ca²⁺ לנוירון) → </w:t>
      </w:r>
      <w:r>
        <w:rPr>
          <w:b/>
        </w:rPr>
        <w:t>מגביר</w:t>
      </w:r>
      <w:r>
        <w:t xml:space="preserve"> רגישות ל-NDMR, </w:t>
      </w:r>
      <w:r>
        <w:rPr>
          <w:b/>
        </w:rPr>
        <w:t>מפחית</w:t>
      </w:r>
      <w:r>
        <w:t xml:space="preserve"> צורך במינון.</w:t>
      </w:r>
    </w:p>
    <w:p/>
    <w:p>
      <w:pPr>
        <w:pStyle w:val="ListNumber"/>
      </w:pPr>
      <w:r/>
      <w:r>
        <w:rPr>
          <w:b/>
        </w:rPr>
        <w:t>Botulinum Toxin</w:t>
      </w:r>
      <w:r>
        <w:t xml:space="preserve"> — חותך חלבוני </w:t>
      </w:r>
      <w:r>
        <w:rPr>
          <w:b/>
        </w:rPr>
        <w:t>SNARE</w:t>
      </w:r>
      <w:r>
        <w:t xml:space="preserve"> → מונע איחוי וסיקולות עם הממברנה → עיכוב מוחלט של שחרור ACh.</w:t>
      </w:r>
    </w:p>
    <w:p/>
    <w:p>
      <w:pPr>
        <w:pStyle w:val="ListNumber"/>
      </w:pPr>
      <w:r/>
      <w:r>
        <w:rPr>
          <w:b/>
        </w:rPr>
        <w:t>בפוטנציאל הפעולה:</w:t>
      </w:r>
      <w:r>
        <w:t xml:space="preserve"> Na⁺ </w:t>
      </w:r>
      <w:r>
        <w:rPr>
          <w:b/>
        </w:rPr>
        <w:t>נכנס</w:t>
      </w:r>
      <w:r>
        <w:t xml:space="preserve"> (Depolarization) → K⁺ </w:t>
      </w:r>
      <w:r>
        <w:rPr>
          <w:b/>
        </w:rPr>
        <w:t>יוצא</w:t>
      </w:r>
      <w:r>
        <w:t xml:space="preserve"> (Repolarization) → סגירת Voltage-gated Ca²⁺ channels → הפסקת שחרור ACh.</w:t>
      </w:r>
    </w:p>
    <w:p/>
    <w:p>
      <w:pPr>
        <w:pStyle w:val="ListNumber"/>
      </w:pPr>
      <w:r/>
      <w:r>
        <w:rPr>
          <w:b/>
        </w:rPr>
        <w:t>שרירי עיניים חיצוניים (Extraocular Muscles) + Succinylcholine:</w:t>
      </w:r>
      <w:r>
        <w:t xml:space="preserve"> שרירים אלו מגיבים ב-</w:t>
      </w:r>
      <w:r>
        <w:rPr>
          <w:b/>
        </w:rPr>
        <w:t>Sustained Contraction</w:t>
      </w:r>
      <w:r>
        <w:t xml:space="preserve"> (לא Fasciculation רגילה) → עלייה ב-</w:t>
      </w:r>
      <w:r>
        <w:rPr>
          <w:b/>
        </w:rPr>
        <w:t>Intraocular Pressure (IOP)</w:t>
      </w:r>
      <w:r>
        <w:t xml:space="preserve"> — קריטי בטראומה לעיניים!</w:t>
      </w:r>
    </w:p>
    <w:p/>
    <w:p>
      <w:pPr>
        <w:pStyle w:val="ListNumber"/>
      </w:pPr>
      <w:r/>
      <w:r>
        <w:rPr>
          <w:b/>
        </w:rPr>
        <w:t>H Zone = Myosin בלבד</w:t>
      </w:r>
      <w:r>
        <w:t xml:space="preserve"> — ב-H Zone </w:t>
      </w:r>
      <w:r>
        <w:rPr>
          <w:b/>
        </w:rPr>
        <w:t>אין Actin</w:t>
      </w:r>
      <w:r>
        <w:t xml:space="preserve">. בכיווץ מקסימלי ה-H Zone </w:t>
      </w:r>
      <w:r>
        <w:rPr>
          <w:b/>
        </w:rPr>
        <w:t>נעלם</w:t>
      </w:r>
      <w:r>
        <w:t>.</w:t>
      </w:r>
    </w:p>
    <w:p/>
    <w:p>
      <w:pPr>
        <w:pStyle w:val="ListNumber"/>
      </w:pPr>
      <w:r/>
      <w:r>
        <w:rPr>
          <w:b/>
        </w:rPr>
        <w:t>Phase II Block</w:t>
      </w:r>
      <w:r>
        <w:t xml:space="preserve"> של Succinylcholine — מינון גבוה או ממושך של Succinylcholine גורם לחסימה שמתנהגת כמו </w:t>
      </w:r>
      <w:r>
        <w:rPr>
          <w:b/>
        </w:rPr>
        <w:t>NDMR</w:t>
      </w:r>
      <w:r>
        <w:t xml:space="preserve"> (Fade, Post-tetanic facilitation) — מצב מסוכן!</w:t>
      </w:r>
    </w:p>
    <w:p/>
    <w:p>
      <w:pPr>
        <w:pStyle w:val="ListNumber"/>
      </w:pPr>
      <w:r/>
      <w:r>
        <w:rPr>
          <w:b/>
        </w:rPr>
        <w:t>Myasthenia Gravis vs. Eaton-Lambert: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מאפיין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Myasthenia Gravis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Eaton-Lambert</w:t>
            </w:r>
          </w:p>
        </w:tc>
      </w:tr>
      <w:tr>
        <w:tc>
          <w:tcPr>
            <w:tcW w:type="dxa" w:w="2880"/>
          </w:tcPr>
          <w:p>
            <w:r>
              <w:t>מיקום הנגע</w:t>
            </w:r>
          </w:p>
        </w:tc>
        <w:tc>
          <w:tcPr>
            <w:tcW w:type="dxa" w:w="2880"/>
          </w:tcPr>
          <w:p>
            <w:r>
              <w:t>Post-junctional (AChR)</w:t>
            </w:r>
          </w:p>
        </w:tc>
        <w:tc>
          <w:tcPr>
            <w:tcW w:type="dxa" w:w="2880"/>
          </w:tcPr>
          <w:p>
            <w:r>
              <w:t>Pre-junctional (Ca²⁺ channels)</w:t>
            </w:r>
          </w:p>
        </w:tc>
      </w:tr>
      <w:tr>
        <w:tc>
          <w:tcPr>
            <w:tcW w:type="dxa" w:w="2880"/>
          </w:tcPr>
          <w:p>
            <w:r>
              <w:t>אנטיגן</w:t>
            </w:r>
          </w:p>
        </w:tc>
        <w:tc>
          <w:tcPr>
            <w:tcW w:type="dxa" w:w="2880"/>
          </w:tcPr>
          <w:p>
            <w:r>
              <w:t>Anti-AChR antibodies</w:t>
            </w:r>
          </w:p>
        </w:tc>
        <w:tc>
          <w:tcPr>
            <w:tcW w:type="dxa" w:w="2880"/>
          </w:tcPr>
          <w:p>
            <w:r>
              <w:t>Anti-VGCC antibodies</w:t>
            </w:r>
          </w:p>
        </w:tc>
      </w:tr>
      <w:tr>
        <w:tc>
          <w:tcPr>
            <w:tcW w:type="dxa" w:w="2880"/>
          </w:tcPr>
          <w:p>
            <w:r>
              <w:t>תגובה לגירוי חוזר</w:t>
            </w:r>
          </w:p>
        </w:tc>
        <w:tc>
          <w:tcPr>
            <w:tcW w:type="dxa" w:w="2880"/>
          </w:tcPr>
          <w:p>
            <w:r>
              <w:t>Fade (ירידה)</w:t>
            </w:r>
          </w:p>
        </w:tc>
        <w:tc>
          <w:tcPr>
            <w:tcW w:type="dxa" w:w="2880"/>
          </w:tcPr>
          <w:p>
            <w:r>
              <w:t>שיפור (Facilitation)</w:t>
            </w:r>
          </w:p>
        </w:tc>
      </w:tr>
      <w:tr>
        <w:tc>
          <w:tcPr>
            <w:tcW w:type="dxa" w:w="2880"/>
          </w:tcPr>
          <w:p>
            <w:r>
              <w:t>רגישות ל-NDMR</w:t>
            </w:r>
          </w:p>
        </w:tc>
        <w:tc>
          <w:tcPr>
            <w:tcW w:type="dxa" w:w="2880"/>
          </w:tcPr>
          <w:p>
            <w:r>
              <w:t>מוגברת מאוד</w:t>
            </w:r>
          </w:p>
        </w:tc>
        <w:tc>
          <w:tcPr>
            <w:tcW w:type="dxa" w:w="2880"/>
          </w:tcPr>
          <w:p>
            <w:r>
              <w:t>מוגברת</w:t>
            </w:r>
          </w:p>
        </w:tc>
      </w:tr>
      <w:tr>
        <w:tc>
          <w:tcPr>
            <w:tcW w:type="dxa" w:w="2880"/>
          </w:tcPr>
          <w:p>
            <w:r>
              <w:t>רגישות ל-Succinylcholine</w:t>
            </w:r>
          </w:p>
        </w:tc>
        <w:tc>
          <w:tcPr>
            <w:tcW w:type="dxa" w:w="2880"/>
          </w:tcPr>
          <w:p>
            <w:r>
              <w:t>עמידות יחסית</w:t>
            </w:r>
          </w:p>
        </w:tc>
        <w:tc>
          <w:tcPr>
            <w:tcW w:type="dxa" w:w="2880"/>
          </w:tcPr>
          <w:p>
            <w:r>
              <w:t>רגישות מוגברת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1:</w:t>
      </w:r>
      <w:r/>
    </w:p>
    <w:p>
      <w:r>
        <w:t>מטופל עם כוויות נרחבות מגיע לחדר ניתוח. אילו שינויים ב-AChR צפויים ומה המשמעות הקלינית?</w:t>
      </w:r>
    </w:p>
    <w:p/>
    <w:p>
      <w:pPr>
        <w:pStyle w:val="Quote"/>
      </w:pPr>
      <w:r>
        <w:t>תשובה: בחולים עם כוויות, דה-נרבציה, immobilization ממושכת — מתרחשת Up-regulation של Fetal/Immature AChRs (המכילים γ) לאורך כל שטח שריר השלד. רצפטורים אלו רגישים יותר ל-Succinylcholine → מתן Succinylcholine גורם לשחרור מסיבי של K⁺ → היפרקלמיה מסכנת חיים. יש להימנע מ-Succinylcholine ב-24–48 שעות לאחר הפגיעה ועד לשנה ומעלה.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ההבדל בין הרצפטור העוברי לבוגר מבחינת Conductance ו-Open Time?</w:t>
      </w:r>
    </w:p>
    <w:p/>
    <w:p>
      <w:pPr>
        <w:pStyle w:val="Quote"/>
      </w:pPr>
      <w:r>
        <w:t>תשובה: הרצפטור העוברי (γ) — מוליכות נמוכה, זמן פתיחה ארוך. הרצפטור הבוגר (ε) — מוליכות גבוהה, זמן פתיחה קצר. (תשובה ב' בשאלת מבחן יוני 2023).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איזו תרופה קלאסית מוזכרת כגורמת ל-Desensitization של הרצפטורים הניקוטיניים בשאלות הבחינה?</w:t>
      </w:r>
    </w:p>
    <w:p/>
    <w:p>
      <w:pPr>
        <w:pStyle w:val="Quote"/>
      </w:pPr>
      <w:r>
        <w:t>תשובה: Verapamil (חוסם תעלות סידן). מנגנון: הרצפטור קושר את האגוניסט בזיקה גבוהה אך אינו פותח את התעלה היונית — מלווה ב-Phosphorylation של Tyrosine בחלבון הרצפטור.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בגירוי Train of Four (TOF), Fade מעיד על איזה סוג חסימה? מה הפיזיולוגיה?</w:t>
      </w:r>
    </w:p>
    <w:p/>
    <w:p>
      <w:pPr>
        <w:pStyle w:val="Quote"/>
      </w:pPr>
      <w:r>
        <w:t>תשובה: Fade מעיד על חסימה נון-דפולריזטורית (NDMR). מנגנון: ה-NDMR חוסם Pre-junctional AChRs (Neuronal subtype, נורמלית מגבירים שחרור ACh בגירוי חוזר — Positive Feedback). כאשר רצפטורים אלו חסומים, אין Mobilization של וסיקולות נוספות → הדופק ה-4 קטן מהדופק ה-1 (Fade). בחסימה דפולריזטורית (Phase I) — אין Fade, ירידה שווה בכל הדפקים.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מדוע מגנזיום סולפט ניתן בזהירות בחולים המקבלים NDMR?</w:t>
      </w:r>
    </w:p>
    <w:p/>
    <w:p>
      <w:pPr>
        <w:pStyle w:val="Quote"/>
      </w:pPr>
      <w:r>
        <w:t>תשובה: Mg²⁺ מתחרה עם Ca²⁺ על כניסה לתא העצב דרך Voltage-gated Ca²⁺ channels → מפחית שחרור ACh מה-Nerve Terminal (אפקט Pre-junctional). בנוסף, מפחית את רגישות ה-Post-junctional membrane. התוצאה: הגברה ניכרת של חסימת NDMR → הארכת זמן שיתוק, ירידה בצורך במינון — יש לנטר TOF ולהפחית מינון NDMR בהתאם.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`Miller_s Anesthesia, Chapter 11_ Neuromuscular Physiology &amp; Pharmacology Study Guide.docx`</w:t>
      </w:r>
    </w:p>
    <w:p>
      <w:pPr>
        <w:pStyle w:val="ListBullet"/>
      </w:pPr>
      <w:r>
        <w:t>`פרמקולוגיה ופיזיולוגיה של צומת העצב-שריר.docx`</w:t>
      </w:r>
    </w:p>
    <w:p>
      <w:pPr>
        <w:pStyle w:val="ListBullet"/>
      </w:pPr>
      <w:r>
        <w:t>`השוואת רצפטור אצטילכולין עוברי ובוגר_.docx`</w:t>
      </w:r>
    </w:p>
    <w:p>
      <w:pPr>
        <w:pStyle w:val="ListBullet"/>
      </w:pPr>
      <w:r>
        <w:t>`The Molecular Architecture of the H Zone and Sarcomere Contraction.docx`</w:t>
      </w:r>
    </w:p>
    <w:p>
      <w:pPr>
        <w:pStyle w:val="ListBullet"/>
      </w:pPr>
      <w:r>
        <w:t>`פיזיולוגיה של הולכה עצבית ושחרור סידן בסינפסה.docx`</w:t>
      </w:r>
    </w:p>
    <w:p>
      <w:pPr>
        <w:pStyle w:val="ListBullet"/>
      </w:pPr>
      <w:r>
        <w:t>`פרמקולוגיה של חוסמי צומת עצב-שריר וגורמים מאריכי שיתוק.docx`</w:t>
      </w:r>
    </w:p>
    <w:p>
      <w:pPr>
        <w:pStyle w:val="ListBullet"/>
      </w:pPr>
      <w:r>
        <w:t>`Extraocular Muscles and Succinylcholine Physiology_ A Miller Analysis.docx`</w:t>
      </w:r>
    </w:p>
    <w:p>
      <w:pPr>
        <w:pStyle w:val="ListBullet"/>
      </w:pPr>
      <w:r>
        <w:t>`מנגנוני דה-סנסיטיזציה של הרצפטור הניקוטיני בפיזיולוגיה של ההרדמה.docx`</w:t>
      </w:r>
    </w:p>
    <w:p>
      <w:pPr>
        <w:pStyle w:val="ListBullet"/>
      </w:pPr>
      <w:r>
        <w:t>`Anesthesia Phase A Examination Content Analysis.docx`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Ch.11 — Neuromuscular Physiology and Pharmacology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