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23. Intravenous Drug Delivery Systems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Multicompartment Models:</w:t>
      </w:r>
      <w:r>
        <w:t xml:space="preserve"> הפרמקוקינטיקה של תרופות הרדמה מתוארת על ידי מודלים של מספר תאים (Compartments) — Central + Peripheral. ריכוז הפלזמה לבדו אינו מספיק לחיזוי האפקט הקליני.</w:t>
      </w:r>
    </w:p>
    <w:p/>
    <w:p>
      <w:pPr>
        <w:pStyle w:val="ListBullet"/>
      </w:pPr>
      <w:r/>
      <w:r>
        <w:rPr>
          <w:b/>
        </w:rPr>
        <w:t>Biophase / Effect Site:</w:t>
      </w:r>
      <w:r>
        <w:t xml:space="preserve"> אתר הפעולה של התרופה. קיים עיכוב (Hysteresis) בין שיא ריכוז הפלזמה לשיא האפקט הקליני, המוצג ע"י הקבוע </w:t>
      </w:r>
      <w:r>
        <w:rPr>
          <w:b/>
        </w:rPr>
        <w:t>k_e0</w:t>
      </w:r>
      <w:r>
        <w:t xml:space="preserve"> (שיעור שיווי המשקל בין פלזמה ל-Effect Site).</w:t>
      </w:r>
    </w:p>
    <w:p/>
    <w:p>
      <w:pPr>
        <w:pStyle w:val="ListBullet"/>
      </w:pPr>
      <w:r/>
      <w:r>
        <w:rPr>
          <w:b/>
        </w:rPr>
        <w:t>TCI — Target-Controlled Infusion:</w:t>
      </w:r>
      <w:r>
        <w:t xml:space="preserve"> מערכת המחשבת קצב הזרקה דינמי על מנת להגיע לריכוז מטרה מוגדר (בפלזמה או ב-Effect Site). מניחה שהתרופה מגיעה לדם </w:t>
      </w:r>
      <w:r>
        <w:rPr>
          <w:b/>
        </w:rPr>
        <w:t>באופן מיידי</w:t>
      </w:r>
      <w:r>
        <w:t xml:space="preserve"> בהתאם לקצב המשאבה — לכן דיוק טכני הוא קריטי.</w:t>
      </w:r>
    </w:p>
    <w:p/>
    <w:p>
      <w:pPr>
        <w:pStyle w:val="ListBullet"/>
      </w:pPr>
      <w:r/>
      <w:r>
        <w:rPr>
          <w:b/>
        </w:rPr>
        <w:t>Maintenance Infusion — עיקרון ה-BET:</w:t>
      </w:r>
      <w:r>
        <w:t xml:space="preserve"> כדי לשמור ריכוז יציב, יש להתחשב בצבירת תרופה ברקמות (Peripheral Accumulation). קצב הזרקה קבוע אינו מספיק לאורך זמן ללא התאמה.</w:t>
      </w:r>
    </w:p>
    <w:p/>
    <w:p>
      <w:pPr>
        <w:pStyle w:val="ListBullet"/>
      </w:pPr>
      <w:r/>
      <w:r>
        <w:rPr>
          <w:b/>
        </w:rPr>
        <w:t>Dead Space במערכת TIVA:</w:t>
      </w:r>
      <w:r>
        <w:t xml:space="preserve"> חלל מת גדול בסט ההזרקה גורם לעיכוב ואי-דיוק באספקת התרופה — במיוחד כאשר קצב נוזלי ה-Carrier משתנה. חיבור קו התרופה לקו הנוזלים </w:t>
      </w:r>
      <w:r>
        <w:rPr>
          <w:b/>
        </w:rPr>
        <w:t>חייב להיות קרוב ככל הניתן למטופל</w:t>
      </w:r>
      <w:r>
        <w:t>.</w:t>
      </w:r>
    </w:p>
    <w:p/>
    <w:p>
      <w:pPr>
        <w:pStyle w:val="ListBullet"/>
      </w:pPr>
      <w:r/>
      <w:r>
        <w:rPr>
          <w:b/>
        </w:rPr>
        <w:t>שסתומים חד-כיווניים (Anti-reflux / Anti-syphon Valves):</w:t>
      </w:r>
      <w:r>
        <w:t xml:space="preserve"> חובה במערכות TIVA למניעת Backflow של תרופה לתוך שקית הנוזלים ולמניעת Syphoning בחסימה ורידית.</w:t>
      </w:r>
    </w:p>
    <w:p/>
    <w:p>
      <w:pPr>
        <w:pStyle w:val="ListBullet"/>
      </w:pPr>
      <w:r/>
      <w:r>
        <w:rPr>
          <w:b/>
        </w:rPr>
        <w:t>Synergy בין Hypnotic ל-Opioid:</w:t>
      </w:r>
      <w:r>
        <w:t xml:space="preserve"> ריכוזי מטרה אידיאליים לפרופול ולאופיואיד צריכים להיקבע תוך התחשבות בסינרגיה ביניהם — כל אחד בנפרד מפחית את הדרישה מהשני.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מינון פתיחה (Initial Bolus)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גישה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נוסחה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גישה קלאסית (שגויה!)</w:t>
            </w:r>
          </w:p>
        </w:tc>
        <w:tc>
          <w:tcPr>
            <w:tcW w:type="dxa" w:w="2880"/>
          </w:tcPr>
          <w:p>
            <w:r>
              <w:t>Dose = C_target × V_d</w:t>
            </w:r>
          </w:p>
        </w:tc>
        <w:tc>
          <w:tcPr>
            <w:tcW w:type="dxa" w:w="2880"/>
          </w:tcPr>
          <w:p>
            <w:r>
              <w:t>מתעלמת מ-k_e0</w:t>
            </w:r>
          </w:p>
        </w:tc>
      </w:tr>
      <w:tr>
        <w:tc>
          <w:tcPr>
            <w:tcW w:type="dxa" w:w="2880"/>
          </w:tcPr>
          <w:p>
            <w:r>
              <w:t>גישה נכונה</w:t>
            </w:r>
          </w:p>
        </w:tc>
        <w:tc>
          <w:tcPr>
            <w:tcW w:type="dxa" w:w="2880"/>
          </w:tcPr>
          <w:p>
            <w:r>
              <w:t>Dose = C_target × V_d at peak effect</w:t>
            </w:r>
          </w:p>
        </w:tc>
        <w:tc>
          <w:tcPr>
            <w:tcW w:type="dxa" w:w="2880"/>
          </w:tcPr>
          <w:p>
            <w:r>
              <w:t>V_d at peak effect &lt; V_d כולל</w:t>
            </w:r>
          </w:p>
        </w:tc>
      </w:tr>
    </w:tbl>
    <w:p/>
    <w:p/>
    <w:p>
      <w:pPr>
        <w:pStyle w:val="Quote"/>
      </w:pPr>
      <w:r>
        <w:t>⚠️ נקודה למבחן: הנוסחה הקלאסית (C × Vd) אינה מדויקת כי היא מתעלמת מהתפלגות התרופה לפריפריה עד לשיא האפקט.</w:t>
      </w:r>
    </w:p>
    <w:p/>
    <w:p>
      <w:pPr>
        <w:pStyle w:val="Heading3"/>
      </w:pPr>
      <w:r>
        <w:t>קצב תחזוקה (Maintenance Rate)</w:t>
      </w:r>
    </w:p>
    <w:p/>
    <w:p>
      <w:r>
        <w:t>$$\text{Maintenance Rate} = C_{target} \times Cl$$</w:t>
      </w:r>
    </w:p>
    <w:p/>
    <w:p>
      <w:pPr>
        <w:pStyle w:val="Quote"/>
      </w:pPr>
      <w:r>
        <w:t>אך בפועל, קצב זה יורד עם הזמן עקב Accumulation ברקמות פריפריאליות.</w:t>
      </w:r>
    </w:p>
    <w:p/>
    <w:p>
      <w:pPr>
        <w:pStyle w:val="Heading3"/>
      </w:pPr>
      <w:r>
        <w:t>k_e0 ו-Time to Peak Effect</w:t>
      </w:r>
    </w:p>
    <w:p/>
    <w:p>
      <w:r>
        <w:t>$$t_{1/2}k_{e0} = \frac{0.693}{k_{e0}}$$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זמן לשיא האפקט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t½ k_e0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מסיסות בשומן</w:t>
            </w:r>
          </w:p>
        </w:tc>
      </w:tr>
      <w:tr>
        <w:tc>
          <w:tcPr>
            <w:tcW w:type="dxa" w:w="2160"/>
          </w:tcPr>
          <w:p>
            <w:r>
              <w:t>Morphine</w:t>
            </w:r>
          </w:p>
        </w:tc>
        <w:tc>
          <w:tcPr>
            <w:tcW w:type="dxa" w:w="2160"/>
          </w:tcPr>
          <w:p>
            <w:r>
              <w:t>~19 דקות</w:t>
            </w:r>
          </w:p>
        </w:tc>
        <w:tc>
          <w:tcPr>
            <w:tcW w:type="dxa" w:w="2160"/>
          </w:tcPr>
          <w:p>
            <w:r>
              <w:t>ארוך מאוד</w:t>
            </w:r>
          </w:p>
        </w:tc>
        <w:tc>
          <w:tcPr>
            <w:tcW w:type="dxa" w:w="2160"/>
          </w:tcPr>
          <w:p>
            <w:r>
              <w:t>נמוכה מאוד (Octanol/H₂O = 1.4)</w:t>
            </w:r>
          </w:p>
        </w:tc>
      </w:tr>
      <w:tr>
        <w:tc>
          <w:tcPr>
            <w:tcW w:type="dxa" w:w="2160"/>
          </w:tcPr>
          <w:p>
            <w:r>
              <w:t>Sufentanil</w:t>
            </w:r>
          </w:p>
        </w:tc>
        <w:tc>
          <w:tcPr>
            <w:tcW w:type="dxa" w:w="2160"/>
          </w:tcPr>
          <w:p>
            <w:r>
              <w:t>~5.6 דקות</w:t>
            </w:r>
          </w:p>
        </w:tc>
        <w:tc>
          <w:tcPr>
            <w:tcW w:type="dxa" w:w="2160"/>
          </w:tcPr>
          <w:p>
            <w:r>
              <w:t>בינוני</w:t>
            </w:r>
          </w:p>
        </w:tc>
        <w:tc>
          <w:tcPr>
            <w:tcW w:type="dxa" w:w="2160"/>
          </w:tcPr>
          <w:p>
            <w:r>
              <w:t>גבוהה</w:t>
            </w:r>
          </w:p>
        </w:tc>
      </w:tr>
      <w:tr>
        <w:tc>
          <w:tcPr>
            <w:tcW w:type="dxa" w:w="2160"/>
          </w:tcPr>
          <w:p>
            <w:r>
              <w:t>Fentanyl</w:t>
            </w:r>
          </w:p>
        </w:tc>
        <w:tc>
          <w:tcPr>
            <w:tcW w:type="dxa" w:w="2160"/>
          </w:tcPr>
          <w:p>
            <w:r>
              <w:t>~3.6 דקות</w:t>
            </w:r>
          </w:p>
        </w:tc>
        <w:tc>
          <w:tcPr>
            <w:tcW w:type="dxa" w:w="2160"/>
          </w:tcPr>
          <w:p>
            <w:r>
              <w:t>קצר</w:t>
            </w:r>
          </w:p>
        </w:tc>
        <w:tc>
          <w:tcPr>
            <w:tcW w:type="dxa" w:w="2160"/>
          </w:tcPr>
          <w:p>
            <w:r>
              <w:t>גבוהה מאוד (Octanol/H₂O = 813)</w:t>
            </w:r>
          </w:p>
        </w:tc>
      </w:tr>
      <w:tr>
        <w:tc>
          <w:tcPr>
            <w:tcW w:type="dxa" w:w="2160"/>
          </w:tcPr>
          <w:p>
            <w:r>
              <w:t>Midazolam</w:t>
            </w:r>
          </w:p>
        </w:tc>
        <w:tc>
          <w:tcPr>
            <w:tcW w:type="dxa" w:w="2160"/>
          </w:tcPr>
          <w:p>
            <w:r>
              <w:t>~2.8 דקות</w:t>
            </w:r>
          </w:p>
        </w:tc>
        <w:tc>
          <w:tcPr>
            <w:tcW w:type="dxa" w:w="2160"/>
          </w:tcPr>
          <w:p>
            <w:r>
              <w:t>קצר</w:t>
            </w:r>
          </w:p>
        </w:tc>
        <w:tc>
          <w:tcPr>
            <w:tcW w:type="dxa" w:w="2160"/>
          </w:tcPr>
          <w:p>
            <w:r>
              <w:t>בינונית</w:t>
            </w:r>
          </w:p>
        </w:tc>
      </w:tr>
      <w:tr>
        <w:tc>
          <w:tcPr>
            <w:tcW w:type="dxa" w:w="2160"/>
          </w:tcPr>
          <w:p>
            <w:r>
              <w:t>Remifentanil</w:t>
            </w:r>
          </w:p>
        </w:tc>
        <w:tc>
          <w:tcPr>
            <w:tcW w:type="dxa" w:w="2160"/>
          </w:tcPr>
          <w:p>
            <w:r>
              <w:t>~1.8 דקות</w:t>
            </w:r>
          </w:p>
        </w:tc>
        <w:tc>
          <w:tcPr>
            <w:tcW w:type="dxa" w:w="2160"/>
          </w:tcPr>
          <w:p>
            <w:r>
              <w:t>קצר ביותר</w:t>
            </w:r>
          </w:p>
        </w:tc>
        <w:tc>
          <w:tcPr>
            <w:tcW w:type="dxa" w:w="2160"/>
          </w:tcPr>
          <w:p>
            <w:r>
              <w:t>גבוהה</w:t>
            </w:r>
          </w:p>
        </w:tc>
      </w:tr>
    </w:tbl>
    <w:p/>
    <w:p/>
    <w:p>
      <w:pPr>
        <w:pStyle w:val="Quote"/>
      </w:pPr>
      <w:r>
        <w:t>📌 מקור: Table 23.1 + Table 22.6 — Miller's Anesthesia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מורפין — האטי ביותר להגיע לאפקט:</w:t>
      </w:r>
    </w:p>
    <w:p>
      <w:pPr>
        <w:pStyle w:val="Quote"/>
      </w:pPr>
      <w:r>
        <w:t>זמן שיא אפקט של ~19 דקות לאחר בולוס IV. הסיבה: pKa = 8.0 (ינון גבוה ב-pH פיזיולוגי) + מסיסות שומן נמוכה מאוד ← חציית BBB איטית מאוד. מתן מינונים חוזרים לפני שיא האפקט מוביל ל-Overdose.</w:t>
      </w:r>
    </w:p>
    <w:p/>
    <w:p>
      <w:pPr>
        <w:pStyle w:val="Quote"/>
      </w:pPr>
      <w:r>
        <w:t>🔴 Dead Space — הפתרון הוא קרבה למטופל:</w:t>
      </w:r>
    </w:p>
    <w:p>
      <w:pPr>
        <w:pStyle w:val="Quote"/>
      </w:pPr>
      <w:r>
        <w:t>לפי Box 23.1 ("Recommendations for Safe Practice of TIVA"): *"Drug and fluid lines should join as close to the patient as possible to minimize dead space."* — זוהי המלצה מפורשת לבחינה.</w:t>
      </w:r>
    </w:p>
    <w:p/>
    <w:p>
      <w:pPr>
        <w:pStyle w:val="Quote"/>
      </w:pPr>
      <w:r>
        <w:t>🟠 Anti-reflux + Anti-syphon Valves — שניהם נדרשים:</w:t>
      </w:r>
    </w:p>
    <w:p>
      <w:pPr>
        <w:pStyle w:val="Quote"/>
      </w:pPr>
      <w:r>
        <w:t>Anti-reflux: מונע חזרת תרופה לשקית הנוזלים כשנוצרת חסימה.</w:t>
      </w:r>
    </w:p>
    <w:p>
      <w:pPr>
        <w:pStyle w:val="Quote"/>
      </w:pPr>
      <w:r>
        <w:t>Anti-syphon: מונע "ניקוז" פסיבי של תרופה מהמזרק בכוח הכבידה.</w:t>
      </w:r>
    </w:p>
    <w:p/>
    <w:p>
      <w:pPr>
        <w:pStyle w:val="Quote"/>
      </w:pPr>
      <w:r>
        <w:t>🟠 High Compliance בצינורות — בעיה בנפחים קטנים:</w:t>
      </w:r>
    </w:p>
    <w:p>
      <w:pPr>
        <w:pStyle w:val="Quote"/>
      </w:pPr>
      <w:r>
        <w:t>צינורות גמישים מדי סופגים לחץ ומשבשים דיוק — רלוונטי במיוחד ב-TCI לילדים ובתרופות בריכוז גבוה ב-Low-Rate Infusion.</w:t>
      </w:r>
    </w:p>
    <w:p/>
    <w:p>
      <w:pPr>
        <w:pStyle w:val="Quote"/>
      </w:pPr>
      <w:r>
        <w:t>🟡 TCI vs. Manual TIVA:</w:t>
      </w:r>
    </w:p>
    <w:p>
      <w:pPr>
        <w:pStyle w:val="Quote"/>
      </w:pPr>
      <w:r>
        <w:t>TCI מחשב מחדש את קצב ההזרקה כל כמה שניות על פי מודל PK מוגדר (למשל Marsh או Schnider לפרופול). המודל מניח Zero Dead Space ו-Zero Compliance — לכן חשיבות גבוהה לטכניק נכון.</w:t>
      </w:r>
    </w:p>
    <w:p/>
    <w:p>
      <w:pPr>
        <w:pStyle w:val="Quote"/>
      </w:pPr>
      <w:r>
        <w:t>🟡 Effect-Site TCI לעומת Plasma TCI:</w:t>
      </w:r>
    </w:p>
    <w:p>
      <w:pPr>
        <w:pStyle w:val="Quote"/>
      </w:pPr>
      <w:r>
        <w:t>ב-Effect-Site TCI המשאבה "מגזימה" בהתחלה (Overshoot בפלזמה) על מנת לדחוף תרופה מהר אל ה-Biophase. ב-Plasma TCI אין Overshoot בפלזמה אך האפקט מתאחר יותר.</w:t>
      </w:r>
    </w:p>
    <w:p/>
    <w:p>
      <w:pPr>
        <w:pStyle w:val="Quote"/>
      </w:pPr>
      <w:r>
        <w:t>🟡 Indirect Effect Models — אופיואידים ונשימה:</w:t>
      </w:r>
    </w:p>
    <w:p>
      <w:pPr>
        <w:pStyle w:val="Quote"/>
      </w:pPr>
      <w:r>
        <w:t>השפעת אופיואידים על נשימה היא אינדירקטית — לא רפלקס ישיר של ריכוז, אלא שינוי ב-Feedback Loop בין CO₂ לאוורור. לכן מודלים ישירים (Direct-Effect) אינם מתאימים לחיזוי דיכוי נשימה.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מטופל מקבל בולוס של מורפין IV למחלצת כאב חד. 5 דקות לאחר מכן המטופל מדווח שעדיין כואב לו ואתה שוקל מינון נוסף. מה הסיבה הפיזיולוגית לכך שהאפקט עדיין אינו מלא?</w:t>
      </w:r>
    </w:p>
    <w:p/>
    <w:p>
      <w:pPr>
        <w:pStyle w:val="Quote"/>
      </w:pPr>
      <w:r>
        <w:t>תשובה: מורפין מאופיין ב-k_e0 נמוך מאוד ו-t½ k_e0 ארוך, המשקף מעבר איטי מהפלזמה ל-Effect Site (BBB). שיא האפקט מגיע רק לאחר ~19 דקות. מתן מינון נוסף לפני שיא זה עלול לגרום ל-Overdose מצטבר.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באיזה מיקום בסט ההזרקה יש לחבר את קו תרופות ה-TIVA לקו הנוזלים הראשי, ומדוע?</w:t>
      </w:r>
    </w:p>
    <w:p/>
    <w:p>
      <w:pPr>
        <w:pStyle w:val="Quote"/>
      </w:pPr>
      <w:r>
        <w:t>תשובה: קרוב ככל הניתן למטופל (Proximal to the patient). מטרה: מזעור Dead Space. Dead Space גדול גורם לעיכוב ואי-יציבות בקצב הגעת התרופה — כי השינויים בקצב נוזלי ה-Carrier ישפיעו על קצב "שטיפת" התרופה אל הוריד.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מה ההבדל בין Anti-reflux valve ל-Anti-syphon valve, ומתי כל אחד נדרש?</w:t>
      </w:r>
    </w:p>
    <w:p/>
    <w:p>
      <w:pPr>
        <w:pStyle w:val="Quote"/>
      </w:pPr>
      <w:r>
        <w:t>תשובה:</w:t>
      </w:r>
    </w:p>
    <w:p>
      <w:pPr>
        <w:pStyle w:val="Quote"/>
      </w:pPr>
      <w:r>
        <w:t>- Anti-reflux: מונע זרימה חוזרת (Backflow) של תרופה ממקום חיבור הסט חזרה לשקית הנוזלים כאשר נוצרת חסימה (עלייה בלחץ).</w:t>
      </w:r>
    </w:p>
    <w:p>
      <w:pPr>
        <w:pStyle w:val="Quote"/>
      </w:pPr>
      <w:r>
        <w:t>- Anti-syphon: מונע ניקוז פסיבי גרביטציוני של תרופה מהמזרק כאשר המשאבה כבויה או המזרק גבוה מהמטופל.</w:t>
      </w:r>
    </w:p>
    <w:p>
      <w:pPr>
        <w:pStyle w:val="Quote"/>
      </w:pPr>
      <w:r>
        <w:t>שניהם נדרשים יחד במערכת TIVA בטוחה.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מדוע הנוסחה הקלאסית `Dose = C_target × Vd` אינה מדויקת לחישוב מינון פתיחה ב-TIVA?</w:t>
      </w:r>
    </w:p>
    <w:p/>
    <w:p>
      <w:pPr>
        <w:pStyle w:val="Quote"/>
      </w:pPr>
      <w:r>
        <w:t>תשובה: הנוסחה הקלאסית מניחה שיווי משקל מיידי בין פלזמה לכל הרקמות, ומתעלמת מ-k_e0 ומעיכוב ה-Biophase Equilibration. המינון הנכון מחושב לפי Vd at peak effect — נפח התפלגות קטן יותר, המתאים לנקודת שיא האפקט בלבד, ולא לנפח ההתפלגות הסופי.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מהי הבעיה בשימוש בצינורות בעלי High Compliance במערכת TIVA?</w:t>
      </w:r>
    </w:p>
    <w:p/>
    <w:p>
      <w:pPr>
        <w:pStyle w:val="Quote"/>
      </w:pPr>
      <w:r>
        <w:t>תשובה: צינורות גמישים מדי (High Compliance) סופגים חלק מהלחץ שמייצרת המשאבה, מה שגורם לאי-דיוק בנפח הנזרק — במיוחד בקצבי הזרקה נמוכים ובנפחים קטנים. זה קריטי ב-TCI שבו המודל מניח שתגובת הזרמה היא מיידית ומדויקת. יש להשתמש בצינורות בעלי Low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`Precision and Dead Space Management in TIVA Systems.docx`</w:t>
      </w:r>
    </w:p>
    <w:p>
      <w:pPr>
        <w:pStyle w:val="ListBullet"/>
      </w:pPr>
      <w:r>
        <w:t>`Pharmacokinetics of Opioid Peak Effect Times.docx`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Ch.23 — Intravenous Drug Delivery Systems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