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24. Pharmacology of Neuromuscular Blocking Drugs and Antagonists (Reversal Agents)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שני סוגי NMBDs:</w:t>
      </w:r>
      <w:r>
        <w:t xml:space="preserve"> Depolarizing (Succinylcholine בלבד) ו-Nondepolarizing (NDMRs — סטרואידלים ו-Benzylisoquinoliniums). Succinylcholine פועל על ידי </w:t>
      </w:r>
      <w:r>
        <w:rPr>
          <w:b/>
        </w:rPr>
        <w:t>depolarization ממושכת</w:t>
      </w:r>
      <w:r>
        <w:t xml:space="preserve"> → אינאקטיבציה של ערוצי נתרן. NDMRs פועלים על ידי </w:t>
      </w:r>
      <w:r>
        <w:rPr>
          <w:b/>
        </w:rPr>
        <w:t>תחרות על תת-יחידות α</w:t>
      </w:r>
      <w:r>
        <w:t xml:space="preserve"> של רצפטור ה-AChR הפוסט-סינפטי.</w:t>
      </w:r>
    </w:p>
    <w:p/>
    <w:p>
      <w:pPr>
        <w:pStyle w:val="ListBullet"/>
      </w:pPr>
      <w:r/>
      <w:r>
        <w:rPr>
          <w:b/>
        </w:rPr>
        <w:t>רצפטורי AChR:</w:t>
      </w:r>
      <w:r>
        <w:t xml:space="preserve"> בבוגר — α₂βδε; ברחם/עוברי — α₂βγδ (זמן פתיחה ארוך, מוליכות נמוכה → רגישות יתר ל-NDMRs, עמידות יחסית ל-Succinylcholine). רצפטור פרה-סינפטי — α₃β₂ (אחראי ל-Fade בגירוי חוזרני).</w:t>
      </w:r>
    </w:p>
    <w:p/>
    <w:p>
      <w:pPr>
        <w:pStyle w:val="ListBullet"/>
      </w:pPr>
      <w:r/>
      <w:r>
        <w:rPr>
          <w:b/>
        </w:rPr>
        <w:t>היררכיית רגישות שרירים (מרגיש ← → עמיד):</w:t>
      </w:r>
      <w:r/>
    </w:p>
    <w:p>
      <w:r>
        <w:t xml:space="preserve">  - </w:t>
      </w:r>
      <w:r>
        <w:rPr>
          <w:b/>
        </w:rPr>
        <w:t>הכי רגיש:</w:t>
      </w:r>
      <w:r>
        <w:t xml:space="preserve"> שרירי דרכי אוויר עליונות (Geniohyoid, Masseter), שרירי בטן, Orbicularis oculi</w:t>
      </w:r>
    </w:p>
    <w:p>
      <w:r>
        <w:t xml:space="preserve">  - </w:t>
      </w:r>
      <w:r>
        <w:rPr>
          <w:b/>
        </w:rPr>
        <w:t>ביניים:</w:t>
      </w:r>
      <w:r>
        <w:t xml:space="preserve"> Adductor pollicis (סטנדרט ניטור NMT)</w:t>
      </w:r>
    </w:p>
    <w:p>
      <w:r>
        <w:t xml:space="preserve">  - </w:t>
      </w:r>
      <w:r>
        <w:rPr>
          <w:b/>
        </w:rPr>
        <w:t>הכי עמיד:</w:t>
      </w:r>
      <w:r>
        <w:t xml:space="preserve"> Laryngeal adductors, Diaphragm (דורש פי 1.4–2 מינון מה-Adductor pollicis)</w:t>
      </w:r>
    </w:p>
    <w:p>
      <w:r>
        <w:t xml:space="preserve">  - ⚠️ </w:t>
      </w:r>
      <w:r>
        <w:rPr>
          <w:b/>
        </w:rPr>
        <w:t>השלכה קלינית:</w:t>
      </w:r>
      <w:r>
        <w:t xml:space="preserve"> Adductor pollicis תקין ≠ ביטחון מלא — שרירי דרכי האוויר עדיין יכולים להיות חסומים!</w:t>
      </w:r>
    </w:p>
    <w:p/>
    <w:p>
      <w:pPr>
        <w:pStyle w:val="ListBullet"/>
      </w:pPr>
      <w:r/>
      <w:r>
        <w:rPr>
          <w:b/>
        </w:rPr>
        <w:t>Sugammadex:</w:t>
      </w:r>
      <w:r>
        <w:t xml:space="preserve"> Modified γ-cyclodextrin → </w:t>
      </w:r>
      <w:r>
        <w:rPr>
          <w:b/>
        </w:rPr>
        <w:t>Encapsulation</w:t>
      </w:r>
      <w:r>
        <w:t xml:space="preserve"> 1:1 של Rocuronium/Vecuronium. מפל ריכוזים שולף NMBD מה-NMJ → היפוך בכל עומק בלוק. </w:t>
      </w:r>
      <w:r>
        <w:rPr>
          <w:b/>
        </w:rPr>
        <w:t>אינו</w:t>
      </w:r>
      <w:r>
        <w:t xml:space="preserve"> פועל על Benzylisoquinoliniums (Cisatracurium, Atracurium).</w:t>
      </w:r>
    </w:p>
    <w:p/>
    <w:p>
      <w:pPr>
        <w:pStyle w:val="ListBullet"/>
      </w:pPr>
      <w:r/>
      <w:r>
        <w:rPr>
          <w:b/>
        </w:rPr>
        <w:t>Neostigmine:</w:t>
      </w:r>
      <w:r>
        <w:t xml:space="preserve"> מעכב Acetylcholinesterase → מגביר ACh בסינפסה. </w:t>
      </w:r>
      <w:r>
        <w:rPr>
          <w:b/>
        </w:rPr>
        <w:t>מגבלה קריטית:</w:t>
      </w:r>
      <w:r>
        <w:t xml:space="preserve"> תקרת אפקט (ceiling effect) — לא יעיל בבלוק עמוק. מינון מקסימלי יחיד: </w:t>
      </w:r>
      <w:r>
        <w:rPr>
          <w:b/>
        </w:rPr>
        <w:t>15–30 mcg/kg, רק כאשר אין Fade</w:t>
      </w:r>
      <w:r>
        <w:t xml:space="preserve"> (TOF Count = 4 ללא fade).</w:t>
      </w:r>
    </w:p>
    <w:p/>
    <w:p>
      <w:pPr>
        <w:pStyle w:val="ListBullet"/>
      </w:pPr>
      <w:r/>
      <w:r>
        <w:rPr>
          <w:b/>
        </w:rPr>
        <w:t>Atracurium/Cisatracurium בכשל כלייתי:</w:t>
      </w:r>
      <w:r>
        <w:t xml:space="preserve"> פינוי דרך </w:t>
      </w:r>
      <w:r>
        <w:rPr>
          <w:b/>
        </w:rPr>
        <w:t>Hofmann elimination</w:t>
      </w:r>
      <w:r>
        <w:t xml:space="preserve"> ו-Ester hydrolysis — </w:t>
      </w:r>
      <w:r>
        <w:rPr>
          <w:b/>
        </w:rPr>
        <w:t>אינם תלויי איבר</w:t>
      </w:r>
      <w:r>
        <w:t xml:space="preserve"> → משך פעולה </w:t>
      </w:r>
      <w:r>
        <w:rPr>
          <w:b/>
        </w:rPr>
        <w:t>ללא שינוי</w:t>
      </w:r>
      <w:r>
        <w:t xml:space="preserve"> באי-ספיקת כליות. הבחירה הבטוחה ביותר ב-ESRD.</w:t>
      </w:r>
    </w:p>
    <w:p/>
    <w:p>
      <w:pPr>
        <w:pStyle w:val="ListBullet"/>
      </w:pPr>
      <w:r/>
      <w:r>
        <w:rPr>
          <w:b/>
        </w:rPr>
        <w:t>Succinylcholine והיפרקלמיה:</w:t>
      </w:r>
      <w:r>
        <w:t xml:space="preserve"> מסוכן במצבים של Up-regulation של AChR מחוץ ל-NMJ (כוויות, Denervation, Immobilization, Upper/Lower Motor Neuron injury) → שחרור K⁺ מסיבי → Cardiac arrest.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מינוני Sugammadex לפי עומק בלוק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עומק הבלוק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קריטריון NMT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Sugammadex</w:t>
            </w:r>
          </w:p>
        </w:tc>
      </w:tr>
      <w:tr>
        <w:tc>
          <w:tcPr>
            <w:tcW w:type="dxa" w:w="2880"/>
          </w:tcPr>
          <w:p>
            <w:r>
              <w:t>Minimal/Shallow Block</w:t>
            </w:r>
          </w:p>
        </w:tc>
        <w:tc>
          <w:tcPr>
            <w:tcW w:type="dxa" w:w="2880"/>
          </w:tcPr>
          <w:p>
            <w:r>
              <w:t>TOF ratio &lt; 0.9 (אך TOF count = 4)</w:t>
            </w:r>
          </w:p>
        </w:tc>
        <w:tc>
          <w:tcPr>
            <w:tcW w:type="dxa" w:w="2880"/>
          </w:tcPr>
          <w:p>
            <w:r>
              <w:t>2 mg/kg</w:t>
            </w:r>
          </w:p>
        </w:tc>
      </w:tr>
      <w:tr>
        <w:tc>
          <w:tcPr>
            <w:tcW w:type="dxa" w:w="2880"/>
          </w:tcPr>
          <w:p>
            <w:r>
              <w:t>Moderate Block</w:t>
            </w:r>
          </w:p>
        </w:tc>
        <w:tc>
          <w:tcPr>
            <w:tcW w:type="dxa" w:w="2880"/>
          </w:tcPr>
          <w:p>
            <w:r>
              <w:t>TOF count 1–3 (T2 ב-PTC)</w:t>
            </w:r>
          </w:p>
        </w:tc>
        <w:tc>
          <w:tcPr>
            <w:tcW w:type="dxa" w:w="2880"/>
          </w:tcPr>
          <w:p>
            <w:r>
              <w:t>2 mg/kg</w:t>
            </w:r>
          </w:p>
        </w:tc>
      </w:tr>
      <w:tr>
        <w:tc>
          <w:tcPr>
            <w:tcW w:type="dxa" w:w="2880"/>
          </w:tcPr>
          <w:p>
            <w:r>
              <w:t>Deep Block</w:t>
            </w:r>
          </w:p>
        </w:tc>
        <w:tc>
          <w:tcPr>
            <w:tcW w:type="dxa" w:w="2880"/>
          </w:tcPr>
          <w:p>
            <w:r>
              <w:t>PTC 1–2 (אין תגובה ל-TOF)</w:t>
            </w:r>
          </w:p>
        </w:tc>
        <w:tc>
          <w:tcPr>
            <w:tcW w:type="dxa" w:w="2880"/>
          </w:tcPr>
          <w:p>
            <w:r>
              <w:t>4 mg/kg</w:t>
            </w:r>
          </w:p>
        </w:tc>
      </w:tr>
      <w:tr>
        <w:tc>
          <w:tcPr>
            <w:tcW w:type="dxa" w:w="2880"/>
          </w:tcPr>
          <w:p>
            <w:r>
              <w:t>Intense Block (RSI reversal)</w:t>
            </w:r>
          </w:p>
        </w:tc>
        <w:tc>
          <w:tcPr>
            <w:tcW w:type="dxa" w:w="2880"/>
          </w:tcPr>
          <w:p>
            <w:r>
              <w:t>PTC = 0 / Immediate post-Rocuronium RSI</w:t>
            </w:r>
          </w:p>
        </w:tc>
        <w:tc>
          <w:tcPr>
            <w:tcW w:type="dxa" w:w="2880"/>
          </w:tcPr>
          <w:p>
            <w:r>
              <w:t>16 mg/kg</w:t>
            </w:r>
          </w:p>
        </w:tc>
      </w:tr>
    </w:tbl>
    <w:p/>
    <w:p/>
    <w:p>
      <w:pPr>
        <w:pStyle w:val="Quote"/>
      </w:pPr>
      <w:r>
        <w:t>⚠️ מינון לפי Actual Body Weight (ABW) — גם בהשמנת יתר! לא לפי IBW.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מינוני Rocuronium עיקריים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אינדיקציה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</w:tr>
      <w:tr>
        <w:tc>
          <w:tcPr>
            <w:tcW w:type="dxa" w:w="4320"/>
          </w:tcPr>
          <w:p>
            <w:r>
              <w:t>Intubating dose (RSI)</w:t>
            </w:r>
          </w:p>
        </w:tc>
        <w:tc>
          <w:tcPr>
            <w:tcW w:type="dxa" w:w="4320"/>
          </w:tcPr>
          <w:p>
            <w:r>
              <w:t>1.2 mg/kg</w:t>
            </w:r>
          </w:p>
        </w:tc>
      </w:tr>
      <w:tr>
        <w:tc>
          <w:tcPr>
            <w:tcW w:type="dxa" w:w="4320"/>
          </w:tcPr>
          <w:p>
            <w:r>
              <w:t>Standard intubation</w:t>
            </w:r>
          </w:p>
        </w:tc>
        <w:tc>
          <w:tcPr>
            <w:tcW w:type="dxa" w:w="4320"/>
          </w:tcPr>
          <w:p>
            <w:r>
              <w:t>0.6 mg/kg</w:t>
            </w:r>
          </w:p>
        </w:tc>
      </w:tr>
      <w:tr>
        <w:tc>
          <w:tcPr>
            <w:tcW w:type="dxa" w:w="4320"/>
          </w:tcPr>
          <w:p>
            <w:r>
              <w:t>Maintenance</w:t>
            </w:r>
          </w:p>
        </w:tc>
        <w:tc>
          <w:tcPr>
            <w:tcW w:type="dxa" w:w="4320"/>
          </w:tcPr>
          <w:p>
            <w:r>
              <w:t>0.1–0.2 mg/kg</w:t>
            </w:r>
          </w:p>
        </w:tc>
      </w:tr>
      <w:tr>
        <w:tc>
          <w:tcPr>
            <w:tcW w:type="dxa" w:w="4320"/>
          </w:tcPr>
          <w:p>
            <w:r>
              <w:t>Re-intubation לאחר Sugammadex (5 דקות)</w:t>
            </w:r>
          </w:p>
        </w:tc>
        <w:tc>
          <w:tcPr>
            <w:tcW w:type="dxa" w:w="4320"/>
          </w:tcPr>
          <w:p>
            <w:r>
              <w:t>1.2 mg/kg → Onset מוארך (~3 דקות!)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מינוני Neostigmine לפי עומק בלוק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מצב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TOF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 מקסימלי</w:t>
            </w:r>
          </w:p>
        </w:tc>
      </w:tr>
      <w:tr>
        <w:tc>
          <w:tcPr>
            <w:tcW w:type="dxa" w:w="2880"/>
          </w:tcPr>
          <w:p>
            <w:r>
              <w:t>Minimal block בלבד</w:t>
            </w:r>
          </w:p>
        </w:tc>
        <w:tc>
          <w:tcPr>
            <w:tcW w:type="dxa" w:w="2880"/>
          </w:tcPr>
          <w:p>
            <w:r>
              <w:t>TOF count = 4, ללא Fade</w:t>
            </w:r>
          </w:p>
        </w:tc>
        <w:tc>
          <w:tcPr>
            <w:tcW w:type="dxa" w:w="2880"/>
          </w:tcPr>
          <w:p>
            <w:r>
              <w:t>15–30 mcg/kg</w:t>
            </w:r>
          </w:p>
        </w:tc>
      </w:tr>
      <w:tr>
        <w:tc>
          <w:tcPr>
            <w:tcW w:type="dxa" w:w="2880"/>
          </w:tcPr>
          <w:p>
            <w:r>
              <w:t>כל שאר המצבים</w:t>
            </w:r>
          </w:p>
        </w:tc>
        <w:tc>
          <w:tcPr>
            <w:tcW w:type="dxa" w:w="2880"/>
          </w:tcPr>
          <w:p>
            <w:r>
              <w:t>TOF &lt; 4 או עם Fade</w:t>
            </w:r>
          </w:p>
        </w:tc>
        <w:tc>
          <w:tcPr>
            <w:tcW w:type="dxa" w:w="2880"/>
          </w:tcPr>
          <w:p>
            <w:r>
              <w:t>אין לתת Neostigmine — השתמש בSugammadex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Succinylcholine — מינונים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אוכלוסייה</w:t>
            </w:r>
          </w:p>
        </w:tc>
        <w:tc>
          <w:tcPr>
            <w:tcW w:type="dxa" w:w="432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מינון</w:t>
            </w:r>
          </w:p>
        </w:tc>
      </w:tr>
      <w:tr>
        <w:tc>
          <w:tcPr>
            <w:tcW w:type="dxa" w:w="4320"/>
          </w:tcPr>
          <w:p>
            <w:r>
              <w:t>מבוגר</w:t>
            </w:r>
          </w:p>
        </w:tc>
        <w:tc>
          <w:tcPr>
            <w:tcW w:type="dxa" w:w="4320"/>
          </w:tcPr>
          <w:p>
            <w:r>
              <w:t>1–1.5 mg/kg</w:t>
            </w:r>
          </w:p>
        </w:tc>
      </w:tr>
      <w:tr>
        <w:tc>
          <w:tcPr>
            <w:tcW w:type="dxa" w:w="4320"/>
          </w:tcPr>
          <w:p>
            <w:r>
              <w:t>תינוק/ילד</w:t>
            </w:r>
          </w:p>
        </w:tc>
        <w:tc>
          <w:tcPr>
            <w:tcW w:type="dxa" w:w="4320"/>
          </w:tcPr>
          <w:p>
            <w:r>
              <w:t>2 mg/kg (Volume of Distribution גדול יותר)</w:t>
            </w:r>
          </w:p>
        </w:tc>
      </w:tr>
      <w:tr>
        <w:tc>
          <w:tcPr>
            <w:tcW w:type="dxa" w:w="4320"/>
          </w:tcPr>
          <w:p>
            <w:r>
              <w:t>Priming (לא RSI)</w:t>
            </w:r>
          </w:p>
        </w:tc>
        <w:tc>
          <w:tcPr>
            <w:tcW w:type="dxa" w:w="4320"/>
          </w:tcPr>
          <w:p>
            <w:r>
              <w:t>0.1 mg/kg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פרמקוקינטיקה — נתוני מפתח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Elimination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T½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בכשל כלייתי</w:t>
            </w:r>
          </w:p>
        </w:tc>
      </w:tr>
      <w:tr>
        <w:tc>
          <w:tcPr>
            <w:tcW w:type="dxa" w:w="2160"/>
          </w:tcPr>
          <w:p>
            <w:r>
              <w:t>Succinylcholine</w:t>
            </w:r>
          </w:p>
        </w:tc>
        <w:tc>
          <w:tcPr>
            <w:tcW w:type="dxa" w:w="2160"/>
          </w:tcPr>
          <w:p>
            <w:r>
              <w:t>Butyrylcholinesterase (פלזמה)</w:t>
            </w:r>
          </w:p>
        </w:tc>
        <w:tc>
          <w:tcPr>
            <w:tcW w:type="dxa" w:w="2160"/>
          </w:tcPr>
          <w:p>
            <w:r>
              <w:t>5–10 דקות</w:t>
            </w:r>
          </w:p>
        </w:tc>
        <w:tc>
          <w:tcPr>
            <w:tcW w:type="dxa" w:w="2160"/>
          </w:tcPr>
          <w:p>
            <w:r>
              <w:t>מינימלי (אם Pseudocholinesterase תקין)</w:t>
            </w:r>
          </w:p>
        </w:tc>
      </w:tr>
      <w:tr>
        <w:tc>
          <w:tcPr>
            <w:tcW w:type="dxa" w:w="2160"/>
          </w:tcPr>
          <w:p>
            <w:r>
              <w:t>Rocuronium</w:t>
            </w:r>
          </w:p>
        </w:tc>
        <w:tc>
          <w:tcPr>
            <w:tcW w:type="dxa" w:w="2160"/>
          </w:tcPr>
          <w:p>
            <w:r>
              <w:t>כבדי בעיקר (Biliary); כלייתי 10–25%</w:t>
            </w:r>
          </w:p>
        </w:tc>
        <w:tc>
          <w:tcPr>
            <w:tcW w:type="dxa" w:w="2160"/>
          </w:tcPr>
          <w:p>
            <w:r>
              <w:t>~60–90 דקות</w:t>
            </w:r>
          </w:p>
        </w:tc>
        <w:tc>
          <w:tcPr>
            <w:tcW w:type="dxa" w:w="2160"/>
          </w:tcPr>
          <w:p>
            <w:r>
              <w:t>Clearance יורד 33–39%, T½ מתארך</w:t>
            </w:r>
          </w:p>
        </w:tc>
      </w:tr>
      <w:tr>
        <w:tc>
          <w:tcPr>
            <w:tcW w:type="dxa" w:w="2160"/>
          </w:tcPr>
          <w:p>
            <w:r>
              <w:t>Vecuronium</w:t>
            </w:r>
          </w:p>
        </w:tc>
        <w:tc>
          <w:tcPr>
            <w:tcW w:type="dxa" w:w="2160"/>
          </w:tcPr>
          <w:p>
            <w:r>
              <w:t>כבדי בעיקר; כלייתי ~25%</w:t>
            </w:r>
          </w:p>
        </w:tc>
        <w:tc>
          <w:tcPr>
            <w:tcW w:type="dxa" w:w="2160"/>
          </w:tcPr>
          <w:p>
            <w:r>
              <w:t>~70 דקות</w:t>
            </w:r>
          </w:p>
        </w:tc>
        <w:tc>
          <w:tcPr>
            <w:tcW w:type="dxa" w:w="2160"/>
          </w:tcPr>
          <w:p>
            <w:r>
              <w:t>מוארך בכשל כלייתי</w:t>
            </w:r>
          </w:p>
        </w:tc>
      </w:tr>
      <w:tr>
        <w:tc>
          <w:tcPr>
            <w:tcW w:type="dxa" w:w="2160"/>
          </w:tcPr>
          <w:p>
            <w:r>
              <w:t>Atracurium</w:t>
            </w:r>
          </w:p>
        </w:tc>
        <w:tc>
          <w:tcPr>
            <w:tcW w:type="dxa" w:w="2160"/>
          </w:tcPr>
          <w:p>
            <w:r>
              <w:t>Hofmann + Ester hydrolysis</w:t>
            </w:r>
          </w:p>
        </w:tc>
        <w:tc>
          <w:tcPr>
            <w:tcW w:type="dxa" w:w="2160"/>
          </w:tcPr>
          <w:p>
            <w:r>
              <w:t>~20 דקות</w:t>
            </w:r>
          </w:p>
        </w:tc>
        <w:tc>
          <w:tcPr>
            <w:tcW w:type="dxa" w:w="2160"/>
          </w:tcPr>
          <w:p>
            <w:r>
              <w:t>ללא שינוי</w:t>
            </w:r>
          </w:p>
        </w:tc>
      </w:tr>
      <w:tr>
        <w:tc>
          <w:tcPr>
            <w:tcW w:type="dxa" w:w="2160"/>
          </w:tcPr>
          <w:p>
            <w:r>
              <w:t>Cisatracurium</w:t>
            </w:r>
          </w:p>
        </w:tc>
        <w:tc>
          <w:tcPr>
            <w:tcW w:type="dxa" w:w="2160"/>
          </w:tcPr>
          <w:p>
            <w:r>
              <w:t>Hofmann בעיקר</w:t>
            </w:r>
          </w:p>
        </w:tc>
        <w:tc>
          <w:tcPr>
            <w:tcW w:type="dxa" w:w="2160"/>
          </w:tcPr>
          <w:p>
            <w:r>
              <w:t>~22 דקות</w:t>
            </w:r>
          </w:p>
        </w:tc>
        <w:tc>
          <w:tcPr>
            <w:tcW w:type="dxa" w:w="2160"/>
          </w:tcPr>
          <w:p>
            <w:r>
              <w:t>ללא שינוי</w:t>
            </w:r>
          </w:p>
        </w:tc>
      </w:tr>
      <w:tr>
        <w:tc>
          <w:tcPr>
            <w:tcW w:type="dxa" w:w="2160"/>
          </w:tcPr>
          <w:p>
            <w:r>
              <w:t>Pancuronium</w:t>
            </w:r>
          </w:p>
        </w:tc>
        <w:tc>
          <w:tcPr>
            <w:tcW w:type="dxa" w:w="2160"/>
          </w:tcPr>
          <w:p>
            <w:r>
              <w:t>כלייתי (60–80%)</w:t>
            </w:r>
          </w:p>
        </w:tc>
        <w:tc>
          <w:tcPr>
            <w:tcW w:type="dxa" w:w="2160"/>
          </w:tcPr>
          <w:p>
            <w:r>
              <w:t>~100 דקות</w:t>
            </w:r>
          </w:p>
        </w:tc>
        <w:tc>
          <w:tcPr>
            <w:tcW w:type="dxa" w:w="2160"/>
          </w:tcPr>
          <w:p>
            <w:r>
              <w:t>מוארך משמעותית — להימנע ב-ESRD</w:t>
            </w:r>
          </w:p>
        </w:tc>
      </w:tr>
      <w:tr>
        <w:tc>
          <w:tcPr>
            <w:tcW w:type="dxa" w:w="2160"/>
          </w:tcPr>
          <w:p>
            <w:r>
              <w:t>Sugammadex</w:t>
            </w:r>
          </w:p>
        </w:tc>
        <w:tc>
          <w:tcPr>
            <w:tcW w:type="dxa" w:w="2160"/>
          </w:tcPr>
          <w:p>
            <w:r>
              <w:t>כלייתי (&gt;80%)</w:t>
            </w:r>
          </w:p>
        </w:tc>
        <w:tc>
          <w:tcPr>
            <w:tcW w:type="dxa" w:w="2160"/>
          </w:tcPr>
          <w:p>
            <w:r>
              <w:t>~100 דקות</w:t>
            </w:r>
          </w:p>
        </w:tc>
        <w:tc>
          <w:tcPr>
            <w:tcW w:type="dxa" w:w="2160"/>
          </w:tcPr>
          <w:p>
            <w:r>
              <w:t>להימנע ב-GFR &lt; 30 מל'/דקה</w:t>
            </w:r>
          </w:p>
        </w:tc>
      </w:tr>
      <w:tr>
        <w:tc>
          <w:tcPr>
            <w:tcW w:type="dxa" w:w="2160"/>
          </w:tcPr>
          <w:p>
            <w:r>
              <w:t>Neostigmine</w:t>
            </w:r>
          </w:p>
        </w:tc>
        <w:tc>
          <w:tcPr>
            <w:tcW w:type="dxa" w:w="2160"/>
          </w:tcPr>
          <w:p>
            <w:r>
              <w:t>כלייתי (~50%)</w:t>
            </w:r>
          </w:p>
        </w:tc>
        <w:tc>
          <w:tcPr>
            <w:tcW w:type="dxa" w:w="2160"/>
          </w:tcPr>
          <w:p>
            <w:r>
              <w:t>~80 דקות</w:t>
            </w:r>
          </w:p>
        </w:tc>
        <w:tc>
          <w:tcPr>
            <w:tcW w:type="dxa" w:w="2160"/>
          </w:tcPr>
          <w:p>
            <w:r>
              <w:t>מוארך בכשל כלייתי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Sugammadex — נקודות ביחן קריטיות</w:t>
      </w:r>
    </w:p>
    <w:p>
      <w:pPr>
        <w:pStyle w:val="ListBullet"/>
      </w:pPr>
      <w:r/>
      <w:r>
        <w:rPr>
          <w:b/>
        </w:rPr>
        <w:t>אמצעי מניעה:</w:t>
      </w:r>
      <w:r>
        <w:t xml:space="preserve"> לאחר מתן Sugammadex — </w:t>
      </w:r>
      <w:r>
        <w:rPr>
          <w:b/>
        </w:rPr>
        <w:t>7 ימים</w:t>
      </w:r>
      <w:r>
        <w:t xml:space="preserve"> נדרש שימוש באמצעי מניעה נוספים (Sugammadex קושר פרוגסטרון → מפחית יעילות גלולות).</w:t>
      </w:r>
    </w:p>
    <w:p>
      <w:pPr>
        <w:pStyle w:val="ListBullet"/>
      </w:pPr>
      <w:r/>
      <w:r>
        <w:rPr>
          <w:b/>
        </w:rPr>
        <w:t>Reintubation לאחר Sugammadex:</w:t>
      </w:r>
      <w:r>
        <w:t xml:space="preserve"> 5 דקות לאחר 2 mg/kg → מתן חוזר של Rocuronium 1.2 mg/kg → </w:t>
      </w:r>
      <w:r>
        <w:rPr>
          <w:b/>
        </w:rPr>
        <w:t>T1=0% תוך ~3 דקות</w:t>
      </w:r>
      <w:r>
        <w:t xml:space="preserve"> (ולא דקה כרגיל!) עקב Sugammadex שאריתי בפלזמה שקושר חלק מה-Rocuronium.</w:t>
      </w:r>
    </w:p>
    <w:p>
      <w:pPr>
        <w:pStyle w:val="ListBullet"/>
      </w:pPr>
      <w:r>
        <w:t>אין לתת Sugammadex ב-</w:t>
      </w:r>
      <w:r>
        <w:rPr>
          <w:b/>
        </w:rPr>
        <w:t>GFR &lt; 30</w:t>
      </w:r>
      <w:r>
        <w:t>: הקומפלקס Sugammadex-Rocuronium לא מתנקה → סיכון ל-Recurarization.</w:t>
      </w:r>
    </w:p>
    <w:p>
      <w:pPr>
        <w:pStyle w:val="ListBullet"/>
      </w:pPr>
      <w:r/>
      <w:r>
        <w:rPr>
          <w:b/>
        </w:rPr>
        <w:t>אפיניות:</w:t>
      </w:r>
      <w:r>
        <w:t xml:space="preserve"> Rocuronium &gt;&gt; Vecuronium (פי 2.5 פחות) &gt;&gt; Pancuronium (זניח — לא יעיל).</w:t>
      </w:r>
    </w:p>
    <w:p/>
    <w:p>
      <w:pPr>
        <w:pStyle w:val="Heading3"/>
      </w:pPr>
      <w:r>
        <w:t>🔴 Succinylcholine — סיכונים</w:t>
      </w:r>
    </w:p>
    <w:p>
      <w:pPr>
        <w:pStyle w:val="ListBullet"/>
      </w:pPr>
      <w:r/>
      <w:r>
        <w:rPr>
          <w:b/>
        </w:rPr>
        <w:t>היפרקלמיה קטלנית</w:t>
      </w:r>
      <w:r>
        <w:t xml:space="preserve"> ב: כוויות (מ-24 שעות עד שנה!), Denervation, Spinal cord injury, Crush injury, Prolonged immobilization, Stroke — </w:t>
      </w:r>
      <w:r>
        <w:rPr>
          <w:b/>
        </w:rPr>
        <w:t>לא</w:t>
      </w:r>
      <w:r>
        <w:t xml:space="preserve"> בכשל כלייתי כרוני ללא הנ"ל (K⁺ עולה ~0.5 מEq/L בלבד).</w:t>
      </w:r>
    </w:p>
    <w:p>
      <w:pPr>
        <w:pStyle w:val="ListBullet"/>
      </w:pPr>
      <w:r/>
      <w:r>
        <w:rPr>
          <w:b/>
        </w:rPr>
        <w:t>Phase II Block:</w:t>
      </w:r>
      <w:r>
        <w:t xml:space="preserve"> Succinylcholine במינון גבוה/חשיפה ממושכת → מדמה NDMR Block (Fade, Post-tetanic facilitation) → </w:t>
      </w:r>
      <w:r>
        <w:rPr>
          <w:b/>
        </w:rPr>
        <w:t>Neostigmine</w:t>
      </w:r>
      <w:r>
        <w:t xml:space="preserve"> עשוי לסייע (הפוך לPHASE I!).</w:t>
      </w:r>
    </w:p>
    <w:p>
      <w:pPr>
        <w:pStyle w:val="ListBullet"/>
      </w:pPr>
      <w:r/>
      <w:r>
        <w:rPr>
          <w:b/>
        </w:rPr>
        <w:t>Pseudocholinesterase deficiency:</w:t>
      </w:r>
      <w:r>
        <w:t xml:space="preserve"> משך פעולה מוארך עד שעות → ניטור וונטילציה מכנית עד להתאוששות ספונטנית.</w:t>
      </w:r>
    </w:p>
    <w:p/>
    <w:p>
      <w:pPr>
        <w:pStyle w:val="Heading3"/>
      </w:pPr>
      <w:r>
        <w:t>🔴 הפרדוקס: עוצמה מול Onset</w:t>
      </w:r>
    </w:p>
    <w:p>
      <w:pPr>
        <w:pStyle w:val="ListBullet"/>
      </w:pPr>
      <w:r/>
      <w:r>
        <w:rPr>
          <w:b/>
        </w:rPr>
        <w:t>הפרדוקס של Rocuronium/Vecuronium:</w:t>
      </w:r>
      <w:r>
        <w:t xml:space="preserve"> תרופות </w:t>
      </w:r>
      <w:r>
        <w:rPr>
          <w:b/>
        </w:rPr>
        <w:t>פחות עוצמתיות (ED₉₅ גבוה)</w:t>
      </w:r>
      <w:r>
        <w:t xml:space="preserve"> → Onset </w:t>
      </w:r>
      <w:r>
        <w:rPr>
          <w:b/>
        </w:rPr>
        <w:t>מהיר יותר</w:t>
      </w:r>
      <w:r>
        <w:t xml:space="preserve"> (יותר מולקולות מגיעות ל-NMJ). Rocuronium מהיר יותר מ-Vecuronium בגלל ED₉₅ גבוה יותר.</w:t>
      </w:r>
    </w:p>
    <w:p>
      <w:pPr>
        <w:pStyle w:val="ListBullet"/>
      </w:pPr>
      <w:r>
        <w:t xml:space="preserve">Succinylcholine — </w:t>
      </w:r>
      <w:r>
        <w:rPr>
          <w:b/>
        </w:rPr>
        <w:t>Onset המהיר ביותר</w:t>
      </w:r>
      <w:r>
        <w:t xml:space="preserve"> (~60 שניות) עקב ED₉₅ גבוה מאוד ופינוי מהיר.</w:t>
      </w:r>
    </w:p>
    <w:p/>
    <w:p>
      <w:pPr>
        <w:pStyle w:val="Heading3"/>
      </w:pPr>
      <w:r>
        <w:t>🔴 Atracurium — נקודת תשאול</w:t>
      </w:r>
    </w:p>
    <w:p>
      <w:pPr>
        <w:pStyle w:val="ListBullet"/>
      </w:pPr>
      <w:r>
        <w:t xml:space="preserve">מטבוליט </w:t>
      </w:r>
      <w:r>
        <w:rPr>
          <w:b/>
        </w:rPr>
        <w:t>Laudanosine</w:t>
      </w:r>
      <w:r>
        <w:t xml:space="preserve"> (Hofmann elimination) → עובר BBB → עלול לגרום לפרכוסים במינונים גבוהים מאוד (רלוונטי ב-ICU עם עירוי ממושך).</w:t>
      </w:r>
    </w:p>
    <w:p>
      <w:pPr>
        <w:pStyle w:val="ListBullet"/>
      </w:pPr>
      <w:r/>
      <w:r>
        <w:rPr>
          <w:b/>
        </w:rPr>
        <w:t>Histamine release</w:t>
      </w:r>
      <w:r>
        <w:t xml:space="preserve"> — Atracurium &gt; Cisatracurium → Hypotension, Bronchospasm.</w:t>
      </w:r>
    </w:p>
    <w:p/>
    <w:p>
      <w:pPr>
        <w:pStyle w:val="Heading3"/>
      </w:pPr>
      <w:r>
        <w:t>🔴 ילדים לעומת קשישים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תינוקות/ילדים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קשישים</w:t>
            </w:r>
          </w:p>
        </w:tc>
      </w:tr>
      <w:tr>
        <w:tc>
          <w:tcPr>
            <w:tcW w:type="dxa" w:w="2880"/>
          </w:tcPr>
          <w:p>
            <w:r>
              <w:t>Onset NDMRs</w:t>
            </w:r>
          </w:p>
        </w:tc>
        <w:tc>
          <w:tcPr>
            <w:tcW w:type="dxa" w:w="2880"/>
          </w:tcPr>
          <w:p>
            <w:r>
              <w:t>מהיר יותר (CO גבוה, זמן סירקולציה קצר)</w:t>
            </w:r>
          </w:p>
        </w:tc>
        <w:tc>
          <w:tcPr>
            <w:tcW w:type="dxa" w:w="2880"/>
          </w:tcPr>
          <w:p>
            <w:r>
              <w:t>איטי יותר</w:t>
            </w:r>
          </w:p>
        </w:tc>
      </w:tr>
      <w:tr>
        <w:tc>
          <w:tcPr>
            <w:tcW w:type="dxa" w:w="2880"/>
          </w:tcPr>
          <w:p>
            <w:r>
              <w:t>NMJ בשלות</w:t>
            </w:r>
          </w:p>
        </w:tc>
        <w:tc>
          <w:tcPr>
            <w:tcW w:type="dxa" w:w="2880"/>
          </w:tcPr>
          <w:p>
            <w:r>
              <w:t>NMJ לא בשל עד גיל 2, Fetal AChR</w:t>
            </w:r>
          </w:p>
        </w:tc>
        <w:tc>
          <w:tcPr>
            <w:tcW w:type="dxa" w:w="2880"/>
          </w:tcPr>
          <w:p>
            <w:r>
              <w:t>Sarcopenia, קפלי End-plate שטוחים</w:t>
            </w:r>
          </w:p>
        </w:tc>
      </w:tr>
      <w:tr>
        <w:tc>
          <w:tcPr>
            <w:tcW w:type="dxa" w:w="2880"/>
          </w:tcPr>
          <w:p>
            <w:r>
              <w:t>Succinylcholine מינון</w:t>
            </w:r>
          </w:p>
        </w:tc>
        <w:tc>
          <w:tcPr>
            <w:tcW w:type="dxa" w:w="2880"/>
          </w:tcPr>
          <w:p>
            <w:r>
              <w:t>2 mg/kg</w:t>
            </w:r>
          </w:p>
        </w:tc>
        <w:tc>
          <w:tcPr>
            <w:tcW w:type="dxa" w:w="2880"/>
          </w:tcPr>
          <w:p>
            <w:r>
              <w:t>1–1.5 mg/kg</w:t>
            </w:r>
          </w:p>
        </w:tc>
      </w:tr>
      <w:tr>
        <w:tc>
          <w:tcPr>
            <w:tcW w:type="dxa" w:w="2880"/>
          </w:tcPr>
          <w:p>
            <w:r>
              <w:t>משך NDMRs</w:t>
            </w:r>
          </w:p>
        </w:tc>
        <w:tc>
          <w:tcPr>
            <w:tcW w:type="dxa" w:w="2880"/>
          </w:tcPr>
          <w:p>
            <w:r>
              <w:t>קצר יותר (Clearance מהיר יחסי)</w:t>
            </w:r>
          </w:p>
        </w:tc>
        <w:tc>
          <w:tcPr>
            <w:tcW w:type="dxa" w:w="2880"/>
          </w:tcPr>
          <w:p>
            <w:r>
              <w:t>מוארך (Clearance ירוד)</w:t>
            </w:r>
          </w:p>
        </w:tc>
      </w:tr>
      <w:tr>
        <w:tc>
          <w:tcPr>
            <w:tcW w:type="dxa" w:w="2880"/>
          </w:tcPr>
          <w:p>
            <w:r>
              <w:t>רגישות ל-NDMRs</w:t>
            </w:r>
          </w:p>
        </w:tc>
        <w:tc>
          <w:tcPr>
            <w:tcW w:type="dxa" w:w="2880"/>
          </w:tcPr>
          <w:p>
            <w:r>
              <w:t>רגישות יתר (Fetal AChR)</w:t>
            </w:r>
          </w:p>
        </w:tc>
        <w:tc>
          <w:tcPr>
            <w:tcW w:type="dxa" w:w="2880"/>
          </w:tcPr>
          <w:p>
            <w:r>
              <w:t>רגישות מוגברת (Margin of safety ירוד)</w:t>
            </w:r>
          </w:p>
        </w:tc>
      </w:tr>
    </w:tbl>
    <w:p/>
    <w:p/>
    <w:p>
      <w:pPr>
        <w:pStyle w:val="Heading3"/>
      </w:pPr>
      <w:r>
        <w:t>🔴 גורמים מאריכי NMB (נקודות תשאול)</w:t>
      </w:r>
    </w:p>
    <w:p>
      <w:pPr>
        <w:pStyle w:val="ListBullet"/>
      </w:pPr>
      <w:r/>
      <w:r>
        <w:rPr>
          <w:b/>
        </w:rPr>
        <w:t>Hypermagnesemia</w:t>
      </w:r>
      <w:r>
        <w:t xml:space="preserve"> → מעכב שחרור ACh, מוריד מוליכות של End-plate → מאריך NDMRs.</w:t>
      </w:r>
    </w:p>
    <w:p>
      <w:pPr>
        <w:pStyle w:val="ListBullet"/>
      </w:pPr>
      <w:r/>
      <w:r>
        <w:rPr>
          <w:b/>
        </w:rPr>
        <w:t>Hypothermia</w:t>
      </w:r>
      <w:r>
        <w:t xml:space="preserve"> → מאט Hofmann elimination → מאריך Atracurium/Cisatracurium.</w:t>
      </w:r>
    </w:p>
    <w:p>
      <w:pPr>
        <w:pStyle w:val="ListBullet"/>
      </w:pPr>
      <w:r/>
      <w:r>
        <w:rPr>
          <w:b/>
        </w:rPr>
        <w:t>Hypokalemia, Hypocalcemia</w:t>
      </w:r>
      <w:r>
        <w:t xml:space="preserve"> → מגבירים רגישות ל-NDMRs.</w:t>
      </w:r>
    </w:p>
    <w:p>
      <w:pPr>
        <w:pStyle w:val="ListBullet"/>
      </w:pPr>
      <w:r/>
      <w:r>
        <w:rPr>
          <w:b/>
        </w:rPr>
        <w:t>Aminoglycosides, Clindamycin</w:t>
      </w:r>
      <w:r>
        <w:t xml:space="preserve"> → מגבירים NMB.</w:t>
      </w:r>
    </w:p>
    <w:p>
      <w:pPr>
        <w:pStyle w:val="ListBullet"/>
      </w:pPr>
      <w:r/>
      <w:r>
        <w:rPr>
          <w:b/>
        </w:rPr>
        <w:t>Inhalational agents</w:t>
      </w:r>
      <w:r>
        <w:t xml:space="preserve"> (Isoflurane, Sevoflurane, Desflurane) → מגבירים NMB (dose-dependent, נוסף על אפקט NDMRs).</w:t>
      </w:r>
    </w:p>
    <w:p>
      <w:pPr>
        <w:pStyle w:val="ListBullet"/>
      </w:pPr>
      <w:r/>
      <w:r>
        <w:rPr>
          <w:b/>
        </w:rPr>
        <w:t>Lithium</w:t>
      </w:r>
      <w:r>
        <w:t xml:space="preserve"> → מאריך Succinylcholine וNDMRs.</w:t>
      </w:r>
    </w:p>
    <w:p/>
    <w:p>
      <w:pPr>
        <w:pStyle w:val="Heading3"/>
      </w:pPr>
      <w:r>
        <w:t>🔴 Myasthenia Gravis (MG)</w:t>
      </w:r>
    </w:p>
    <w:p>
      <w:pPr>
        <w:pStyle w:val="ListBullet"/>
      </w:pPr>
      <w:r/>
      <w:r>
        <w:rPr>
          <w:b/>
        </w:rPr>
        <w:t>עמידות</w:t>
      </w:r>
      <w:r>
        <w:t xml:space="preserve"> ל-Succinylcholine (פחות רצפטורי AChR).</w:t>
      </w:r>
    </w:p>
    <w:p>
      <w:pPr>
        <w:pStyle w:val="ListBullet"/>
      </w:pPr>
      <w:r/>
      <w:r>
        <w:rPr>
          <w:b/>
        </w:rPr>
        <w:t>רגישות יתר</w:t>
      </w:r>
      <w:r>
        <w:t xml:space="preserve"> ל-NDMRs → </w:t>
      </w:r>
      <w:r>
        <w:rPr>
          <w:b/>
        </w:rPr>
        <w:t>הפחת מינון ל-10–20% מהרגיל</w:t>
      </w:r>
      <w:r>
        <w:t>.</w:t>
      </w:r>
    </w:p>
    <w:p>
      <w:pPr>
        <w:pStyle w:val="ListBullet"/>
      </w:pPr>
      <w:r>
        <w:t>Sugammadex — בחירת ההיפוך המועדפת.</w:t>
      </w:r>
    </w:p>
    <w:p>
      <w:pPr>
        <w:pStyle w:val="ListBullet"/>
      </w:pPr>
      <w:r>
        <w:t>יש לנטר NMT בכל מקרה; סיכון ל-Residual Block ב-Extubation.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 (מועד ספטמבר 2024, שאלה 42 / מאי 2024, שאלה 46):</w:t>
      </w:r>
      <w:r/>
    </w:p>
    <w:p>
      <w:r>
        <w:t>חולה מקבל Rocuronium לאינדוקציה. בתום הניתוח ניתן Sugammadex 2 mg/kg. כ-5 דקות לאחר מכן נדרשת אינטובציה דחופה מחדש. ניתן Rocuronium 1.2 mg/kg. מה יהיה T1 ומה Onset Time?</w:t>
      </w:r>
    </w:p>
    <w:p/>
    <w:p>
      <w:r/>
      <w:r>
        <w:rPr>
          <w:b/>
        </w:rPr>
        <w:t>תשובה:</w:t>
      </w:r>
      <w:r>
        <w:t xml:space="preserve"> T1 יגיע ל-0% (שיתוק מלא), אך Onset time יהיה </w:t>
      </w:r>
      <w:r>
        <w:rPr>
          <w:b/>
        </w:rPr>
        <w:t>~3 דקות</w:t>
      </w:r>
      <w:r>
        <w:t xml:space="preserve"> (מוארך משמעותית) עקב Sugammadex שאריתי בפלזמה הקושר חלק מה-Rocuronium החדש ומפחית את מפל הריכוזים אל ה-NMJ.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 (מועד 2023, שאלה 107):</w:t>
      </w:r>
      <w:r/>
    </w:p>
    <w:p>
      <w:r>
        <w:t>לחולה עם ESRD (אי-ספיקת כליות סופנית) הזקוק לניתוח דחוף, איזה NMBD יציג משך פעולה ללא שינוי?</w:t>
      </w:r>
    </w:p>
    <w:p/>
    <w:p>
      <w:r/>
      <w:r>
        <w:rPr>
          <w:b/>
        </w:rPr>
        <w:t>א. Rocuronium | ב. Vecuronium | ג. Pancuronium | ד. Atracurium</w:t>
      </w:r>
      <w:r/>
    </w:p>
    <w:p/>
    <w:p>
      <w:r/>
      <w:r>
        <w:rPr>
          <w:b/>
        </w:rPr>
        <w:t>תשובה: ד. Atracurium</w:t>
      </w:r>
      <w:r>
        <w:t xml:space="preserve"> — פינוי דרך Hofmann elimination ו-Ester hydrolysis, </w:t>
      </w:r>
      <w:r>
        <w:rPr>
          <w:b/>
        </w:rPr>
        <w:t>ללא תלות בכליות</w:t>
      </w:r>
      <w:r>
        <w:t>. T½ זהה בחולים אנפריים ובריאים (~20 דקות).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שריר מניטור לפי TOF מראה TOF ratio = 0.95. אך החולה מדווח על ראייה כפולה ובעיות בליעה. מה ההסבר?</w:t>
      </w:r>
    </w:p>
    <w:p/>
    <w:p>
      <w:r/>
      <w:r>
        <w:rPr>
          <w:b/>
        </w:rPr>
        <w:t>תשובה:</w:t>
      </w:r>
      <w:r>
        <w:t xml:space="preserve"> </w:t>
      </w:r>
      <w:r>
        <w:rPr>
          <w:b/>
        </w:rPr>
        <w:t>Residual Blockade</w:t>
      </w:r>
      <w:r>
        <w:t xml:space="preserve"> — TOF ratio של Adductor pollicis יכול להיות תקין (&gt;0.9) בעוד ששרירי הלוע, הגרון ושרירי העיניים (רגישים יותר ל-NDMRs) עדיין חסומים חלקית. ה-Adductor pollicis הוא השריר </w:t>
      </w:r>
      <w:r>
        <w:rPr>
          <w:b/>
        </w:rPr>
        <w:t>הפחות רגיש</w:t>
      </w:r>
      <w:r>
        <w:t xml:space="preserve"> ביחס לשרירי דרכי האוויר.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ילד בן 8 חודשים מקבל Vecuronium. מה צפוי בהשוואה למבוגר?</w:t>
      </w:r>
    </w:p>
    <w:p/>
    <w:p>
      <w:r/>
      <w:r>
        <w:rPr>
          <w:b/>
        </w:rPr>
        <w:t>תשובה:</w:t>
      </w:r>
      <w:r>
        <w:t xml:space="preserve"> </w:t>
      </w:r>
    </w:p>
    <w:p>
      <w:pPr>
        <w:pStyle w:val="ListBullet"/>
      </w:pPr>
      <w:r/>
      <w:r>
        <w:rPr>
          <w:b/>
        </w:rPr>
        <w:t>Onset מהיר יותר</w:t>
      </w:r>
      <w:r>
        <w:t xml:space="preserve"> (Cardiac output יחסי גבוה, זמן סירקולציה קצר).</w:t>
      </w:r>
    </w:p>
    <w:p>
      <w:pPr>
        <w:pStyle w:val="ListBullet"/>
      </w:pPr>
      <w:r/>
      <w:r>
        <w:rPr>
          <w:b/>
        </w:rPr>
        <w:t>רגישות מוגברת</w:t>
      </w:r>
      <w:r>
        <w:t xml:space="preserve"> ל-NDMRs (Fetal AChR עם Margin of safety נמוך).</w:t>
      </w:r>
    </w:p>
    <w:p>
      <w:pPr>
        <w:pStyle w:val="ListBullet"/>
      </w:pPr>
      <w:r/>
      <w:r>
        <w:rPr>
          <w:b/>
        </w:rPr>
        <w:t>מינון נמוך יותר</w:t>
      </w:r>
      <w:r>
        <w:t xml:space="preserve"> נדרש (גם אם Volume of Distribution גדול — רגישות שולטת).</w:t>
      </w:r>
    </w:p>
    <w:p>
      <w:pPr>
        <w:pStyle w:val="ListBullet"/>
      </w:pPr>
      <w:r>
        <w:t xml:space="preserve">Succinylcholine — </w:t>
      </w:r>
      <w:r>
        <w:rPr>
          <w:b/>
        </w:rPr>
        <w:t>לעומת זאת</w:t>
      </w:r>
      <w:r>
        <w:t xml:space="preserve"> — דורש מינון </w:t>
      </w:r>
      <w:r>
        <w:rPr>
          <w:b/>
        </w:rPr>
        <w:t>גבוה יותר</w:t>
      </w:r>
      <w:r>
        <w:t xml:space="preserve"> (2 mg/kg) בשל VD גדול.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מהי הגישה הנכונה להיפוך בלוק עמוק (PTC = 1–2, אין תגובה ל-TOF) בניתוח שהסתיים?</w:t>
      </w:r>
    </w:p>
    <w:p/>
    <w:p>
      <w:r>
        <w:t>**א. Neostigmine 70 mcg/kg</w:t>
      </w:r>
    </w:p>
    <w:p>
      <w:r>
        <w:t>ב. המתן עד TOF count = 4 ואז Neostigmine</w:t>
      </w:r>
    </w:p>
    <w:p>
      <w:r>
        <w:t>ג. Sugammadex 4 mg/kg</w:t>
      </w:r>
    </w:p>
    <w:p>
      <w:r>
        <w:t>ד. Sugammadex 2 mg/kg**</w:t>
      </w:r>
    </w:p>
    <w:p/>
    <w:p>
      <w:r/>
      <w:r>
        <w:rPr>
          <w:b/>
        </w:rPr>
        <w:t>תשובה: ג. Sugammadex 4 mg/kg</w:t>
      </w:r>
      <w:r>
        <w:t xml:space="preserve"> — Deep block (PTC 1–2, no TOF response) דורש 4 mg/kg Sugammadex. Neostigmine </w:t>
      </w:r>
      <w:r>
        <w:rPr>
          <w:b/>
        </w:rPr>
        <w:t>לא יעיל</w:t>
      </w:r>
      <w:r>
        <w:t xml:space="preserve"> בבלוק עמוק (ceiling effect). המתנה עד TOF=4 מיותרת ואינה בטוחה קלינית.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>
      <w:pPr>
        <w:pStyle w:val="ListBullet"/>
      </w:pPr>
      <w:r>
        <w:t>Clinical Pharmacology and Management of Sugammadex.docx</w:t>
      </w:r>
    </w:p>
    <w:p>
      <w:pPr>
        <w:pStyle w:val="ListBullet"/>
      </w:pPr>
      <w:r>
        <w:t>Rocuronium Reintubation Dynamics Following Sugammadex Reversal.docx</w:t>
      </w:r>
    </w:p>
    <w:p>
      <w:pPr>
        <w:pStyle w:val="ListBullet"/>
      </w:pPr>
      <w:r>
        <w:t>Neuromuscular Blockade_ Muscle Sensitivity Hierarchy and Clinical Monitoring.docx</w:t>
      </w:r>
    </w:p>
    <w:p>
      <w:pPr>
        <w:pStyle w:val="ListBullet"/>
      </w:pPr>
      <w:r>
        <w:t>Neostigmine Dosing Strategies for Minimal Neuromuscular Block.docx</w:t>
      </w:r>
    </w:p>
    <w:p>
      <w:pPr>
        <w:pStyle w:val="ListBullet"/>
      </w:pPr>
      <w:r>
        <w:t>Neuromuscular Blockade and Renal Failure Pharmacology.docx</w:t>
      </w:r>
    </w:p>
    <w:p>
      <w:pPr>
        <w:pStyle w:val="ListBullet"/>
      </w:pPr>
      <w:r>
        <w:t>Neuromuscular Blockers Across the Lifespan_ Pediatric vs Geriatric Physiology.docx</w:t>
      </w:r>
    </w:p>
    <w:p>
      <w:pPr>
        <w:pStyle w:val="ListBullet"/>
      </w:pPr>
      <w:r>
        <w:t>Flumazenil_ Clinical Mechanism and Pharmacological Reversal Profile.docx</w:t>
      </w:r>
    </w:p>
    <w:p>
      <w:pPr>
        <w:pStyle w:val="ListBullet"/>
      </w:pPr>
      <w:r>
        <w:t>Hydrocortisone Antagonism of Nondepolarizing Neuromuscular Blockade.docx</w:t>
      </w:r>
    </w:p>
    <w:p>
      <w:pPr>
        <w:pStyle w:val="ListBullet"/>
      </w:pPr>
      <w:r>
        <w:t>Sugammadex Dosing Logic in Bariatric Anesthesia.docx</w:t>
      </w:r>
    </w:p>
    <w:p>
      <w:pPr>
        <w:pStyle w:val="ListBullet"/>
      </w:pPr>
      <w:r>
        <w:t>Drug Interactions Enhancing Nondepolarizing Neuromuscular Blockade.docx</w:t>
      </w:r>
    </w:p>
    <w:p>
      <w:pPr>
        <w:pStyle w:val="ListBullet"/>
      </w:pPr>
      <w:r>
        <w:t>Neuromuscular Blockade Reversal and Sugammadex Dosing Guidelines.docx</w:t>
      </w:r>
    </w:p>
    <w:p>
      <w:pPr>
        <w:pStyle w:val="ListBullet"/>
      </w:pPr>
      <w:r>
        <w:t>פרמקולוגיה של חוסמי צומת עצב-שריר וגורמים מאריכי שיתוק.docx</w:t>
      </w:r>
    </w:p>
    <w:p>
      <w:pPr>
        <w:pStyle w:val="ListBullet"/>
      </w:pPr>
      <w:r>
        <w:t>Nondepolarizing Neuromuscular Blocking Drugs_ Molecular Mechanisms and Kinetics.docx</w:t>
      </w:r>
    </w:p>
    <w:p>
      <w:pPr>
        <w:pStyle w:val="ListBullet"/>
      </w:pPr>
      <w:r>
        <w:t>Cardiac Output and Neuromuscular Blockade Onset Dynamics.docx</w:t>
      </w:r>
    </w:p>
    <w:p>
      <w:pPr>
        <w:pStyle w:val="ListBullet"/>
      </w:pPr>
      <w:r>
        <w:t>Anesthesia Management for Myasthenia Gravis and Thymectomy.docx</w:t>
      </w:r>
    </w:p>
    <w:p>
      <w:pPr>
        <w:pStyle w:val="ListBullet"/>
      </w:pPr>
      <w:r>
        <w:t>השפעת פלזמפרזיס ואלקטרוליטים על משך שיתוק שרירים.docx</w:t>
      </w:r>
    </w:p>
    <w:p>
      <w:pPr>
        <w:pStyle w:val="ListBullet"/>
      </w:pPr>
      <w:r>
        <w:t>Physiological Factors Prolonging Neuromuscular Blockade.docx</w:t>
      </w:r>
    </w:p>
    <w:p>
      <w:pPr>
        <w:pStyle w:val="ListBullet"/>
      </w:pPr>
      <w:r>
        <w:t>Neostigmine Reversal in Succinylcholine Phase II Block.docx</w:t>
      </w:r>
    </w:p>
    <w:p>
      <w:pPr>
        <w:pStyle w:val="ListBullet"/>
      </w:pPr>
      <w:r>
        <w:t>פרמקולוגיה של משתקי שרירים בחולי שחמת כבד.docx</w:t>
      </w:r>
    </w:p>
    <w:p>
      <w:pPr>
        <w:pStyle w:val="ListBullet"/>
      </w:pPr>
      <w:r>
        <w:t>Neostigmine and Succinylcholine_ Pharmacological Interactions and Recovery Times.docx</w:t>
      </w:r>
    </w:p>
    <w:p>
      <w:pPr>
        <w:pStyle w:val="ListBullet"/>
      </w:pPr>
      <w:r>
        <w:t>Clinical Pharmacology and Management of Flumazenil.docx</w:t>
      </w:r>
    </w:p>
    <w:p>
      <w:pPr>
        <w:pStyle w:val="ListBullet"/>
      </w:pPr>
      <w:r>
        <w:t>מנגנוני דה-סנסיטיזציה של קולטני אצטילכולין בניתוח מילר.docx</w:t>
      </w:r>
    </w:p>
    <w:p>
      <w:pPr>
        <w:pStyle w:val="ListBullet"/>
      </w:pPr>
      <w:r>
        <w:t>השפעות קליניות וסתירות פרמקולוגיות במשתקי שרירים ע״פ מילר.docx</w:t>
      </w:r>
    </w:p>
    <w:p>
      <w:pPr>
        <w:pStyle w:val="ListBullet"/>
      </w:pPr>
      <w:r>
        <w:t>Atracurium Clearance in Renal Failure Analysis.docx</w:t>
      </w:r>
    </w:p>
    <w:p>
      <w:pPr>
        <w:pStyle w:val="ListBullet"/>
      </w:pPr>
      <w:r>
        <w:t>Clinical Definitions of Shallow Neuromuscular Block Depth.docx</w:t>
      </w:r>
    </w:p>
    <w:p>
      <w:pPr>
        <w:pStyle w:val="ListBullet"/>
      </w:pPr>
      <w:r>
        <w:t>Neuromuscular Blockers in Pediatric and Geriatric Populations.docx</w:t>
      </w:r>
    </w:p>
    <w:p>
      <w:pPr>
        <w:pStyle w:val="ListBullet"/>
      </w:pPr>
      <w:r>
        <w:t>מנגנון הפעולה והפרוטוקול הקליני של דנטרולן.docx</w:t>
      </w:r>
    </w:p>
    <w:p>
      <w:pPr>
        <w:pStyle w:val="ListBullet"/>
      </w:pPr>
      <w:r>
        <w:t>Mitigating Residual Neuromuscular Blockade_ Strategies and Mechanisms.docx</w:t>
      </w:r>
    </w:p>
    <w:p>
      <w:pPr>
        <w:pStyle w:val="ListBullet"/>
      </w:pPr>
      <w:r>
        <w:t>Anesthesia Phase A Examination Content Analysis.docx</w:t>
      </w:r>
    </w:p>
    <w:p>
      <w:pPr>
        <w:pStyle w:val="ListBullet"/>
      </w:pPr>
      <w:r>
        <w:t>Sugammadex Interactions with Hormonal Contraceptives.docx</w:t>
      </w:r>
    </w:p>
    <w:p>
      <w:pPr>
        <w:pStyle w:val="ListBullet"/>
      </w:pPr>
      <w:r>
        <w:t>Extubation and Neuromuscular Management in Myasthenia Gravis.docx</w:t>
      </w:r>
    </w:p>
    <w:p>
      <w:pPr>
        <w:pStyle w:val="ListBullet"/>
      </w:pPr>
      <w:r>
        <w:t>The Potency-Onset Paradox of Rocuronium and Vecuronium.docx</w:t>
      </w:r>
    </w:p>
    <w:p>
      <w:pPr>
        <w:pStyle w:val="ListBullet"/>
      </w:pPr>
      <w:r>
        <w:t>Succinylcholine_ Clinical Interactions and Board Examination Analysis.docx</w:t>
      </w:r>
    </w:p>
    <w:p>
      <w:pPr>
        <w:pStyle w:val="ListBullet"/>
      </w:pPr>
      <w:r>
        <w:t>Optimal Rocuronium Dosing for Surgical Muscle Relaxation.docx</w:t>
      </w:r>
    </w:p>
    <w:p>
      <w:pPr>
        <w:pStyle w:val="ListBullet"/>
      </w:pPr>
      <w:r>
        <w:t>דינמיקת קולטני אצטילכולין ומשמעותה הקלינית במרדים Miller.docx</w:t>
      </w:r>
    </w:p>
    <w:p>
      <w:pPr>
        <w:pStyle w:val="ListBullet"/>
      </w:pPr>
      <w:r>
        <w:t>Succinylcholine Safety and Hyperkalemia in Renal Failure.docx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Ch.24 — Pharmacology of Neuromuscular Blocking Drugs and Antagonists (Reversal Agents)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