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34. Implantable Cardiac Pulse Generators: Pacemakers and Cardioverter-Defibrillators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שלושה סוגי מכשירים עיקריים:</w:t>
      </w:r>
      <w:r>
        <w:t xml:space="preserve"> Pacemaker (קיצוב ברדיקרדיה), ICD (מניעת מוות פתאומי), CRT (סנכרון חדרים באי-ספיקת לב) — לכל אחד אינדיקציה שונה לחלוטין</w:t>
      </w:r>
    </w:p>
    <w:p>
      <w:pPr>
        <w:pStyle w:val="ListBullet"/>
      </w:pPr>
      <w:r/>
      <w:r>
        <w:rPr>
          <w:b/>
        </w:rPr>
        <w:t>כלל הטבור (Umbilicus Rule):</w:t>
      </w:r>
      <w:r>
        <w:t xml:space="preserve"> דיאתרמיה מונופולרית מעל הטבור → סיכון ל-EMI → חובה לנטרל Anti-tachycardia therapy ב-ICD לפני ניתוח</w:t>
      </w:r>
    </w:p>
    <w:p>
      <w:pPr>
        <w:pStyle w:val="ListBullet"/>
      </w:pPr>
      <w:r/>
      <w:r>
        <w:rPr>
          <w:b/>
        </w:rPr>
        <w:t>תלות בקוצב (Pacemaker-Dependence):</w:t>
      </w:r>
      <w:r>
        <w:t xml:space="preserve"> קריטי לזיהוי טרום-ניתוחי — כשל המכשיר = אסיסטולה. האוכלוסיות בסיכון: לאחר AV Nodal Ablation, חולי CRT, Complete Heart Block</w:t>
      </w:r>
    </w:p>
    <w:p>
      <w:pPr>
        <w:pStyle w:val="ListBullet"/>
      </w:pPr>
      <w:r/>
      <w:r>
        <w:rPr>
          <w:b/>
        </w:rPr>
        <w:t>Magnet behavior:</w:t>
      </w:r>
      <w:r>
        <w:t xml:space="preserve"> מגנט על Pacemaker → קיצוב אסינכרוני (AOO/VOO). מגנט על ICD → מנטרל שוק בלבד, </w:t>
      </w:r>
      <w:r>
        <w:rPr>
          <w:b/>
        </w:rPr>
        <w:t>לא</w:t>
      </w:r>
      <w:r>
        <w:t xml:space="preserve"> משנה קיצוב. קיצוב אסינכרוני מ-ICD דורש תמיד </w:t>
      </w:r>
      <w:r>
        <w:rPr>
          <w:b/>
        </w:rPr>
        <w:t>תכנות מחדש</w:t>
      </w:r>
      <w:r/>
    </w:p>
    <w:p>
      <w:pPr>
        <w:pStyle w:val="ListBullet"/>
      </w:pPr>
      <w:r/>
      <w:r>
        <w:rPr>
          <w:b/>
        </w:rPr>
        <w:t>EMI ו-Oversensing:</w:t>
      </w:r>
      <w:r>
        <w:t xml:space="preserve"> דיאתרמיה מונופולרית = הסיכון הגדול ביותר. העדף Bipolar ESU; אם לא ניתן — "Cut" עדיף על "Blend/Coag"; פולסים קצרים (&lt;4 שניות) עם הפסקה ≥2 שניות</w:t>
      </w:r>
    </w:p>
    <w:p>
      <w:pPr>
        <w:pStyle w:val="ListBullet"/>
      </w:pPr>
      <w:r/>
      <w:r>
        <w:rPr>
          <w:b/>
        </w:rPr>
        <w:t>Waiting Period Rule ל-ICD:</w:t>
      </w:r>
      <w:r>
        <w:t xml:space="preserve"> ≥40 יום לאחר MI חריף, ≥90 יום לאחר CABG/PCI — אין להשתיל לפני כן</w:t>
      </w:r>
    </w:p>
    <w:p>
      <w:pPr>
        <w:pStyle w:val="ListBullet"/>
      </w:pPr>
      <w:r/>
      <w:r>
        <w:rPr>
          <w:b/>
        </w:rPr>
        <w:t>ניטור תוך-ניתוחי:</w:t>
      </w:r>
      <w:r>
        <w:t xml:space="preserve"> בחולים עם CIED יש להשתמש ב-Pulse oximeter (plethysmography) או arterial waveform לניטור קצב לבבי — ה-ECG עלול להיות בלתי אמין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טבלה 1: אינדיקציות להשתלה — השוואה מהירה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מכשיר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אינדיקציה עיקרית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ערכי סף קריטיים</w:t>
            </w:r>
          </w:p>
        </w:tc>
      </w:tr>
      <w:tr>
        <w:tc>
          <w:tcPr>
            <w:tcW w:type="dxa" w:w="2880"/>
          </w:tcPr>
          <w:p>
            <w:r>
              <w:t>Pacemaker</w:t>
            </w:r>
          </w:p>
        </w:tc>
        <w:tc>
          <w:tcPr>
            <w:tcW w:type="dxa" w:w="2880"/>
          </w:tcPr>
          <w:p>
            <w:r>
              <w:t>ברדיקרדיה סימפטומטית, Mobitz II, CHB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ICD</w:t>
            </w:r>
          </w:p>
        </w:tc>
        <w:tc>
          <w:tcPr>
            <w:tcW w:type="dxa" w:w="2880"/>
          </w:tcPr>
          <w:p>
            <w:r>
              <w:t>מניעת SCD (ראשונית ומשנית)</w:t>
            </w:r>
          </w:p>
        </w:tc>
        <w:tc>
          <w:tcPr>
            <w:tcW w:type="dxa" w:w="2880"/>
          </w:tcPr>
          <w:p>
            <w:r>
              <w:t>LVEF ≤35% (NYHA II-III) או &lt;40% עם NSVT+EP+</w:t>
            </w:r>
          </w:p>
        </w:tc>
      </w:tr>
      <w:tr>
        <w:tc>
          <w:tcPr>
            <w:tcW w:type="dxa" w:w="2880"/>
          </w:tcPr>
          <w:p>
            <w:r>
              <w:t>CRT</w:t>
            </w:r>
          </w:p>
        </w:tc>
        <w:tc>
          <w:tcPr>
            <w:tcW w:type="dxa" w:w="2880"/>
          </w:tcPr>
          <w:p>
            <w:r>
              <w:t>דה-סינכרוניזציה באי-ספיקת לב</w:t>
            </w:r>
          </w:p>
        </w:tc>
        <w:tc>
          <w:tcPr>
            <w:tcW w:type="dxa" w:w="2880"/>
          </w:tcPr>
          <w:p>
            <w:r>
              <w:t>LVEF ≤35%, QRS ≥150ms (LBBB), NYHA II-III</w:t>
            </w:r>
          </w:p>
        </w:tc>
      </w:tr>
    </w:tbl>
    <w:p/>
    <w:p/>
    <w:p>
      <w:pPr>
        <w:pStyle w:val="Heading3"/>
      </w:pPr>
      <w:r>
        <w:t>טבלה 2: "השילוש הקדוש" של CRT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ערך</w:t>
            </w:r>
          </w:p>
        </w:tc>
      </w:tr>
      <w:tr>
        <w:tc>
          <w:tcPr>
            <w:tcW w:type="dxa" w:w="4320"/>
          </w:tcPr>
          <w:p>
            <w:r>
              <w:t>LVEF</w:t>
            </w:r>
          </w:p>
        </w:tc>
        <w:tc>
          <w:tcPr>
            <w:tcW w:type="dxa" w:w="4320"/>
          </w:tcPr>
          <w:p>
            <w:r>
              <w:t>≤35%</w:t>
            </w:r>
          </w:p>
        </w:tc>
      </w:tr>
      <w:tr>
        <w:tc>
          <w:tcPr>
            <w:tcW w:type="dxa" w:w="4320"/>
          </w:tcPr>
          <w:p>
            <w:r>
              <w:t>QRS</w:t>
            </w:r>
          </w:p>
        </w:tc>
        <w:tc>
          <w:tcPr>
            <w:tcW w:type="dxa" w:w="4320"/>
          </w:tcPr>
          <w:p>
            <w:r>
              <w:t>≥150ms (יעיל במיוחד ב-LBBB)</w:t>
            </w:r>
          </w:p>
        </w:tc>
      </w:tr>
      <w:tr>
        <w:tc>
          <w:tcPr>
            <w:tcW w:type="dxa" w:w="4320"/>
          </w:tcPr>
          <w:p>
            <w:r>
              <w:t>תסמיני אי-ספיקת לב</w:t>
            </w:r>
          </w:p>
        </w:tc>
        <w:tc>
          <w:tcPr>
            <w:tcW w:type="dxa" w:w="4320"/>
          </w:tcPr>
          <w:p>
            <w:r>
              <w:t>NYHA II–III</w:t>
            </w:r>
          </w:p>
        </w:tc>
      </w:tr>
    </w:tbl>
    <w:p/>
    <w:p/>
    <w:p>
      <w:pPr>
        <w:pStyle w:val="Heading3"/>
      </w:pPr>
      <w:r>
        <w:t>טבלה 3: תקופות המתנה ל-ICD (Waiting Periods)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אירוע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המתנה נדרשת</w:t>
            </w:r>
          </w:p>
        </w:tc>
      </w:tr>
      <w:tr>
        <w:tc>
          <w:tcPr>
            <w:tcW w:type="dxa" w:w="4320"/>
          </w:tcPr>
          <w:p>
            <w:r>
              <w:t>MI חריף</w:t>
            </w:r>
          </w:p>
        </w:tc>
        <w:tc>
          <w:tcPr>
            <w:tcW w:type="dxa" w:w="4320"/>
          </w:tcPr>
          <w:p>
            <w:r>
              <w:t>40 יום (DINAMIT trial)</w:t>
            </w:r>
          </w:p>
        </w:tc>
      </w:tr>
      <w:tr>
        <w:tc>
          <w:tcPr>
            <w:tcW w:type="dxa" w:w="4320"/>
          </w:tcPr>
          <w:p>
            <w:r>
              <w:t>CABG/PCI</w:t>
            </w:r>
          </w:p>
        </w:tc>
        <w:tc>
          <w:tcPr>
            <w:tcW w:type="dxa" w:w="4320"/>
          </w:tcPr>
          <w:p>
            <w:r>
              <w:t>90 יום (3 חודשים)</w:t>
            </w:r>
          </w:p>
        </w:tc>
      </w:tr>
      <w:tr>
        <w:tc>
          <w:tcPr>
            <w:tcW w:type="dxa" w:w="4320"/>
          </w:tcPr>
          <w:p>
            <w:r>
              <w:t>Incessant VT</w:t>
            </w:r>
          </w:p>
        </w:tc>
        <w:tc>
          <w:tcPr>
            <w:tcW w:type="dxa" w:w="4320"/>
          </w:tcPr>
          <w:p>
            <w:r>
              <w:t>אבלציה/תרופות קודם</w:t>
            </w:r>
          </w:p>
        </w:tc>
      </w:tr>
      <w:tr>
        <w:tc>
          <w:tcPr>
            <w:tcW w:type="dxa" w:w="4320"/>
          </w:tcPr>
          <w:p>
            <w:r>
              <w:t>NYHA IV ללא אפשרות השתלה/LVAD</w:t>
            </w:r>
          </w:p>
        </w:tc>
        <w:tc>
          <w:tcPr>
            <w:tcW w:type="dxa" w:w="4320"/>
          </w:tcPr>
          <w:p>
            <w:r>
              <w:t>התווית נגד יחסית</w:t>
            </w:r>
          </w:p>
        </w:tc>
      </w:tr>
    </w:tbl>
    <w:p/>
    <w:p/>
    <w:p>
      <w:pPr>
        <w:pStyle w:val="Heading3"/>
      </w:pPr>
      <w:r>
        <w:t>טבלה 4: Magnet Effect — השוואה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מכשיר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השפעת מגנט</w:t>
            </w:r>
          </w:p>
        </w:tc>
      </w:tr>
      <w:tr>
        <w:tc>
          <w:tcPr>
            <w:tcW w:type="dxa" w:w="4320"/>
          </w:tcPr>
          <w:p>
            <w:r>
              <w:t>Pacemaker</w:t>
            </w:r>
          </w:p>
        </w:tc>
        <w:tc>
          <w:tcPr>
            <w:tcW w:type="dxa" w:w="4320"/>
          </w:tcPr>
          <w:p>
            <w:r>
              <w:t>קיצוב אסינכרוני (VOO/AOO) בקצב קבוע</w:t>
            </w:r>
          </w:p>
        </w:tc>
      </w:tr>
      <w:tr>
        <w:tc>
          <w:tcPr>
            <w:tcW w:type="dxa" w:w="4320"/>
          </w:tcPr>
          <w:p>
            <w:r>
              <w:t>ICD</w:t>
            </w:r>
          </w:p>
        </w:tc>
        <w:tc>
          <w:tcPr>
            <w:tcW w:type="dxa" w:w="4320"/>
          </w:tcPr>
          <w:p>
            <w:r>
              <w:t>ניטרול Anti-tachycardia therapy בלבד — לא קיצוב אסינכרוני</w:t>
            </w:r>
          </w:p>
        </w:tc>
      </w:tr>
      <w:tr>
        <w:tc>
          <w:tcPr>
            <w:tcW w:type="dxa" w:w="4320"/>
          </w:tcPr>
          <w:p>
            <w:r>
              <w:t>ICD + קיצוב אסינכרוני</w:t>
            </w:r>
          </w:p>
        </w:tc>
        <w:tc>
          <w:tcPr>
            <w:tcW w:type="dxa" w:w="4320"/>
          </w:tcPr>
          <w:p>
            <w:r>
              <w:t>חייב תכנות מחדש (Reprogramming)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🔴 המלכודות הנפוצות ביותר בשלב א׳:</w:t>
      </w:r>
    </w:p>
    <w:p/>
    <w:p>
      <w:pPr>
        <w:pStyle w:val="ListNumber"/>
      </w:pPr>
      <w:r/>
      <w:r>
        <w:rPr>
          <w:b/>
        </w:rPr>
        <w:t>CRT-dependent = Pacemaker-dependent</w:t>
      </w:r>
      <w:r>
        <w:t xml:space="preserve"> — גם אם יש קצב סינוס תקין ו-AV Conduction תקין, חולה CRT תלוי בסנכרון דו-חדרי. אובדן קיצוב → הידרדרות המודינמית מיידית</w:t>
      </w:r>
    </w:p>
    <w:p/>
    <w:p>
      <w:pPr>
        <w:pStyle w:val="ListNumber"/>
      </w:pPr>
      <w:r/>
      <w:r>
        <w:rPr>
          <w:b/>
        </w:rPr>
        <w:t>ICD לא מונע MI ולא משפר EF</w:t>
      </w:r>
      <w:r>
        <w:t xml:space="preserve"> — ICD מונע מוות ממוות קצבי בלבד. שיפור EF = CRT. מניעת MI = תרופות/Revascularization</w:t>
      </w:r>
    </w:p>
    <w:p/>
    <w:p>
      <w:pPr>
        <w:pStyle w:val="ListNumber"/>
      </w:pPr>
      <w:r/>
      <w:r>
        <w:rPr>
          <w:b/>
        </w:rPr>
        <w:t>EF &lt;40% vs. &lt;35%:</w:t>
      </w:r>
      <w:r>
        <w:t xml:space="preserve"> הסף הקלאסי הוא </w:t>
      </w:r>
      <w:r>
        <w:rPr>
          <w:b/>
        </w:rPr>
        <w:t>≤35%</w:t>
      </w:r>
      <w:r>
        <w:t xml:space="preserve"> (MADIT-II, SCD-HeFT). EF &lt;40% עם </w:t>
      </w:r>
      <w:r>
        <w:rPr>
          <w:b/>
        </w:rPr>
        <w:t>Nonsustained VT + EP Study חיובי</w:t>
      </w:r>
      <w:r>
        <w:t xml:space="preserve"> הוא סף נפרד (MUSTT). שניהם תקפים — קרא את השאלה בעיון!</w:t>
      </w:r>
    </w:p>
    <w:p/>
    <w:p>
      <w:pPr>
        <w:pStyle w:val="ListNumber"/>
      </w:pPr>
      <w:r/>
      <w:r>
        <w:rPr>
          <w:b/>
        </w:rPr>
        <w:t>Secondary Prevention של ICD:</w:t>
      </w:r>
      <w:r>
        <w:t xml:space="preserve"> שורד דום לב (VF/VT) שלא על רקע הפיך = </w:t>
      </w:r>
      <w:r>
        <w:rPr>
          <w:b/>
        </w:rPr>
        <w:t>Class I, ללא תנאי EF</w:t>
      </w:r>
      <w:r/>
    </w:p>
    <w:p/>
    <w:p>
      <w:pPr>
        <w:pStyle w:val="ListNumber"/>
      </w:pPr>
      <w:r/>
      <w:r>
        <w:rPr>
          <w:b/>
        </w:rPr>
        <w:t>Mobitz I (Wenckebach) אסימפטומטי</w:t>
      </w:r>
      <w:r>
        <w:t xml:space="preserve"> — בדרך כלל </w:t>
      </w:r>
      <w:r>
        <w:rPr>
          <w:b/>
        </w:rPr>
        <w:t>לא</w:t>
      </w:r>
      <w:r>
        <w:t xml:space="preserve"> דורש קוצב. Mobitz II = כן דורש (גם ללא תסמינים)</w:t>
      </w:r>
    </w:p>
    <w:p/>
    <w:p>
      <w:pPr>
        <w:pStyle w:val="ListNumber"/>
      </w:pPr>
      <w:r/>
      <w:r>
        <w:rPr>
          <w:b/>
        </w:rPr>
        <w:t>Inferior MI + AV Block</w:t>
      </w:r>
      <w:r>
        <w:t xml:space="preserve"> — לרוב חסם זמני → </w:t>
      </w:r>
      <w:r>
        <w:rPr>
          <w:b/>
        </w:rPr>
        <w:t>לא</w:t>
      </w:r>
      <w:r>
        <w:t xml:space="preserve"> השתלה, אלא מעקב</w:t>
      </w:r>
    </w:p>
    <w:p/>
    <w:p>
      <w:pPr>
        <w:pStyle w:val="ListNumber"/>
      </w:pPr>
      <w:r/>
      <w:r>
        <w:rPr>
          <w:b/>
        </w:rPr>
        <w:t>דיאתרמיה מתחת לטבור</w:t>
      </w:r>
      <w:r>
        <w:t xml:space="preserve"> — אם פלטת ההארקה גם היא מתחת לטבור, הסיכון ל-EMI נמוך, ולרוב </w:t>
      </w:r>
      <w:r>
        <w:rPr>
          <w:b/>
        </w:rPr>
        <w:t>אין צורך</w:t>
      </w:r>
      <w:r>
        <w:t xml:space="preserve"> בנטרול שגרתי של ICD</w:t>
      </w:r>
    </w:p>
    <w:p/>
    <w:p>
      <w:pPr>
        <w:pStyle w:val="ListNumber"/>
      </w:pPr>
      <w:r/>
      <w:r>
        <w:rPr>
          <w:b/>
        </w:rPr>
        <w:t>בדיקת CIED לפני ניתוח</w:t>
      </w:r>
      <w:r>
        <w:t xml:space="preserve"> — לא חייבת להיות תוך חודש (זהו כלל מחמיר מדי). בדיקה שגרתית אינה הכרחית אם קיים תיעוד עדכני</w:t>
      </w:r>
    </w:p>
    <w:p/>
    <w:p>
      <w:pPr>
        <w:pStyle w:val="ListNumber"/>
      </w:pPr>
      <w:r/>
      <w:r>
        <w:rPr>
          <w:b/>
        </w:rPr>
        <w:t>ESU Dispersive Electrode</w:t>
      </w:r>
      <w:r>
        <w:t xml:space="preserve"> — יש למקם כך שהזרם לא יעבור דרך מעגל Generator–Lead–Heart</w:t>
      </w:r>
    </w:p>
    <w:p/>
    <w:p>
      <w:pPr>
        <w:pStyle w:val="ListNumber"/>
      </w:pPr>
      <w:r/>
      <w:r>
        <w:rPr>
          <w:b/>
        </w:rPr>
        <w:t>Minute Ventilation Rate Response</w:t>
      </w:r>
      <w:r>
        <w:t xml:space="preserve"> — חייב להיות מכובה לפני ניתוח (גורם ל-Oversensing מהנשמה מלאכותית)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65 עם EF 32%, LBBB עם QRS של 160ms, ו-NYHA Class III למרות טיפול תרופתי מיטבי. איזה מכשיר מומלץ?</w:t>
      </w:r>
    </w:p>
    <w:p/>
    <w:p>
      <w:pPr>
        <w:pStyle w:val="Quote"/>
      </w:pPr>
      <w:r>
        <w:t>תשובה: CRT-D (שילוב של CRT + ICD) — עומד בכל קריטריוני ה"שילוש הקדוש" של CRT, וגם ב-EF ≤35% לאינדיקציית ICD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חולה עם ICD מושתל עומד לעבור ניתוח לפרוסטטה (מתחת לטבור). מה ההמלצה לגבי המכשיר?</w:t>
      </w:r>
    </w:p>
    <w:p/>
    <w:p>
      <w:pPr>
        <w:pStyle w:val="Quote"/>
      </w:pPr>
      <w:r>
        <w:t>תשובה: ניתוח מתחת לטבור עם פלטת הארקה מתחת לטבור → סיכון EMI נמוך → לרוב אין צורך בנטרול שגרתי. יש לוודא ניטור קצב מתאים (Pulse ox / art line)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איזה מבין המטופלים הבאים מוגדר כ-Pacemaker-Dependent?</w:t>
      </w:r>
    </w:p>
    <w:p>
      <w:r>
        <w:t>א. מטופל לאחר AV Nodal Ablation בשל Refractory SVT</w:t>
      </w:r>
    </w:p>
    <w:p>
      <w:r>
        <w:t>ב. מטופל עם Paroxysmal AF ללא מכשיר מושתל</w:t>
      </w:r>
    </w:p>
    <w:p>
      <w:r>
        <w:t>ג. מטופל עם Mobitz I אסימפטומטי</w:t>
      </w:r>
    </w:p>
    <w:p>
      <w:r>
        <w:t>ד. מטופל עם Sick Sinus Syndrome מתון</w:t>
      </w:r>
    </w:p>
    <w:p/>
    <w:p>
      <w:pPr>
        <w:pStyle w:val="Quote"/>
      </w:pPr>
      <w:r>
        <w:t>תשובה: א — AV Nodal Ablation יוצרת CHB איאטרוגני מוחלט; החולה תלוי לגמרי בקוצב. ללא קוצב → קצב מילוט חדרי בלתי אמין או אסיסטולה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מטופל סבל מ-MI חריף לפני 30 יום, EF 30%, ו-NYHA II. האם יש אינדיקציה להשתלת ICD עכשיו?</w:t>
      </w:r>
    </w:p>
    <w:p/>
    <w:p>
      <w:pPr>
        <w:pStyle w:val="Quote"/>
      </w:pPr>
      <w:r>
        <w:t>תשובה: לא — Waiting Period לאחר MI חריף הוא 40 יום (מבוסס על DINAMIT trial). יש לחכות עד יום 40+ ולהעריך מחדש את ה-EF לאחר טיפול מיטבי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בניתוח בטן עליונה בחולה עם ICD, הדיאתרמיה המונופולרית גורמת למכשיר לספק שוקים חשמליים חוזרים. מה הטעות שנעשתה ומה הפתרון?</w:t>
      </w:r>
    </w:p>
    <w:p/>
    <w:p>
      <w:pPr>
        <w:pStyle w:val="Quote"/>
      </w:pPr>
      <w:r>
        <w:t>תשובה: הטעות — לא ניוטרל ה-ICD לפני ניתוח מעל הטבור עם דיאתרמיה. EMI → Oversensing → פרשנות שגויה כ-VF → Inappropriate Shock.</w:t>
      </w:r>
    </w:p>
    <w:p>
      <w:pPr>
        <w:pStyle w:val="Quote"/>
      </w:pPr>
      <w:r>
        <w:t>פתרון: נטרול Anti-tachycardia therapy (מגנט או תכנות מחדש) לפני הניתוח. ניטור חיצוני רציף. החזרת הפונקציה לאחר הניתוח עם Interrogation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`Clinical Guidelines for Cardiac Device Implantation.docx`</w:t>
      </w:r>
    </w:p>
    <w:p>
      <w:pPr>
        <w:pStyle w:val="ListBullet"/>
      </w:pPr>
      <w:r>
        <w:t>`הגדרת חולים תלויי-קוצב בניהול טרום-ניתוחי.docx`</w:t>
      </w:r>
    </w:p>
    <w:p>
      <w:pPr>
        <w:pStyle w:val="ListBullet"/>
      </w:pPr>
      <w:r>
        <w:t>`Clinical Indications for Implantable Cardioverter Defibrillator Placement.docx`</w:t>
      </w:r>
    </w:p>
    <w:p>
      <w:pPr>
        <w:pStyle w:val="ListBullet"/>
      </w:pPr>
      <w:r>
        <w:t>`ניהול דפיברילטורים מושתלים במהלך ניתוח מעל גובה הטבור.docx`</w:t>
      </w:r>
    </w:p>
    <w:p>
      <w:pPr>
        <w:pStyle w:val="ListBullet"/>
      </w:pPr>
      <w:r>
        <w:t>`תפקיד ה-ICD במניעת מוות לבבי פתאומי והפרעות קצב חדריות.docx`</w:t>
      </w:r>
    </w:p>
    <w:p>
      <w:pPr>
        <w:pStyle w:val="ListBullet"/>
      </w:pPr>
      <w:r>
        <w:t>`Radiographic Identification of Cardiac Resynchronization Therapy Devices.docx`</w:t>
      </w:r>
    </w:p>
    <w:p>
      <w:pPr>
        <w:pStyle w:val="ListBullet"/>
      </w:pPr>
      <w:r>
        <w:t>`Perioperative Management of Cardiac Implantable Electronic Devices.docx`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Ch.34 — Implantable Cardiac Pulse Generators_ Pacemakers and Cardioverter-Defibrillators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