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39. Neuromuscular Monitoring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Objective monitoring חובה</w:t>
      </w:r>
      <w:r>
        <w:t>: אי אפשר לשלול Residual Neuromuscular Block (RNMB) קלינית בלבד — בדיקה קלינית (הרמת ראש ל-5 שניות, Grip strength) אינה מספיקה; נדרש מוניטור אובייקטיבי (Acceleromyography / Mechanomyography)</w:t>
      </w:r>
    </w:p>
    <w:p>
      <w:pPr>
        <w:pStyle w:val="ListBullet"/>
      </w:pPr>
      <w:r/>
      <w:r>
        <w:rPr>
          <w:b/>
        </w:rPr>
        <w:t>הגדרת RNMB</w:t>
      </w:r>
      <w:r>
        <w:t>: TOF Ratio &lt; 0.9 — זהו סף הבטיחות הקליני המקובל כיום; מתחת לסף זה קיים סיכון לסיבוכים נשימתיים</w:t>
      </w:r>
    </w:p>
    <w:p>
      <w:pPr>
        <w:pStyle w:val="ListBullet"/>
      </w:pPr>
      <w:r/>
      <w:r>
        <w:rPr>
          <w:b/>
        </w:rPr>
        <w:t>Margin of Safety</w:t>
      </w:r>
      <w:r>
        <w:t xml:space="preserve">: ניתן לחסום עד </w:t>
      </w:r>
      <w:r>
        <w:rPr>
          <w:b/>
        </w:rPr>
        <w:t>70–75%</w:t>
      </w:r>
      <w:r>
        <w:t xml:space="preserve"> מהרצפטורים ועדיין לראות תגובה תקינה במוניטור — המוניטור "עיוור" מתחת ל-70% תפוסה</w:t>
      </w:r>
    </w:p>
    <w:p>
      <w:pPr>
        <w:pStyle w:val="ListBullet"/>
      </w:pPr>
      <w:r/>
      <w:r>
        <w:rPr>
          <w:b/>
        </w:rPr>
        <w:t>חלון הניטור</w:t>
      </w:r>
      <w:r>
        <w:t xml:space="preserve">: המוניטור הסטנדרטי רגיש רק לטווח </w:t>
      </w:r>
      <w:r>
        <w:rPr>
          <w:b/>
        </w:rPr>
        <w:t>70%–95%</w:t>
      </w:r>
      <w:r>
        <w:t xml:space="preserve"> תפוסת רצפטורים (Receptor Occupancy)</w:t>
      </w:r>
    </w:p>
    <w:p>
      <w:pPr>
        <w:pStyle w:val="ListBullet"/>
      </w:pPr>
      <w:r/>
      <w:r>
        <w:rPr>
          <w:b/>
        </w:rPr>
        <w:t>Phase I Block (Succinylcholine)</w:t>
      </w:r>
      <w:r>
        <w:t xml:space="preserve">: אין Fade — TOF Ratio נשאר 1.0 גם בשיתוק חלקי; המדד היחיד הרגיש הוא </w:t>
      </w:r>
      <w:r>
        <w:rPr>
          <w:b/>
        </w:rPr>
        <w:t>Single Twitch Height</w:t>
      </w:r>
      <w:r/>
    </w:p>
    <w:p>
      <w:pPr>
        <w:pStyle w:val="ListBullet"/>
      </w:pPr>
      <w:r/>
      <w:r>
        <w:rPr>
          <w:b/>
        </w:rPr>
        <w:t>Deep Block</w:t>
      </w:r>
      <w:r>
        <w:t xml:space="preserve">: כאשר TOF Count = 0, המדד היחיד להערכת עומק השיתוק הוא </w:t>
      </w:r>
      <w:r>
        <w:rPr>
          <w:b/>
        </w:rPr>
        <w:t>Posttetanic Count (PTC)</w:t>
      </w:r>
      <w:r/>
    </w:p>
    <w:p>
      <w:pPr>
        <w:pStyle w:val="ListBullet"/>
      </w:pPr>
      <w:r/>
      <w:r>
        <w:rPr>
          <w:b/>
        </w:rPr>
        <w:t>RNMB גורם ל</w:t>
      </w:r>
      <w:r>
        <w:t>: ירידה ב-Chemoreceptor sensitivity להיפוקסיה, פגיעה בשרירי הלוע (Pharyngeal muscles), חסימת נתיב אוויר עליון, ועלייה בסיכון לאספירציה ו-Pulmonary complications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ספי TOF Ratio — היררכיית ההתאוששות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TOF Ratio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 קלינית</w:t>
            </w:r>
          </w:p>
        </w:tc>
      </w:tr>
      <w:tr>
        <w:tc>
          <w:tcPr>
            <w:tcW w:type="dxa" w:w="4320"/>
          </w:tcPr>
          <w:p>
            <w:r>
              <w:t>&lt; 0.7</w:t>
            </w:r>
          </w:p>
        </w:tc>
        <w:tc>
          <w:tcPr>
            <w:tcW w:type="dxa" w:w="4320"/>
          </w:tcPr>
          <w:p>
            <w:r>
              <w:t>Vital Capacity מופחת; Grip strength ~60% נורמה; חולשה קלינית ברורה</w:t>
            </w:r>
          </w:p>
        </w:tc>
      </w:tr>
      <w:tr>
        <w:tc>
          <w:tcPr>
            <w:tcW w:type="dxa" w:w="4320"/>
          </w:tcPr>
          <w:p>
            <w:r>
              <w:t>0.7</w:t>
            </w:r>
          </w:p>
        </w:tc>
        <w:tc>
          <w:tcPr>
            <w:tcW w:type="dxa" w:w="4320"/>
          </w:tcPr>
          <w:p>
            <w:r>
              <w:t>המטופל מסוגל להרים ראש ל-5 שניות (בדיקה לא רגישה מספיק)</w:t>
            </w:r>
          </w:p>
        </w:tc>
      </w:tr>
      <w:tr>
        <w:tc>
          <w:tcPr>
            <w:tcW w:type="dxa" w:w="4320"/>
          </w:tcPr>
          <w:p>
            <w:r>
              <w:t>0.8</w:t>
            </w:r>
          </w:p>
        </w:tc>
        <w:tc>
          <w:tcPr>
            <w:tcW w:type="dxa" w:w="4320"/>
          </w:tcPr>
          <w:p>
            <w:r>
              <w:t>Vital Capacity ו-Inspiratory Force חוזרים לנורמה; עדיין: Diplopia, חולשת שרירי פנים</w:t>
            </w:r>
          </w:p>
        </w:tc>
      </w:tr>
      <w:tr>
        <w:tc>
          <w:tcPr>
            <w:tcW w:type="dxa" w:w="4320"/>
          </w:tcPr>
          <w:p>
            <w:r>
              <w:t>0.9</w:t>
            </w:r>
          </w:p>
        </w:tc>
        <w:tc>
          <w:tcPr>
            <w:tcW w:type="dxa" w:w="4320"/>
          </w:tcPr>
          <w:p>
            <w:r>
              <w:t>שרירי Pharynx ו-Upper Esophagus חוזרים לתפקוד תקין — סף הבטיחות לאקסטובציה</w:t>
            </w:r>
          </w:p>
        </w:tc>
      </w:tr>
      <w:tr>
        <w:tc>
          <w:tcPr>
            <w:tcW w:type="dxa" w:w="4320"/>
          </w:tcPr>
          <w:p>
            <w:r>
              <w:t>≥ 0.9</w:t>
            </w:r>
          </w:p>
        </w:tc>
        <w:tc>
          <w:tcPr>
            <w:tcW w:type="dxa" w:w="4320"/>
          </w:tcPr>
          <w:p>
            <w:r>
              <w:t>ניתן לשלול RNMB קלינית משמעותית</w:t>
            </w:r>
          </w:p>
        </w:tc>
      </w:tr>
    </w:tbl>
    <w:p/>
    <w:p/>
    <w:p>
      <w:pPr>
        <w:pStyle w:val="Heading3"/>
      </w:pPr>
      <w:r>
        <w:t>עומק השיתוק — Depth of Block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רמת שיתוק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הגדרה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מדד מתאים</w:t>
            </w:r>
          </w:p>
        </w:tc>
      </w:tr>
      <w:tr>
        <w:tc>
          <w:tcPr>
            <w:tcW w:type="dxa" w:w="2880"/>
          </w:tcPr>
          <w:p>
            <w:r>
              <w:t>Intense Block</w:t>
            </w:r>
          </w:p>
        </w:tc>
        <w:tc>
          <w:tcPr>
            <w:tcW w:type="dxa" w:w="2880"/>
          </w:tcPr>
          <w:p>
            <w:r>
              <w:t>PTC = 0</w:t>
            </w:r>
          </w:p>
        </w:tc>
        <w:tc>
          <w:tcPr>
            <w:tcW w:type="dxa" w:w="2880"/>
          </w:tcPr>
          <w:p>
            <w:r>
              <w:t>PTC בלבד</w:t>
            </w:r>
          </w:p>
        </w:tc>
      </w:tr>
      <w:tr>
        <w:tc>
          <w:tcPr>
            <w:tcW w:type="dxa" w:w="2880"/>
          </w:tcPr>
          <w:p>
            <w:r>
              <w:t>Deep Block</w:t>
            </w:r>
          </w:p>
        </w:tc>
        <w:tc>
          <w:tcPr>
            <w:tcW w:type="dxa" w:w="2880"/>
          </w:tcPr>
          <w:p>
            <w:r>
              <w:t>PTC ≥ 1, TOF Count = 0</w:t>
            </w:r>
          </w:p>
        </w:tc>
        <w:tc>
          <w:tcPr>
            <w:tcW w:type="dxa" w:w="2880"/>
          </w:tcPr>
          <w:p>
            <w:r>
              <w:t>PTC</w:t>
            </w:r>
          </w:p>
        </w:tc>
      </w:tr>
      <w:tr>
        <w:tc>
          <w:tcPr>
            <w:tcW w:type="dxa" w:w="2880"/>
          </w:tcPr>
          <w:p>
            <w:r>
              <w:t>Moderate Block</w:t>
            </w:r>
          </w:p>
        </w:tc>
        <w:tc>
          <w:tcPr>
            <w:tcW w:type="dxa" w:w="2880"/>
          </w:tcPr>
          <w:p>
            <w:r>
              <w:t>TOF Count 1–3</w:t>
            </w:r>
          </w:p>
        </w:tc>
        <w:tc>
          <w:tcPr>
            <w:tcW w:type="dxa" w:w="2880"/>
          </w:tcPr>
          <w:p>
            <w:r>
              <w:t>TOF Count</w:t>
            </w:r>
          </w:p>
        </w:tc>
      </w:tr>
      <w:tr>
        <w:tc>
          <w:tcPr>
            <w:tcW w:type="dxa" w:w="2880"/>
          </w:tcPr>
          <w:p>
            <w:r>
              <w:t>Shallow Block</w:t>
            </w:r>
          </w:p>
        </w:tc>
        <w:tc>
          <w:tcPr>
            <w:tcW w:type="dxa" w:w="2880"/>
          </w:tcPr>
          <w:p>
            <w:r>
              <w:t>TOF Count = 4 + Fade (Ratio &lt; 0.9)</w:t>
            </w:r>
          </w:p>
        </w:tc>
        <w:tc>
          <w:tcPr>
            <w:tcW w:type="dxa" w:w="2880"/>
          </w:tcPr>
          <w:p>
            <w:r>
              <w:t>TOF Ratio</w:t>
            </w:r>
          </w:p>
        </w:tc>
      </w:tr>
      <w:tr>
        <w:tc>
          <w:tcPr>
            <w:tcW w:type="dxa" w:w="2880"/>
          </w:tcPr>
          <w:p>
            <w:r>
              <w:t>Minimal/No Block</w:t>
            </w:r>
          </w:p>
        </w:tc>
        <w:tc>
          <w:tcPr>
            <w:tcW w:type="dxa" w:w="2880"/>
          </w:tcPr>
          <w:p>
            <w:r>
              <w:t>TOF Ratio ≥ 0.9</w:t>
            </w:r>
          </w:p>
        </w:tc>
        <w:tc>
          <w:tcPr>
            <w:tcW w:type="dxa" w:w="2880"/>
          </w:tcPr>
          <w:p>
            <w:r>
              <w:t>TOF Ratio</w:t>
            </w:r>
          </w:p>
        </w:tc>
      </w:tr>
    </w:tbl>
    <w:p/>
    <w:p/>
    <w:p>
      <w:pPr>
        <w:pStyle w:val="Heading3"/>
      </w:pPr>
      <w:r>
        <w:t>PTC — Posttetanic Count ופרשנותו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PTC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Intense Block — חזרת TOF רחוקה מאוד</w:t>
            </w:r>
          </w:p>
        </w:tc>
      </w:tr>
      <w:tr>
        <w:tc>
          <w:tcPr>
            <w:tcW w:type="dxa" w:w="4320"/>
          </w:tcPr>
          <w:p>
            <w:r>
              <w:t>1–2</w:t>
            </w:r>
          </w:p>
        </w:tc>
        <w:tc>
          <w:tcPr>
            <w:tcW w:type="dxa" w:w="4320"/>
          </w:tcPr>
          <w:p>
            <w:r>
              <w:t>Deep Block — זמן חזרה ממושך</w:t>
            </w:r>
          </w:p>
        </w:tc>
      </w:tr>
      <w:tr>
        <w:tc>
          <w:tcPr>
            <w:tcW w:type="dxa" w:w="4320"/>
          </w:tcPr>
          <w:p>
            <w:r>
              <w:t>8–10</w:t>
            </w:r>
          </w:p>
        </w:tc>
        <w:tc>
          <w:tcPr>
            <w:tcW w:type="dxa" w:w="4320"/>
          </w:tcPr>
          <w:p>
            <w:r>
              <w:t>חזרת TOF קרובה מאוד (Imminent)</w:t>
            </w:r>
          </w:p>
        </w:tc>
      </w:tr>
    </w:tbl>
    <w:p/>
    <w:p/>
    <w:p>
      <w:pPr>
        <w:pStyle w:val="Quote"/>
      </w:pPr>
      <w:r>
        <w:t>פרוטוקול PTC: גירוי טטני 50 Hz × 5 שניות → הפסקה 3 שניות → גירויים בודדים 1 Hz × 15</w:t>
      </w:r>
    </w:p>
    <w:p/>
    <w:p>
      <w:pPr>
        <w:pStyle w:val="Heading3"/>
      </w:pPr>
      <w:r>
        <w:t>חלון תפוסת הרצפטורים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תפוסת רצפטורים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תגובת המוניטור</w:t>
            </w:r>
          </w:p>
        </w:tc>
      </w:tr>
      <w:tr>
        <w:tc>
          <w:tcPr>
            <w:tcW w:type="dxa" w:w="4320"/>
          </w:tcPr>
          <w:p>
            <w:r>
              <w:t>0–70%</w:t>
            </w:r>
          </w:p>
        </w:tc>
        <w:tc>
          <w:tcPr>
            <w:tcW w:type="dxa" w:w="4320"/>
          </w:tcPr>
          <w:p>
            <w:r>
              <w:t>False Normal — תגובה תקינה (Blind Spot)</w:t>
            </w:r>
          </w:p>
        </w:tc>
      </w:tr>
      <w:tr>
        <w:tc>
          <w:tcPr>
            <w:tcW w:type="dxa" w:w="4320"/>
          </w:tcPr>
          <w:p>
            <w:r>
              <w:t>70–95%</w:t>
            </w:r>
          </w:p>
        </w:tc>
        <w:tc>
          <w:tcPr>
            <w:tcW w:type="dxa" w:w="4320"/>
          </w:tcPr>
          <w:p>
            <w:r>
              <w:t>שינוי נראה — זהו חלון הניטור האפקטיבי</w:t>
            </w:r>
          </w:p>
        </w:tc>
      </w:tr>
      <w:tr>
        <w:tc>
          <w:tcPr>
            <w:tcW w:type="dxa" w:w="4320"/>
          </w:tcPr>
          <w:p>
            <w:r>
              <w:t>&gt; 95%</w:t>
            </w:r>
          </w:p>
        </w:tc>
        <w:tc>
          <w:tcPr>
            <w:tcW w:type="dxa" w:w="4320"/>
          </w:tcPr>
          <w:p>
            <w:r>
              <w:t>Complete Block — TOF Count = 0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⚠️ מלכודות בבחינה — Counterintuitive Facts</w:t>
      </w:r>
    </w:p>
    <w:p/>
    <w:p>
      <w:pPr>
        <w:pStyle w:val="ListNumber"/>
      </w:pPr>
      <w:r/>
      <w:r>
        <w:rPr>
          <w:b/>
        </w:rPr>
        <w:t>הרמת ראש ל-5 שניות ≠ התאוששות מלאה</w:t>
      </w:r>
      <w:r>
        <w:t>: בדיקה זו אפשרית כבר ב-TOF Ratio 0.7, אך זרימת האוויר העליונה עדיין בסיכון עד TOF &gt; 0.9</w:t>
      </w:r>
    </w:p>
    <w:p/>
    <w:p>
      <w:pPr>
        <w:pStyle w:val="ListNumber"/>
      </w:pPr>
      <w:r/>
      <w:r>
        <w:rPr>
          <w:b/>
        </w:rPr>
        <w:t>Absence of tactile fade ≠ בטיחות</w:t>
      </w:r>
      <w:r>
        <w:t xml:space="preserve">: אי-זיהוי Fade ב-TOF, Tetanus, ו-DBS ידנית (tactile/visual) </w:t>
      </w:r>
      <w:r>
        <w:rPr>
          <w:b/>
        </w:rPr>
        <w:t>אינו שולל</w:t>
      </w:r>
      <w:r>
        <w:t xml:space="preserve"> RNMB משמעותי — נדרש מוניטור כמותי (Quantitative)</w:t>
      </w:r>
    </w:p>
    <w:p/>
    <w:p>
      <w:pPr>
        <w:pStyle w:val="ListNumber"/>
      </w:pPr>
      <w:r/>
      <w:r>
        <w:rPr>
          <w:b/>
        </w:rPr>
        <w:t>Succinylcholine — Phase I Block</w:t>
      </w:r>
      <w:r>
        <w:t xml:space="preserve">: TOF Ratio = 1.0 גם בשיתוק! הדרך היחידה לכמת: </w:t>
      </w:r>
      <w:r>
        <w:rPr>
          <w:b/>
        </w:rPr>
        <w:t>Single Twitch stimulation</w:t>
      </w:r>
      <w:r>
        <w:t>. DBS ו-TOF ratio יראו "תקין" למרות שיתוק חלקי</w:t>
      </w:r>
    </w:p>
    <w:p/>
    <w:p>
      <w:pPr>
        <w:pStyle w:val="ListNumber"/>
      </w:pPr>
      <w:r/>
      <w:r>
        <w:rPr>
          <w:b/>
        </w:rPr>
        <w:t>Supramaximal Stimulation</w:t>
      </w:r>
      <w:r>
        <w:t xml:space="preserve">: יש להשתמש בעוצמת גירוי </w:t>
      </w:r>
      <w:r>
        <w:rPr>
          <w:b/>
        </w:rPr>
        <w:t>20–25% מעל הסף</w:t>
      </w:r>
      <w:r>
        <w:t xml:space="preserve"> (Supramaximal) כדי להבטיח גיוס כל סיבי השריר ותוצאה ניתנת לשחזור</w:t>
      </w:r>
    </w:p>
    <w:p/>
    <w:p>
      <w:pPr>
        <w:pStyle w:val="ListNumber"/>
      </w:pPr>
      <w:r/>
      <w:r>
        <w:rPr>
          <w:b/>
        </w:rPr>
        <w:t>DBS עדיף על TOF (גישוש ידני)</w:t>
      </w:r>
      <w:r>
        <w:t xml:space="preserve">: Double Burst Stimulation מזהה Fade ידנית (tactile) טוב יותר מ-TOF, אך </w:t>
      </w:r>
      <w:r>
        <w:rPr>
          <w:b/>
        </w:rPr>
        <w:t>שניהם נחותים</w:t>
      </w:r>
      <w:r>
        <w:t xml:space="preserve"> לעומת מדידה אובייקטיבית כמותית</w:t>
      </w:r>
    </w:p>
    <w:p/>
    <w:p>
      <w:pPr>
        <w:pStyle w:val="ListNumber"/>
      </w:pPr>
      <w:r/>
      <w:r>
        <w:rPr>
          <w:b/>
        </w:rPr>
        <w:t>Inhalational Agents מגבירים שיתוק</w:t>
      </w:r>
      <w:r>
        <w:t>: גזים נשאפים עושים Potentiation — מאריכים את משך השיתוק ומעכבים התאוששות; TIVA מפחיתה סיכון ל-RNMB</w:t>
      </w:r>
    </w:p>
    <w:p/>
    <w:p>
      <w:pPr>
        <w:pStyle w:val="ListNumber"/>
      </w:pPr>
      <w:r/>
      <w:r>
        <w:rPr>
          <w:b/>
        </w:rPr>
        <w:t>Pancuronium = סיכון גבוה ל-RNMB</w:t>
      </w:r>
      <w:r>
        <w:t>: תרופות Long-acting (Pancuronium) מעלות משמעותית את הסיכון לעומת Intermediate-acting (Rocuronium, Vecuronium, Atracurium)</w:t>
      </w:r>
    </w:p>
    <w:p/>
    <w:p>
      <w:pPr>
        <w:pStyle w:val="ListNumber"/>
      </w:pPr>
      <w:r/>
      <w:r>
        <w:rPr>
          <w:b/>
        </w:rPr>
        <w:t>Myasthenia Gravis</w:t>
      </w:r>
      <w:r>
        <w:t>: רגישות מוגברת ל-NDMR (Non-Depolarizing Muscle Relaxants) — מינונים קטנים מאוד עלולים לגרום לשיתוק ממושך</w:t>
      </w:r>
    </w:p>
    <w:p/>
    <w:p>
      <w:pPr>
        <w:pStyle w:val="ListNumber"/>
      </w:pPr>
      <w:r/>
      <w:r>
        <w:rPr>
          <w:b/>
        </w:rPr>
        <w:t>גיל מבוגר + אי-ספיקת כליות/כבד</w:t>
      </w:r>
      <w:r>
        <w:t>: Clearance מופחת → סיכון מוגבר ל-RNMB; רק Atracurium/Cisatracurium (Hofmann elimination) אינם תלויים באיברים</w:t>
      </w:r>
    </w:p>
    <w:p/>
    <w:p>
      <w:pPr>
        <w:pStyle w:val="ListNumber"/>
      </w:pPr>
      <w:r/>
      <w:r>
        <w:rPr>
          <w:b/>
        </w:rPr>
        <w:t>PTC לא מחליף TOF</w:t>
      </w:r>
      <w:r>
        <w:t>: PTC מוגדר רק ל-Deep Block (TOF Count = 0); אין טעם לבצע PTC כאשר קיים TOF Count ≥ 1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מטופל עם TOF Count = 0 בסוף הניתוח. איזה מדד ניטור תשתמש בו להערכת עומק השיתוק?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Posttetanic Count (PTC)</w:t>
      </w:r>
      <w:r>
        <w:t xml:space="preserve"> — זהו המדד היחיד שיכול להעריך עומק שיתוק ולנבא את הזמן עד חזרת TOF כאשר TOF Count = 0. PTC 8–10 מרמז על חזרת TOF קרובה; PTC = 0 (Intense Block) מצביע על שיתוק עמוק מאוד.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מהו ה-TOF Ratio המינימלי הנדרש לאקסטובציה בטוחה, ומדוע TOF Ratio 0.8 אינו מספיק?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TOF Ratio ≥ 0.9</w:t>
      </w:r>
      <w:r>
        <w:t>. בסף 0.8, Vital Capacity ו-Inspiratory Force חוזרים לנורמה, אך שרירי הלוע (Pharynx) ו-Upper Esophagus עדיין לקויים. מתחת ל-0.9 קיים סיכון לאספירציה, חסימת נתיב אוויר, וירידה ב-Hypoxic ventilatory drive. אקסטובציה בטוחה דורשת TOF Ratio &gt; 0.9 בניטור אובייקטיבי.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מדוע TOF Ratio אינו מועיל לניטור Phase I Block של Succinylcholine, ומה המדד המתאים?</w:t>
      </w:r>
      <w:r/>
    </w:p>
    <w:p/>
    <w:p>
      <w:r/>
      <w:r>
        <w:rPr>
          <w:b/>
        </w:rPr>
        <w:t>תשובה</w:t>
      </w:r>
      <w:r>
        <w:t xml:space="preserve">: ב-Phase I Block, Succinylcholine גורם לדפולריזציה שווה של כל הרצפטורים — </w:t>
      </w:r>
      <w:r>
        <w:rPr>
          <w:b/>
        </w:rPr>
        <w:t>אין Fade</w:t>
      </w:r>
      <w:r>
        <w:t xml:space="preserve">. לכן TOF Ratio נשאר ≈ 1.0 גם בשיתוק חלקי (כנ"ל DBS). המדד היחיד שמשתנה ליניארית עם עומק השיתוק הוא </w:t>
      </w:r>
      <w:r>
        <w:rPr>
          <w:b/>
        </w:rPr>
        <w:t>Single Twitch Height</w:t>
      </w:r>
      <w:r>
        <w:t xml:space="preserve"> (גובה הטוויץ' הבודד).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מה הוא "חלון הניטור" של המוניטור הנוירו-מוסקולרי הסטנדרטי מבחינת תפוסת רצפטורים?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70% עד 95%</w:t>
      </w:r>
      <w:r>
        <w:t xml:space="preserve"> תפוסת רצפטורים (Receptor Occupancy).</w:t>
      </w:r>
    </w:p>
    <w:p>
      <w:pPr>
        <w:pStyle w:val="ListBullet"/>
      </w:pPr>
      <w:r>
        <w:t xml:space="preserve">מתחת ל-70%: המוניטור מראה תגובה תקינה — </w:t>
      </w:r>
      <w:r>
        <w:rPr>
          <w:b/>
        </w:rPr>
        <w:t>False Normal</w:t>
      </w:r>
      <w:r>
        <w:t xml:space="preserve"> (Margin of Safety)</w:t>
      </w:r>
    </w:p>
    <w:p>
      <w:pPr>
        <w:pStyle w:val="ListBullet"/>
      </w:pPr>
      <w:r>
        <w:t>מעל 95%: Complete Block — TOF Count = 0</w:t>
      </w:r>
    </w:p>
    <w:p>
      <w:pPr>
        <w:pStyle w:val="ListBullet"/>
      </w:pPr>
      <w:r>
        <w:t>רק בטווח 70–95% ניתן לזהות שינוי בתגובה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מטופל בן 75 עם אי-ספיקת כליות מקבל Pancuronium לניתוח בטן. מהם שני גורמי הסיכון העיקריים ל-RNMB בחדר ההתאוששות?</w:t>
      </w:r>
      <w:r/>
    </w:p>
    <w:p/>
    <w:p>
      <w:r/>
      <w:r>
        <w:rPr>
          <w:b/>
        </w:rPr>
        <w:t>תשובה</w:t>
      </w:r>
      <w:r>
        <w:t>:</w:t>
      </w:r>
    </w:p>
    <w:p>
      <w:pPr>
        <w:pStyle w:val="ListNumber"/>
      </w:pPr>
      <w:r/>
      <w:r>
        <w:rPr>
          <w:b/>
        </w:rPr>
        <w:t>Pancuronium</w:t>
      </w:r>
      <w:r>
        <w:t xml:space="preserve"> — תרופה Long-acting המסולקת בעיקר דרך הכליות; אי-ספיקת כליות מעכבת פינוי → הארכת משך השיתוק</w:t>
      </w:r>
    </w:p>
    <w:p>
      <w:pPr>
        <w:pStyle w:val="ListNumber"/>
      </w:pPr>
      <w:r/>
      <w:r>
        <w:rPr>
          <w:b/>
        </w:rPr>
        <w:t>גיל מבוגר + אי-ספיקת כליות</w:t>
      </w:r>
      <w:r>
        <w:t xml:space="preserve"> — ירידה ב-Renal Clearance + האטה בסירקולציה → הצטברות התרופה</w:t>
      </w:r>
    </w:p>
    <w:p/>
    <w:p>
      <w:pPr>
        <w:pStyle w:val="Quote"/>
      </w:pPr>
      <w:r>
        <w:t>טיפ לבחינה: במצב זה, Atracurium או Cisatracurium (Hofmann elimination, אינם תלויי כליה/כבד) עדיפים לניהול הרדמה בטוחה 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גורמי סיכון לשיתוק שרירים שאריתי ובטיחות המטופל בהרדמה.docx</w:t>
      </w:r>
    </w:p>
    <w:p>
      <w:pPr>
        <w:pStyle w:val="ListBullet"/>
      </w:pPr>
      <w:r>
        <w:t>Neuromuscular Monitoring_ Posttetanic Count and Deep Block Recovery.docx</w:t>
      </w:r>
    </w:p>
    <w:p>
      <w:pPr>
        <w:pStyle w:val="ListBullet"/>
      </w:pPr>
      <w:r>
        <w:t>Neuromuscular Monitoring_ TOF Ratios and Respiratory Recovery Thresholds.docx</w:t>
      </w:r>
    </w:p>
    <w:p>
      <w:pPr>
        <w:pStyle w:val="ListBullet"/>
      </w:pPr>
      <w:r>
        <w:t>Neuromuscular Junction Receptor Occupancy and Monitoring Window.docx</w:t>
      </w:r>
    </w:p>
    <w:p>
      <w:pPr>
        <w:pStyle w:val="ListBullet"/>
      </w:pPr>
      <w:r>
        <w:t>Monitoring Succinylcholine and Phase I Neuromuscular Blockade.docx</w:t>
      </w:r>
    </w:p>
    <w:p>
      <w:pPr>
        <w:pStyle w:val="ListBullet"/>
      </w:pPr>
      <w:r>
        <w:t>Superiority of Double Burst Stimulation in Qualitative Neuromuscular Monitoring.docx</w:t>
      </w:r>
    </w:p>
    <w:p>
      <w:pPr>
        <w:pStyle w:val="ListBullet"/>
      </w:pPr>
      <w:r>
        <w:t>התאוששות מחסימה עצבית-שרירית_ ניתוח קליני ומדדי TOF.docx</w:t>
      </w:r>
    </w:p>
    <w:p>
      <w:pPr>
        <w:pStyle w:val="ListBullet"/>
      </w:pPr>
      <w:r>
        <w:t>Clinical Indicators of Neuromuscular Recovery in Anesthesiology.docx</w:t>
      </w:r>
    </w:p>
    <w:p>
      <w:pPr>
        <w:pStyle w:val="ListBullet"/>
      </w:pPr>
      <w:r>
        <w:t>Clinical Definitions of Shallow Neuromuscular Block Depth.docx</w:t>
      </w:r>
    </w:p>
    <w:p>
      <w:pPr>
        <w:pStyle w:val="ListBullet"/>
      </w:pPr>
      <w:r>
        <w:t>Neuromuscular Monitoring Standards for Safe Tracheal Extubation.docx</w:t>
      </w:r>
    </w:p>
    <w:p>
      <w:pPr>
        <w:pStyle w:val="ListBullet"/>
      </w:pPr>
      <w:r>
        <w:t>Principles of Supramaximal Stimulation in Neuromuscular Monitoring.docx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Ch.39 — Neuromuscular Monitoring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