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A5C"/>
        </w:rPr>
        <w:t>47. Management of the Patient with Chronic Pain — סיכום לשלב א׳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עקרונות מפתח</w:t>
      </w:r>
    </w:p>
    <w:p/>
    <w:p>
      <w:pPr>
        <w:pStyle w:val="ListBullet"/>
      </w:pPr>
      <w:r/>
      <w:r>
        <w:rPr>
          <w:b/>
        </w:rPr>
        <w:t>כאב כרוני = שינוי פיזיולוגי אמיתי:</w:t>
      </w:r>
      <w:r>
        <w:t xml:space="preserve"> הפיזיולוגיה הנורמלית של ערוצי יונים, רצפטורים ונוירונים משתנה במצב של כאב מתמשך (Neuroplasticity, Central Sensitization). זוהי מחלה, לא רק סימפטום.</w:t>
      </w:r>
    </w:p>
    <w:p/>
    <w:p>
      <w:pPr>
        <w:pStyle w:val="ListBullet"/>
      </w:pPr>
      <w:r/>
      <w:r>
        <w:rPr>
          <w:b/>
        </w:rPr>
        <w:t>סיווג כאב כרוני:</w:t>
      </w:r>
      <w:r>
        <w:t xml:space="preserve"> יש לחלק ל-</w:t>
      </w:r>
      <w:r>
        <w:rPr>
          <w:b/>
        </w:rPr>
        <w:t>Cancer-related</w:t>
      </w:r>
      <w:r>
        <w:t xml:space="preserve"> ו-</w:t>
      </w:r>
      <w:r>
        <w:rPr>
          <w:b/>
        </w:rPr>
        <w:t>Non-cancer-related pain</w:t>
      </w:r>
      <w:r>
        <w:t>. שניהם כוללים מרכיבים של Neuropathic, Inflammatory ו-Musculoskeletal pain.</w:t>
      </w:r>
    </w:p>
    <w:p/>
    <w:p>
      <w:pPr>
        <w:pStyle w:val="ListBullet"/>
      </w:pPr>
      <w:r/>
      <w:r>
        <w:rPr>
          <w:b/>
        </w:rPr>
        <w:t>גישה ביו-פסיכו-סוציאלית:</w:t>
      </w:r>
      <w:r>
        <w:t xml:space="preserve"> ניהול אינטרדיסציפלינרי (פסיכולוגיה + פיזיותרפיה + אנסתזיולוגיה) הוא הגישה המוכחת ביותר. תוכניות משולבות עם מומחים בו-זמנית מצליחות יותר.</w:t>
      </w:r>
    </w:p>
    <w:p/>
    <w:p>
      <w:pPr>
        <w:pStyle w:val="ListBullet"/>
      </w:pPr>
      <w:r/>
      <w:r>
        <w:rPr>
          <w:b/>
        </w:rPr>
        <w:t>Physical Dependence ≠ Addiction:</w:t>
      </w:r>
      <w:r>
        <w:t xml:space="preserve"> מטופל הנוטל אופיואידים כרונית מפתח תלות פיזיולוגית. הפסקה פתאומית תגרום ל-</w:t>
      </w:r>
      <w:r>
        <w:rPr>
          <w:b/>
        </w:rPr>
        <w:t>Withdrawal Syndrome</w:t>
      </w:r>
      <w:r>
        <w:t xml:space="preserve"> (טכיקרדיה, יתר לחץ דם, חרדה, הזעה). </w:t>
      </w:r>
      <w:r>
        <w:rPr>
          <w:b/>
        </w:rPr>
        <w:t>יש להמשיך את הטיפול הבסיסי בתקופה הסב-ניתוחית.</w:t>
      </w:r>
      <w:r/>
    </w:p>
    <w:p/>
    <w:p>
      <w:pPr>
        <w:pStyle w:val="ListBullet"/>
      </w:pPr>
      <w:r/>
      <w:r>
        <w:rPr>
          <w:b/>
        </w:rPr>
        <w:t>עקרון ניתוח קטן לעומת גדול (Minor vs. Major Surgery):</w:t>
      </w:r>
      <w:r/>
    </w:p>
    <w:p>
      <w:r>
        <w:t xml:space="preserve">  - </w:t>
      </w:r>
      <w:r>
        <w:rPr>
          <w:b/>
        </w:rPr>
        <w:t>Minor Surgery:</w:t>
      </w:r>
      <w:r>
        <w:t xml:space="preserve"> ממשיכים טיפול פומי (Oral) רגיל.</w:t>
      </w:r>
    </w:p>
    <w:p>
      <w:r>
        <w:t xml:space="preserve">  - </w:t>
      </w:r>
      <w:r>
        <w:rPr>
          <w:b/>
        </w:rPr>
        <w:t>Major Surgery (NPO &gt; 8h / Ileus צפוי):</w:t>
      </w:r>
      <w:r>
        <w:t xml:space="preserve"> ממירים למינון אקוויוולנטי IV כ-Continuous Infusion / Basal Rate ב-PCA.</w:t>
      </w:r>
    </w:p>
    <w:p/>
    <w:p>
      <w:pPr>
        <w:pStyle w:val="ListBullet"/>
      </w:pPr>
      <w:r/>
      <w:r>
        <w:rPr>
          <w:b/>
        </w:rPr>
        <w:t>מדבקת פנטניל בניתוח מג'ורי:</w:t>
      </w:r>
      <w:r>
        <w:t xml:space="preserve"> יש </w:t>
      </w:r>
      <w:r>
        <w:rPr>
          <w:b/>
        </w:rPr>
        <w:t>להסיר</w:t>
      </w:r>
      <w:r>
        <w:t xml:space="preserve"> ולהחליף ב-IV Infusion — ספיגה מהמדבקה הופכת </w:t>
      </w:r>
      <w:r>
        <w:rPr>
          <w:b/>
        </w:rPr>
        <w:t>בלתי צפויה</w:t>
      </w:r>
      <w:r>
        <w:t xml:space="preserve"> בשל שינויים המודינמיים, Hypothermia ו-Vasoconstriction. לאחר הסרה, קיים Subcutaneous Depot הממשיך לשחרר פנטניל </w:t>
      </w:r>
      <w:r>
        <w:rPr>
          <w:b/>
        </w:rPr>
        <w:t>12–16 שעות נוספות.</w:t>
      </w:r>
      <w:r/>
    </w:p>
    <w:p/>
    <w:p>
      <w:pPr>
        <w:pStyle w:val="ListBullet"/>
      </w:pPr>
      <w:r/>
      <w:r>
        <w:rPr>
          <w:b/>
        </w:rPr>
        <w:t>מנגנוני פעולה — ההבדל הקריטי:</w:t>
      </w:r>
      <w:r/>
    </w:p>
    <w:p>
      <w:r>
        <w:t xml:space="preserve">  - Opioids / Anti-epileptics / Antidepressants → פועלים </w:t>
      </w:r>
      <w:r>
        <w:rPr>
          <w:b/>
        </w:rPr>
        <w:t>ישירות</w:t>
      </w:r>
      <w:r>
        <w:t xml:space="preserve"> על תעלות יונים → </w:t>
      </w:r>
      <w:r>
        <w:rPr>
          <w:b/>
        </w:rPr>
        <w:t>מורידים Neuronal Excitability</w:t>
      </w:r>
      <w:r/>
    </w:p>
    <w:p>
      <w:r>
        <w:t xml:space="preserve">  - </w:t>
      </w:r>
      <w:r>
        <w:rPr>
          <w:b/>
        </w:rPr>
        <w:t>NSAIDs</w:t>
      </w:r>
      <w:r>
        <w:t xml:space="preserve"> → מעכבים COX → מונעים ייצור Prostaglandins → מונעים </w:t>
      </w:r>
      <w:r>
        <w:rPr>
          <w:b/>
        </w:rPr>
        <w:t>Sensitization</w:t>
      </w:r>
      <w:r>
        <w:t xml:space="preserve"> — </w:t>
      </w:r>
      <w:r>
        <w:rPr>
          <w:b/>
        </w:rPr>
        <w:t>אינם מורידים Excitability ישירות.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נוסחאות ונקודות חישוב</w:t>
      </w:r>
    </w:p>
    <w:p/>
    <w:p>
      <w:pPr>
        <w:pStyle w:val="Heading3"/>
      </w:pPr>
      <w:r>
        <w:t>המרת אופיואידים — שלבי חישוב לפי מילר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שלב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פעולה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יחס / נוסחה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Fentanyl Patch → Oral Morphine</w:t>
            </w:r>
          </w:p>
        </w:tc>
        <w:tc>
          <w:tcPr>
            <w:tcW w:type="dxa" w:w="2880"/>
          </w:tcPr>
          <w:p>
            <w:r>
              <w:t>100 mcg/h Fentanyl ≈ 200–400 mg Oral Morphine/יום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Oral Morphine → IV Morphine</w:t>
            </w:r>
          </w:p>
        </w:tc>
        <w:tc>
          <w:tcPr>
            <w:tcW w:type="dxa" w:w="2880"/>
          </w:tcPr>
          <w:p>
            <w:r>
              <w:t>יחס 3:1 (PO:IV) — חלק ב-3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IV Morphine Daily → Basal Rate</w:t>
            </w:r>
          </w:p>
        </w:tc>
        <w:tc>
          <w:tcPr>
            <w:tcW w:type="dxa" w:w="2880"/>
          </w:tcPr>
          <w:p>
            <w:r>
              <w:t>חלק ב-24 → mg/hr</w:t>
            </w:r>
          </w:p>
        </w:tc>
      </w:tr>
    </w:tbl>
    <w:p/>
    <w:p/>
    <w:p>
      <w:pPr>
        <w:pStyle w:val="Heading3"/>
      </w:pPr>
      <w:r>
        <w:t>דוגמת חישוב — מדבקת פנטניל 60 mcg/h לפני ניתוח מג'ורי:</w:t>
      </w:r>
    </w:p>
    <w:p/>
    <w:p>
      <w:r>
        <w:t>```</w:t>
      </w:r>
    </w:p>
    <w:p>
      <w:r>
        <w:t>Step 1: 60 mcg/h Fentanyl → ~140–150 mg Oral Morphine/day</w:t>
      </w:r>
    </w:p>
    <w:p>
      <w:r>
        <w:t>Step 2: 150 mg PO ÷ 3 = 50 mg IV Morphine/day</w:t>
      </w:r>
    </w:p>
    <w:p>
      <w:r>
        <w:t>Step 3: 50 mg ÷ 24h ≈ 2 mg/hr → Basal Rate של PCA</w:t>
      </w:r>
    </w:p>
    <w:p>
      <w:r>
        <w:t>```</w:t>
      </w:r>
    </w:p>
    <w:p/>
    <w:p>
      <w:pPr>
        <w:pStyle w:val="Heading3"/>
      </w:pPr>
      <w:r>
        <w:t>טבלת מנגנוני תרופות (Table 47.1 — Miller)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תרופה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מטרה מולקולרית</w:t>
            </w:r>
          </w:p>
        </w:tc>
        <w:tc>
          <w:tcPr>
            <w:tcW w:type="dxa" w:w="2880"/>
            <w:shd w:fill="1a3a5c"/>
          </w:tcPr>
          <w:p>
            <w:pPr>
              <w:jc w:val="center"/>
            </w:pPr>
            <w:r>
              <w:rPr>
                <w:b/>
                <w:color w:val="FFFFFF"/>
              </w:rPr>
              <w:t>תוצאה פונקציונלית</w:t>
            </w:r>
          </w:p>
        </w:tc>
      </w:tr>
      <w:tr>
        <w:tc>
          <w:tcPr>
            <w:tcW w:type="dxa" w:w="2880"/>
          </w:tcPr>
          <w:p>
            <w:r>
              <w:t>Opioids</w:t>
            </w:r>
          </w:p>
        </w:tc>
        <w:tc>
          <w:tcPr>
            <w:tcW w:type="dxa" w:w="2880"/>
          </w:tcPr>
          <w:p>
            <w:r>
              <w:t>פתיחת K⁺, סגירת Ca²⁺</w:t>
            </w:r>
          </w:p>
        </w:tc>
        <w:tc>
          <w:tcPr>
            <w:tcW w:type="dxa" w:w="2880"/>
          </w:tcPr>
          <w:p>
            <w:r>
              <w:t>↓ Neuronal Excitability</w:t>
            </w:r>
          </w:p>
        </w:tc>
      </w:tr>
      <w:tr>
        <w:tc>
          <w:tcPr>
            <w:tcW w:type="dxa" w:w="2880"/>
          </w:tcPr>
          <w:p>
            <w:r>
              <w:t>Anti-epileptics (Gabapentin, Carbamazepine)</w:t>
            </w:r>
          </w:p>
        </w:tc>
        <w:tc>
          <w:tcPr>
            <w:tcW w:type="dxa" w:w="2880"/>
          </w:tcPr>
          <w:p>
            <w:r>
              <w:t>חסימת Na⁺ / Ca²⁺</w:t>
            </w:r>
          </w:p>
        </w:tc>
        <w:tc>
          <w:tcPr>
            <w:tcW w:type="dxa" w:w="2880"/>
          </w:tcPr>
          <w:p>
            <w:r>
              <w:t>↓ Neuronal Excitability</w:t>
            </w:r>
          </w:p>
        </w:tc>
      </w:tr>
      <w:tr>
        <w:tc>
          <w:tcPr>
            <w:tcW w:type="dxa" w:w="2880"/>
          </w:tcPr>
          <w:p>
            <w:r>
              <w:t>Antidepressants (TCAs, SNRIs)</w:t>
            </w:r>
          </w:p>
        </w:tc>
        <w:tc>
          <w:tcPr>
            <w:tcW w:type="dxa" w:w="2880"/>
          </w:tcPr>
          <w:p>
            <w:r>
              <w:t>עיכוב Reuptake של NA/5-HT; חסימת Na⁺</w:t>
            </w:r>
          </w:p>
        </w:tc>
        <w:tc>
          <w:tcPr>
            <w:tcW w:type="dxa" w:w="2880"/>
          </w:tcPr>
          <w:p>
            <w:r>
              <w:t>↓ Excitability + ↑ Inhibitory Tone</w:t>
            </w:r>
          </w:p>
        </w:tc>
      </w:tr>
      <w:tr>
        <w:tc>
          <w:tcPr>
            <w:tcW w:type="dxa" w:w="2880"/>
          </w:tcPr>
          <w:p>
            <w:r>
              <w:t>NSAIDs</w:t>
            </w:r>
          </w:p>
        </w:tc>
        <w:tc>
          <w:tcPr>
            <w:tcW w:type="dxa" w:w="2880"/>
          </w:tcPr>
          <w:p>
            <w:r>
              <w:t>עיכוב COX (תוך-תאי)</w:t>
            </w:r>
          </w:p>
        </w:tc>
        <w:tc>
          <w:tcPr>
            <w:tcW w:type="dxa" w:w="2880"/>
          </w:tcPr>
          <w:p>
            <w:r>
              <w:t>↓ Sensitization (לא ↓ Excitability ישירות)</w:t>
            </w:r>
          </w:p>
        </w:tc>
      </w:tr>
      <w:tr>
        <w:tc>
          <w:tcPr>
            <w:tcW w:type="dxa" w:w="2880"/>
          </w:tcPr>
          <w:p>
            <w:r>
              <w:t>Local Anesthetics</w:t>
            </w:r>
          </w:p>
        </w:tc>
        <w:tc>
          <w:tcPr>
            <w:tcW w:type="dxa" w:w="2880"/>
          </w:tcPr>
          <w:p>
            <w:r>
              <w:t>חסימת Na⁺</w:t>
            </w:r>
          </w:p>
        </w:tc>
        <w:tc>
          <w:tcPr>
            <w:tcW w:type="dxa" w:w="2880"/>
          </w:tcPr>
          <w:p>
            <w:r>
              <w:t>↓ Excitability</w:t>
            </w:r>
          </w:p>
        </w:tc>
      </w:tr>
    </w:tbl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נקודות בעלות תשואה גבוהה</w:t>
      </w:r>
    </w:p>
    <w:p/>
    <w:p>
      <w:pPr>
        <w:pStyle w:val="Quote"/>
      </w:pPr>
      <w:r>
        <w:t>⚠️ המלכודות הנפוצות ביותר בבחינה:</w:t>
      </w:r>
    </w:p>
    <w:p/>
    <w:p>
      <w:pPr>
        <w:pStyle w:val="ListNumber"/>
      </w:pPr>
      <w:r/>
      <w:r>
        <w:rPr>
          <w:b/>
        </w:rPr>
        <w:t>"לא לתת אופיואידים לפני ניתוח" — שגוי לחלוטין.</w:t>
      </w:r>
      <w:r/>
    </w:p>
    <w:p>
      <w:r>
        <w:t xml:space="preserve">   המינון הרגיל </w:t>
      </w:r>
      <w:r>
        <w:rPr>
          <w:b/>
        </w:rPr>
        <w:t>חייב</w:t>
      </w:r>
      <w:r>
        <w:t xml:space="preserve"> להינתן בבוקר הניתוח — כולל Slow-release ומדבקות (במקרה של ניתוח קטן). ביטול יגרום ל-Withdrawal ולכאב מתפרץ בלתי נשלט.</w:t>
      </w:r>
    </w:p>
    <w:p/>
    <w:p>
      <w:pPr>
        <w:pStyle w:val="ListNumber"/>
      </w:pPr>
      <w:r/>
      <w:r>
        <w:rPr>
          <w:b/>
        </w:rPr>
        <w:t>NPO לאחר ניתוח מג'ורי = חייבים IV.</w:t>
      </w:r>
      <w:r/>
    </w:p>
    <w:p>
      <w:r>
        <w:t xml:space="preserve">   לא ניתן "לדלג" על מינון. חובה </w:t>
      </w:r>
      <w:r>
        <w:rPr>
          <w:b/>
        </w:rPr>
        <w:t>Parenteral (IV) Continuous Infusion</w:t>
      </w:r>
      <w:r>
        <w:t xml:space="preserve"> לאורך כל תקופת ה-NPO.</w:t>
      </w:r>
    </w:p>
    <w:p/>
    <w:p>
      <w:pPr>
        <w:pStyle w:val="ListNumber"/>
      </w:pPr>
      <w:r/>
      <w:r>
        <w:rPr>
          <w:b/>
        </w:rPr>
        <w:t>מדבקת פנטניל ≠ בטוחה בניתוח מג'ורי.</w:t>
      </w:r>
      <w:r/>
    </w:p>
    <w:p>
      <w:r>
        <w:t xml:space="preserve">   הסרה בלבד אינה מספיקה — ה-Subcutaneous Depot ממשיך לפעול </w:t>
      </w:r>
      <w:r>
        <w:rPr>
          <w:b/>
        </w:rPr>
        <w:t>12–16 שעות.</w:t>
      </w:r>
      <w:r>
        <w:t xml:space="preserve"> חייבים Bridging IV Infusion מיידי.</w:t>
      </w:r>
    </w:p>
    <w:p/>
    <w:p>
      <w:pPr>
        <w:pStyle w:val="ListNumber"/>
      </w:pPr>
      <w:r/>
      <w:r>
        <w:rPr>
          <w:b/>
        </w:rPr>
        <w:t>NSAIDs לא מורידים Excitability ישירות</w:t>
      </w:r>
      <w:r>
        <w:t xml:space="preserve"> — שאלה בחינה! מנגנון שונה מיתר המשככים.</w:t>
      </w:r>
    </w:p>
    <w:p/>
    <w:p>
      <w:pPr>
        <w:pStyle w:val="ListNumber"/>
      </w:pPr>
      <w:r/>
      <w:r>
        <w:rPr>
          <w:b/>
        </w:rPr>
        <w:t>Physical Dependence vs. Addiction:</w:t>
      </w:r>
      <w:r/>
    </w:p>
    <w:p>
      <w:r>
        <w:t xml:space="preserve">   - </w:t>
      </w:r>
      <w:r>
        <w:rPr>
          <w:b/>
        </w:rPr>
        <w:t>Physical Dependence</w:t>
      </w:r>
      <w:r>
        <w:t xml:space="preserve"> = תגובה פיזיולוגית נורמלית לטיפול כרוני (צפויה ומנוהלת)</w:t>
      </w:r>
    </w:p>
    <w:p>
      <w:r>
        <w:t xml:space="preserve">   - </w:t>
      </w:r>
      <w:r>
        <w:rPr>
          <w:b/>
        </w:rPr>
        <w:t>Addiction</w:t>
      </w:r>
      <w:r>
        <w:t xml:space="preserve"> = Compulsive use נוכח נזק — נדיר יחסית בחולי כאב כרוני מטופלים כהלכה</w:t>
      </w:r>
    </w:p>
    <w:p/>
    <w:p>
      <w:pPr>
        <w:pStyle w:val="ListNumber"/>
      </w:pPr>
      <w:r/>
      <w:r>
        <w:rPr>
          <w:b/>
        </w:rPr>
        <w:t>Opioid Tolerant Patient דורש מינונים גבוהים יותר לאנלגזיה</w:t>
      </w:r>
      <w:r>
        <w:t xml:space="preserve"> — Baseline requirement חייב להיות מובטח (</w:t>
      </w:r>
      <w:r>
        <w:rPr>
          <w:b/>
        </w:rPr>
        <w:t>לא</w:t>
      </w:r>
      <w:r>
        <w:t xml:space="preserve"> ניתן לספור אותו כחלק מה-Analgesic plan הניתוחי).</w:t>
      </w:r>
    </w:p>
    <w:p/>
    <w:p>
      <w:pPr>
        <w:pStyle w:val="ListNumber"/>
      </w:pPr>
      <w:r/>
      <w:r>
        <w:rPr>
          <w:b/>
        </w:rPr>
        <w:t>Gabapentin/Pregabalin בתקופה הסב-ניתוחית:</w:t>
      </w:r>
      <w:r>
        <w:t xml:space="preserve"> יש להמשיך — הפסקה עלולה לגרום ל-Rebound ועלייה בצריכת אופיואידים.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שאלות נפוצות בנושא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1 — בוקר הניתוח (מועד מאי 2024)</w:t>
      </w:r>
    </w:p>
    <w:p>
      <w:r/>
      <w:r>
        <w:rPr>
          <w:b/>
        </w:rPr>
        <w:t>מטופל הנוטל Morphine SR 30mg x2/day מגיע לניתוח כריתת קיסרית ראשונה. מה יש לעשות עם הטיפול בבוקר הניתוח?</w:t>
      </w:r>
      <w:r/>
    </w:p>
    <w:p/>
    <w:p>
      <w:pPr>
        <w:pStyle w:val="ListBullet"/>
      </w:pPr>
      <w:r>
        <w:t>א. להפסיק הכל — חשש מ-Respiratory Depression</w:t>
      </w:r>
    </w:p>
    <w:p>
      <w:pPr>
        <w:pStyle w:val="ListBullet"/>
      </w:pPr>
      <w:r/>
      <w:r>
        <w:rPr>
          <w:b/>
        </w:rPr>
        <w:t>ב. לתת מינון רגיל של אופיואידים כדי למנוע תסמונת גמילה ✓</w:t>
      </w:r>
      <w:r/>
    </w:p>
    <w:p>
      <w:pPr>
        <w:pStyle w:val="ListBullet"/>
      </w:pPr>
      <w:r>
        <w:t>ג. לתת מחצית המינון</w:t>
      </w:r>
    </w:p>
    <w:p>
      <w:pPr>
        <w:pStyle w:val="ListBullet"/>
      </w:pPr>
      <w:r>
        <w:t>ד. להחליף ל-IV מיד</w:t>
      </w:r>
    </w:p>
    <w:p/>
    <w:p>
      <w:r/>
      <w:r>
        <w:rPr>
          <w:b/>
        </w:rPr>
        <w:t>תשובה: ב.</w:t>
      </w:r>
      <w:r/>
    </w:p>
    <w:p>
      <w:r>
        <w:t>יש לתת את המינון הרגיל. Physical Dependence מחייבת המשכיות. ניתוח קצר — ניתן להמשיך פומי.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2 — ניתוח מג'ורי עם NPO (מועד יוני 2023)</w:t>
      </w:r>
    </w:p>
    <w:p>
      <w:r/>
      <w:r>
        <w:rPr>
          <w:b/>
        </w:rPr>
        <w:t>מטופל עם Chronic Pain הנוטל Oxycodone 40mg/day PO עובר ניתוח לפרוטומיה. לאחר הניתוח צפוי NPO לפחות 48 שעות. כיצד יש לנהל את הטיפול?</w:t>
      </w:r>
      <w:r/>
    </w:p>
    <w:p/>
    <w:p>
      <w:pPr>
        <w:pStyle w:val="ListBullet"/>
      </w:pPr>
      <w:r>
        <w:t>א. להפסיק אופיואידים — ניתן להסתמך על NSAIDs IV בלבד</w:t>
      </w:r>
    </w:p>
    <w:p>
      <w:pPr>
        <w:pStyle w:val="ListBullet"/>
      </w:pPr>
      <w:r/>
      <w:r>
        <w:rPr>
          <w:b/>
        </w:rPr>
        <w:t>ב. לתת אופיואידים פראנטרלית (IV) למשך כל תקופת ה-NPO ✓</w:t>
      </w:r>
      <w:r/>
    </w:p>
    <w:p>
      <w:pPr>
        <w:pStyle w:val="ListBullet"/>
      </w:pPr>
      <w:r>
        <w:t>ג. להתחיל Methadone PO</w:t>
      </w:r>
    </w:p>
    <w:p>
      <w:pPr>
        <w:pStyle w:val="ListBullet"/>
      </w:pPr>
      <w:r>
        <w:t>ד. להמתין עד שהמטופל יאכל</w:t>
      </w:r>
    </w:p>
    <w:p/>
    <w:p>
      <w:r/>
      <w:r>
        <w:rPr>
          <w:b/>
        </w:rPr>
        <w:t>תשובה: ב.</w:t>
      </w:r>
      <w:r/>
    </w:p>
    <w:p>
      <w:r>
        <w:t>Major Surgery + NPO = חובה Continuous IV Infusion במינון אקוויוולנטי לבסיס הפומי.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3 — מדבקת פנטניל (מועד ספטמבר 2024)</w:t>
      </w:r>
    </w:p>
    <w:p>
      <w:r/>
      <w:r>
        <w:rPr>
          <w:b/>
        </w:rPr>
        <w:t>מטופלת עם Fentanyl Patch 75 mcg/h מגיעה לניתוח Hepatectomy. מה הגישה הנכונה?</w:t>
      </w:r>
      <w:r/>
    </w:p>
    <w:p/>
    <w:p>
      <w:pPr>
        <w:pStyle w:val="ListBullet"/>
      </w:pPr>
      <w:r>
        <w:t>א. להשאיר את המדבקה — היא מספקת Baseline מספק</w:t>
      </w:r>
    </w:p>
    <w:p>
      <w:pPr>
        <w:pStyle w:val="ListBullet"/>
      </w:pPr>
      <w:r>
        <w:t>ב. להסיר ולא להחליף — ה-Depot יספק כיסוי ל-12 שעות</w:t>
      </w:r>
    </w:p>
    <w:p>
      <w:pPr>
        <w:pStyle w:val="ListBullet"/>
      </w:pPr>
      <w:r/>
      <w:r>
        <w:rPr>
          <w:b/>
        </w:rPr>
        <w:t>ג. להסיר ולהתחיל מייד IV Continuous Infusion במינון אקוויוולנטי ✓</w:t>
      </w:r>
      <w:r/>
    </w:p>
    <w:p>
      <w:pPr>
        <w:pStyle w:val="ListBullet"/>
      </w:pPr>
      <w:r>
        <w:t>ד. להוסיף מדבקה שנייה לכיסוי ניתוחי</w:t>
      </w:r>
    </w:p>
    <w:p/>
    <w:p>
      <w:r/>
      <w:r>
        <w:rPr>
          <w:b/>
        </w:rPr>
        <w:t>תשובה: ג.</w:t>
      </w:r>
      <w:r/>
    </w:p>
    <w:p>
      <w:r>
        <w:t>ניתוח מג'ורי → ספיגה מהמדבקה בלתי צפויה. יש להסיר + Bridging IV מיידי למניעת Withdrawal.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4 — מנגנון NSAIDs (שאלה מבוססת Table 47.1)</w:t>
      </w:r>
    </w:p>
    <w:p>
      <w:r/>
      <w:r>
        <w:rPr>
          <w:b/>
        </w:rPr>
        <w:t>איזו מהתרופות הבאות אינה מורידה ישירות את Neuronal Excitability?</w:t>
      </w:r>
      <w:r/>
    </w:p>
    <w:p/>
    <w:p>
      <w:pPr>
        <w:pStyle w:val="ListBullet"/>
      </w:pPr>
      <w:r>
        <w:t>א. Morphine</w:t>
      </w:r>
    </w:p>
    <w:p>
      <w:pPr>
        <w:pStyle w:val="ListBullet"/>
      </w:pPr>
      <w:r/>
      <w:r>
        <w:rPr>
          <w:b/>
        </w:rPr>
        <w:t>ב. Ibuprofen (NSAIDs) ✓</w:t>
      </w:r>
      <w:r/>
    </w:p>
    <w:p>
      <w:pPr>
        <w:pStyle w:val="ListBullet"/>
      </w:pPr>
      <w:r>
        <w:t>ג. Gabapentin</w:t>
      </w:r>
    </w:p>
    <w:p>
      <w:pPr>
        <w:pStyle w:val="ListBullet"/>
      </w:pPr>
      <w:r>
        <w:t>ד. Lidocaine</w:t>
      </w:r>
    </w:p>
    <w:p/>
    <w:p>
      <w:r/>
      <w:r>
        <w:rPr>
          <w:b/>
        </w:rPr>
        <w:t>תשובה: ב.</w:t>
      </w:r>
      <w:r/>
    </w:p>
    <w:p>
      <w:r>
        <w:t xml:space="preserve">NSAIDs מעכבים COX → מונעים Prostaglandin Synthesis → מפחיתים Sensitization — אך </w:t>
      </w:r>
      <w:r>
        <w:rPr>
          <w:b/>
        </w:rPr>
        <w:t>אינם</w:t>
      </w:r>
      <w:r>
        <w:t xml:space="preserve"> פועלים ישירות על תעלות יונים המשנות Excitability.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3"/>
      </w:pPr>
      <w:r>
        <w:t>שאלה 5 — חישוב PCA (מועד 2025)</w:t>
      </w:r>
    </w:p>
    <w:p>
      <w:r/>
      <w:r>
        <w:rPr>
          <w:b/>
        </w:rPr>
        <w:t>מטופל עם Fentanyl Patch 60 mcg/h לפני ניתוח גדול. מחליטים לעבור ל-IV Morphine PCA. מה יהיה ה-Basal Rate המתאים?</w:t>
      </w:r>
      <w:r/>
    </w:p>
    <w:p/>
    <w:p>
      <w:pPr>
        <w:pStyle w:val="ListBullet"/>
      </w:pPr>
      <w:r>
        <w:t>א. 0.5 mg/hr</w:t>
      </w:r>
    </w:p>
    <w:p>
      <w:pPr>
        <w:pStyle w:val="ListBullet"/>
      </w:pPr>
      <w:r/>
      <w:r>
        <w:rPr>
          <w:b/>
        </w:rPr>
        <w:t>ב. ~2 mg/hr ✓</w:t>
      </w:r>
      <w:r/>
    </w:p>
    <w:p>
      <w:pPr>
        <w:pStyle w:val="ListBullet"/>
      </w:pPr>
      <w:r>
        <w:t>ג. 5 mg/hr</w:t>
      </w:r>
    </w:p>
    <w:p>
      <w:pPr>
        <w:pStyle w:val="ListBullet"/>
      </w:pPr>
      <w:r>
        <w:t>ד. 10 mg/hr</w:t>
      </w:r>
    </w:p>
    <w:p/>
    <w:p>
      <w:r/>
      <w:r>
        <w:rPr>
          <w:b/>
        </w:rPr>
        <w:t>תשובה: ב.</w:t>
      </w:r>
      <w:r/>
    </w:p>
    <w:p>
      <w:r>
        <w:t xml:space="preserve">60 mcg/h Fentanyl → ~150 mg PO Morphine/day → ÷3 = 50 mg IV/day → ÷24 = </w:t>
      </w:r>
      <w:r>
        <w:rPr>
          <w:b/>
        </w:rPr>
        <w:t>~2 mg/hr</w:t>
      </w:r>
      <w:r/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rPr>
          <w:color w:val="2C5F8A"/>
        </w:rPr>
        <w:t>קבצים בתיקייה</w:t>
      </w:r>
    </w:p>
    <w:p/>
    <w:p>
      <w:pPr>
        <w:pStyle w:val="ListBullet"/>
      </w:pPr>
      <w:r>
        <w:t>`Perioperative Opioid Management for Chronic Pain Patients(1).docx` — ניהול אופיואידים בניתוח מג'ורי + NPO</w:t>
      </w:r>
    </w:p>
    <w:p>
      <w:pPr>
        <w:pStyle w:val="ListBullet"/>
      </w:pPr>
      <w:r>
        <w:t>`Perioperative Fentanyl Patch Management in Major Surgery.docx` — ניהול מדבקת פנטניל + Depot effect</w:t>
      </w:r>
    </w:p>
    <w:p>
      <w:pPr>
        <w:pStyle w:val="ListBullet"/>
      </w:pPr>
      <w:r>
        <w:t>`Miller's Anesthesia_ Analgesic Mechanisms and Neuronal Excitability.docx` — Table 47.1: מנגנוני תרופות</w:t>
      </w:r>
    </w:p>
    <w:p>
      <w:pPr>
        <w:pStyle w:val="ListBullet"/>
      </w:pPr>
      <w:r>
        <w:t>`Perioperative Opioid Management for Chronic Pain Patients.docx` — בוקר הניתוח, Minor vs. Major</w:t>
      </w:r>
    </w:p>
    <w:p>
      <w:pPr>
        <w:pStyle w:val="ListBullet"/>
      </w:pPr>
      <w:r>
        <w:t>`Opioid Conversion and PCA Programming for Chronic Pain Management.docx` — חישובי המרה + תכנות PCA</w:t>
      </w:r>
    </w:p>
    <w:p>
      <w:pPr>
        <w:pStyle w:val="ListBullet"/>
      </w:pPr>
      <w:r>
        <w:t>`ניהול כאב כרוני ואופיואידים בתקופה הסב-ניתוחית.docx` — סיכום כולל סב-ניתוחי</w:t>
      </w:r>
    </w:p>
    <w:p>
      <w:pPr>
        <w:pStyle w:val="ListBullet"/>
      </w:pPr>
      <w:r>
        <w:t>`Neuroplasticity and the Mechanics of Central Sensitization.docx` — Central Sensitization, Wind-Up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Quote"/>
      </w:pPr>
      <w:r>
        <w:t>💡 טיפ אחרון לבחינה: כאשר מגיע מטופל עם כאב כרוני — אל תפסיק, אל תחצה, אל תשכח IV בזמן NPO. שלושת הכלים: המשך / המר / בקר.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Ch.47 — Management of the Patient with Chronic Pain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