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77. Acute Postoperative Pain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Nociception היא תהליך דינמי (Neuroplasticity):</w:t>
      </w:r>
      <w:r>
        <w:t xml:space="preserve"> קלט כואב מתמשך גורם ל-</w:t>
      </w:r>
      <w:r>
        <w:rPr>
          <w:b/>
        </w:rPr>
        <w:t>Central Sensitization</w:t>
      </w:r>
      <w:r>
        <w:t xml:space="preserve"> — שינוי נוירוני מהיר שעלול להוביל לכאב כרוני. מניעת Sensitization היא הבסיס הרציונלי לאנלגזיה מונעת.</w:t>
      </w:r>
    </w:p>
    <w:p/>
    <w:p>
      <w:pPr>
        <w:pStyle w:val="ListBullet"/>
      </w:pPr>
      <w:r/>
      <w:r>
        <w:rPr>
          <w:b/>
        </w:rPr>
        <w:t>Multimodal Analgesia עדיפה:</w:t>
      </w:r>
      <w:r>
        <w:t xml:space="preserve"> שילוב של מספר קבוצות תרופות (Acetaminophen, NSAIDs, Gabapentinoids, Ketamine, אופיואידים) הפועלות על נקודות שונות במסלול הכאב — מאפשר </w:t>
      </w:r>
      <w:r>
        <w:rPr>
          <w:b/>
        </w:rPr>
        <w:t>Synergism</w:t>
      </w:r>
      <w:r>
        <w:t xml:space="preserve"> עם הפחתת תופעות לוואי של כל תרופה בנפרד. </w:t>
      </w:r>
      <w:r>
        <w:rPr>
          <w:b/>
        </w:rPr>
        <w:t>מומלצת תמיד כשניתן.</w:t>
      </w:r>
      <w:r/>
    </w:p>
    <w:p/>
    <w:p>
      <w:pPr>
        <w:pStyle w:val="ListBullet"/>
      </w:pPr>
      <w:r/>
      <w:r>
        <w:rPr>
          <w:b/>
        </w:rPr>
        <w:t>Stress Response לכאב היא תגובה קטבולית (Catabolic):</w:t>
      </w:r>
      <w:r>
        <w:t xml:space="preserve"> הפעלת ציר HPA + מערכת סימפטטית → שחרור Cortisol, Catecholamines, Glucagon, GH + עמידות לאינסולין → </w:t>
      </w:r>
      <w:r>
        <w:rPr>
          <w:b/>
        </w:rPr>
        <w:t>Hyperglycemia, Lipolysis (↑FFA), Negative Nitrogen Balance, Hypercoagulability</w:t>
      </w:r>
      <w:r>
        <w:t>.</w:t>
      </w:r>
    </w:p>
    <w:p/>
    <w:p>
      <w:pPr>
        <w:pStyle w:val="ListBullet"/>
      </w:pPr>
      <w:r/>
      <w:r>
        <w:rPr>
          <w:b/>
        </w:rPr>
        <w:t>PCA (Patient-Controlled Analgesia):</w:t>
      </w:r>
      <w:r>
        <w:t xml:space="preserve"> מאפשרת Titration אישי ועדיפה על אנלגזיה "לפי הזמנה" קלאסית. ניתן לתת PCA דרך מסלולים מרובים (IV, SC, אפידורלי, פרה-ורטברלי, Iontophoretic, פומי).</w:t>
      </w:r>
    </w:p>
    <w:p/>
    <w:p>
      <w:pPr>
        <w:pStyle w:val="ListBullet"/>
      </w:pPr>
      <w:r/>
      <w:r>
        <w:rPr>
          <w:b/>
        </w:rPr>
        <w:t>Preemptive vs. Preventive Analgesia:</w:t>
      </w:r>
      <w:r>
        <w:t xml:space="preserve"> מתן לפני החתך (Preemptive) שנוי במחלוקת קלינית. החשוב הוא </w:t>
      </w:r>
      <w:r>
        <w:rPr>
          <w:b/>
        </w:rPr>
        <w:t>Preventive Analgesia</w:t>
      </w:r>
      <w:r>
        <w:t xml:space="preserve"> — שמירה על כיסוי אנלגטי פעיל לאורך כל החוויה הניתוחית.</w:t>
      </w:r>
    </w:p>
    <w:p/>
    <w:p>
      <w:pPr>
        <w:pStyle w:val="ListBullet"/>
      </w:pPr>
      <w:r/>
      <w:r>
        <w:rPr>
          <w:b/>
        </w:rPr>
        <w:t>Opioid Tolerant Patient — הגדרה מדויקת:</w:t>
      </w:r>
      <w:r>
        <w:t xml:space="preserve"> קריטריון </w:t>
      </w:r>
      <w:r>
        <w:rPr>
          <w:b/>
        </w:rPr>
        <w:t>זמן + מינון</w:t>
      </w:r>
      <w:r>
        <w:t xml:space="preserve"> יחדיו (ר' טבלה מטה). חשיבות קלינית: חישוב Equianalgesic Dosing ומניעת Respiratory Depression או Under-treatment.</w:t>
      </w:r>
    </w:p>
    <w:p/>
    <w:p>
      <w:pPr>
        <w:pStyle w:val="ListBullet"/>
      </w:pPr>
      <w:r/>
      <w:r>
        <w:rPr>
          <w:b/>
        </w:rPr>
        <w:t>סיבוכי כאב לא מטופל:</w:t>
      </w:r>
      <w:r>
        <w:t xml:space="preserve"> כאב חריף גרוע → תוצאות פיזיולוגיות מזיקות (Tachycardia, Hypercoagulability, Ileus, Hypoventilation) + תוצאות כרוניות (שיקום מאוחר, </w:t>
      </w:r>
      <w:r>
        <w:rPr>
          <w:b/>
        </w:rPr>
        <w:t>Chronic Post-Surgical Pain</w:t>
      </w:r>
      <w:r>
        <w:t>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הגדרת Opioid Tolerant Patient (FDA — Miller Ch. 77)</w:t>
      </w:r>
    </w:p>
    <w:p>
      <w:pPr>
        <w:pStyle w:val="Quote"/>
      </w:pPr>
      <w:r>
        <w:t>תנאי הכרחי: נטילת תרופה שבוע אחד או יותר במינון ≥ הסף הבא: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מסלול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מינון יומי מינימלי לסבילות</w:t>
            </w:r>
          </w:p>
        </w:tc>
      </w:tr>
      <w:tr>
        <w:tc>
          <w:tcPr>
            <w:tcW w:type="dxa" w:w="2880"/>
          </w:tcPr>
          <w:p>
            <w:r>
              <w:t>Morphine</w:t>
            </w:r>
          </w:p>
        </w:tc>
        <w:tc>
          <w:tcPr>
            <w:tcW w:type="dxa" w:w="2880"/>
          </w:tcPr>
          <w:p>
            <w:r>
              <w:t>פומי (PO)</w:t>
            </w:r>
          </w:p>
        </w:tc>
        <w:tc>
          <w:tcPr>
            <w:tcW w:type="dxa" w:w="2880"/>
          </w:tcPr>
          <w:p>
            <w:r>
              <w:t>≥ 60 mg/day</w:t>
            </w:r>
          </w:p>
        </w:tc>
      </w:tr>
      <w:tr>
        <w:tc>
          <w:tcPr>
            <w:tcW w:type="dxa" w:w="2880"/>
          </w:tcPr>
          <w:p>
            <w:r>
              <w:t>Fentanyl</w:t>
            </w:r>
          </w:p>
        </w:tc>
        <w:tc>
          <w:tcPr>
            <w:tcW w:type="dxa" w:w="2880"/>
          </w:tcPr>
          <w:p>
            <w:r>
              <w:t>Transdermal (TD)</w:t>
            </w:r>
          </w:p>
        </w:tc>
        <w:tc>
          <w:tcPr>
            <w:tcW w:type="dxa" w:w="2880"/>
          </w:tcPr>
          <w:p>
            <w:r>
              <w:t>≥ 25 mcg/h</w:t>
            </w:r>
          </w:p>
        </w:tc>
      </w:tr>
      <w:tr>
        <w:tc>
          <w:tcPr>
            <w:tcW w:type="dxa" w:w="2880"/>
          </w:tcPr>
          <w:p>
            <w:r>
              <w:t>Oxycodone</w:t>
            </w:r>
          </w:p>
        </w:tc>
        <w:tc>
          <w:tcPr>
            <w:tcW w:type="dxa" w:w="2880"/>
          </w:tcPr>
          <w:p>
            <w:r>
              <w:t>פומי</w:t>
            </w:r>
          </w:p>
        </w:tc>
        <w:tc>
          <w:tcPr>
            <w:tcW w:type="dxa" w:w="2880"/>
          </w:tcPr>
          <w:p>
            <w:r>
              <w:t>≥ 30 mg/day</w:t>
            </w:r>
          </w:p>
        </w:tc>
      </w:tr>
      <w:tr>
        <w:tc>
          <w:tcPr>
            <w:tcW w:type="dxa" w:w="2880"/>
          </w:tcPr>
          <w:p>
            <w:r>
              <w:t>Hydromorphone</w:t>
            </w:r>
          </w:p>
        </w:tc>
        <w:tc>
          <w:tcPr>
            <w:tcW w:type="dxa" w:w="2880"/>
          </w:tcPr>
          <w:p>
            <w:r>
              <w:t>פומי</w:t>
            </w:r>
          </w:p>
        </w:tc>
        <w:tc>
          <w:tcPr>
            <w:tcW w:type="dxa" w:w="2880"/>
          </w:tcPr>
          <w:p>
            <w:r>
              <w:t>≥ 8 mg/day</w:t>
            </w:r>
          </w:p>
        </w:tc>
      </w:tr>
      <w:tr>
        <w:tc>
          <w:tcPr>
            <w:tcW w:type="dxa" w:w="2880"/>
          </w:tcPr>
          <w:p>
            <w:r>
              <w:t>Oxymorphone</w:t>
            </w:r>
          </w:p>
        </w:tc>
        <w:tc>
          <w:tcPr>
            <w:tcW w:type="dxa" w:w="2880"/>
          </w:tcPr>
          <w:p>
            <w:r>
              <w:t>פומי</w:t>
            </w:r>
          </w:p>
        </w:tc>
        <w:tc>
          <w:tcPr>
            <w:tcW w:type="dxa" w:w="2880"/>
          </w:tcPr>
          <w:p>
            <w:r>
              <w:t>≥ 25 mg/day</w:t>
            </w:r>
          </w:p>
        </w:tc>
      </w:tr>
    </w:tbl>
    <w:p/>
    <w:p/>
    <w:p>
      <w:pPr>
        <w:pStyle w:val="Quote"/>
      </w:pPr>
      <w:r>
        <w:t>⚠️ שני התנאים חייבים להתקיים במקביל: מינון מספק ומשך ≥ שבוע.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ניתוח נתוני PCA — Demand-to-Delivery Ratio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יחס Demands : Delivered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פרשנות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פעולה</w:t>
            </w:r>
          </w:p>
        </w:tc>
      </w:tr>
      <w:tr>
        <w:tc>
          <w:tcPr>
            <w:tcW w:type="dxa" w:w="2880"/>
          </w:tcPr>
          <w:p>
            <w:r>
              <w:t>~1:1</w:t>
            </w:r>
          </w:p>
        </w:tc>
        <w:tc>
          <w:tcPr>
            <w:tcW w:type="dxa" w:w="2880"/>
          </w:tcPr>
          <w:p>
            <w:r>
              <w:t>PCA מספקת ✓</w:t>
            </w:r>
          </w:p>
        </w:tc>
        <w:tc>
          <w:tcPr>
            <w:tcW w:type="dxa" w:w="2880"/>
          </w:tcPr>
          <w:p>
            <w:r>
              <w:t>המשך ניטור</w:t>
            </w:r>
          </w:p>
        </w:tc>
      </w:tr>
      <w:tr>
        <w:tc>
          <w:tcPr>
            <w:tcW w:type="dxa" w:w="2880"/>
          </w:tcPr>
          <w:p>
            <w:r>
              <w:t>&gt; 2:1</w:t>
            </w:r>
          </w:p>
        </w:tc>
        <w:tc>
          <w:tcPr>
            <w:tcW w:type="dxa" w:w="2880"/>
          </w:tcPr>
          <w:p>
            <w:r>
              <w:t>Inadequate Analgesia — Lockout ארוך מדי</w:t>
            </w:r>
          </w:p>
        </w:tc>
        <w:tc>
          <w:tcPr>
            <w:tcW w:type="dxa" w:w="2880"/>
          </w:tcPr>
          <w:p>
            <w:r>
              <w:t>קצר את ה-Lockout Interval</w:t>
            </w:r>
          </w:p>
        </w:tc>
      </w:tr>
      <w:tr>
        <w:tc>
          <w:tcPr>
            <w:tcW w:type="dxa" w:w="2880"/>
          </w:tcPr>
          <w:p>
            <w:r>
              <w:t>מנות רבות עם VAS ≥ 4</w:t>
            </w:r>
          </w:p>
        </w:tc>
        <w:tc>
          <w:tcPr>
            <w:tcW w:type="dxa" w:w="2880"/>
          </w:tcPr>
          <w:p>
            <w:r>
              <w:t>תת-שיכוך</w:t>
            </w:r>
          </w:p>
        </w:tc>
        <w:tc>
          <w:tcPr>
            <w:tcW w:type="dxa" w:w="2880"/>
          </w:tcPr>
          <w:p>
            <w:r>
              <w:t>אופטימיזציה (ר' מטה)</w:t>
            </w:r>
          </w:p>
        </w:tc>
      </w:tr>
    </w:tbl>
    <w:p/>
    <w:p/>
    <w:p>
      <w:r/>
      <w:r>
        <w:rPr>
          <w:b/>
        </w:rPr>
        <w:t>אסטרטגיות אופטימיזציה של PCA:</w:t>
      </w:r>
      <w:r/>
    </w:p>
    <w:p>
      <w:pPr>
        <w:pStyle w:val="ListBullet"/>
      </w:pPr>
      <w:r/>
      <w:r>
        <w:rPr>
          <w:b/>
        </w:rPr>
        <w:t>קיצור Lockout Interval</w:t>
      </w:r>
      <w:r>
        <w:t xml:space="preserve"> (למשל 10 → 6-8 דקות) — </w:t>
      </w:r>
      <w:r>
        <w:rPr>
          <w:b/>
        </w:rPr>
        <w:t>מועדף</w:t>
      </w:r>
      <w:r>
        <w:t xml:space="preserve"> כשהמטופל דורש בתדירות גבוהה</w:t>
      </w:r>
    </w:p>
    <w:p>
      <w:pPr>
        <w:pStyle w:val="ListBullet"/>
      </w:pPr>
      <w:r/>
      <w:r>
        <w:rPr>
          <w:b/>
        </w:rPr>
        <w:t>הגדלת Bolus Dose ב-25-50%</w:t>
      </w:r>
      <w:r>
        <w:t xml:space="preserve"> — אפשרי, אך שילוש המינון </w:t>
      </w:r>
      <w:r>
        <w:rPr>
          <w:b/>
        </w:rPr>
        <w:t>מסוכן</w:t>
      </w:r>
      <w:r>
        <w:t xml:space="preserve"> (Respiratory Depression)</w:t>
      </w:r>
    </w:p>
    <w:p>
      <w:pPr>
        <w:pStyle w:val="ListBullet"/>
      </w:pPr>
      <w:r/>
      <w:r>
        <w:rPr>
          <w:b/>
        </w:rPr>
        <w:t>לא להפסיק Multimodal adjuvants</w:t>
      </w:r>
      <w:r>
        <w:t xml:space="preserve"> (Paracetamol, Dipyrone) — הם משמשים Opioid-Sparing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תגובת Stress — תמצית מטבולית</w:t>
      </w:r>
    </w:p>
    <w:p/>
    <w:p>
      <w:r>
        <w:t>```</w:t>
      </w:r>
    </w:p>
    <w:p>
      <w:r>
        <w:t>כאב חריף → HPA Axis + Sympathetic Activation</w:t>
      </w:r>
    </w:p>
    <w:p>
      <w:r>
        <w:t xml:space="preserve">         ↓</w:t>
      </w:r>
    </w:p>
    <w:p>
      <w:r>
        <w:t>↑ Cortisol / Catecholamines / Glucagon / GH</w:t>
      </w:r>
    </w:p>
    <w:p>
      <w:r>
        <w:t>↓ Insulin sensitivity</w:t>
      </w:r>
    </w:p>
    <w:p>
      <w:r>
        <w:t xml:space="preserve">         ↓</w:t>
      </w:r>
    </w:p>
    <w:p>
      <w:r>
        <w:t>┌─────────────────────────────────────┐</w:t>
      </w:r>
    </w:p>
    <w:p>
      <w:r>
        <w:t>│ Lipolysis    → ↑ Free Fatty Acids  │</w:t>
      </w:r>
    </w:p>
    <w:p>
      <w:r>
        <w:t>│ Glycogenolysis → Hyperglycemia     │</w:t>
      </w:r>
    </w:p>
    <w:p>
      <w:r>
        <w:t>│ Proteolysis  → Negative N balance  │</w:t>
      </w:r>
    </w:p>
    <w:p>
      <w:r>
        <w:t>│ Coagulation  → Hypercoagulability  │</w:t>
      </w:r>
    </w:p>
    <w:p>
      <w:r>
        <w:t>└─────────────────────────────────────┘</w:t>
      </w:r>
    </w:p>
    <w:p>
      <w:r>
        <w:t>```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🔴 קריטי לבחינה</w:t>
      </w:r>
    </w:p>
    <w:p/>
    <w:p>
      <w:pPr>
        <w:pStyle w:val="ListNumber"/>
      </w:pPr>
      <w:r/>
      <w:r>
        <w:rPr>
          <w:b/>
        </w:rPr>
        <w:t>Stress Response → Hypercoagulability, לא Hypocoagulability!</w:t>
      </w:r>
      <w:r/>
    </w:p>
    <w:p>
      <w:r>
        <w:t xml:space="preserve">   עלייה ב-Platelet Reactivity + פיברינוגן + ירידה בפיברינוליזה → סיכון ל-DVT/PE. טעות נפוצה להחליף עם תת-קרישיות.</w:t>
      </w:r>
    </w:p>
    <w:p/>
    <w:p>
      <w:pPr>
        <w:pStyle w:val="ListNumber"/>
      </w:pPr>
      <w:r/>
      <w:r>
        <w:rPr>
          <w:b/>
        </w:rPr>
        <w:t>Stress Response → Hyperglycemia, לא Hypoglycemia!</w:t>
      </w:r>
      <w:r/>
    </w:p>
    <w:p>
      <w:r>
        <w:t xml:space="preserve">   גלוקונאוגנזה + גליקוגנוליזה + עמידות לאינסולין = עלייה ברמת הסוכר.</w:t>
      </w:r>
    </w:p>
    <w:p/>
    <w:p>
      <w:pPr>
        <w:pStyle w:val="ListNumber"/>
      </w:pPr>
      <w:r/>
      <w:r>
        <w:rPr>
          <w:b/>
        </w:rPr>
        <w:t>ה-Demand:Delivery Ratio הוא המדד המרכזי ב-PCA, לא רק ה-VAS לבדו.</w:t>
      </w:r>
      <w:r/>
    </w:p>
    <w:p>
      <w:r>
        <w:t xml:space="preserve">   יחס 3:1 עם VAS 5 → Lockout ארוך מדי, לא בהכרח מינון נמוך מדי.</w:t>
      </w:r>
    </w:p>
    <w:p/>
    <w:p>
      <w:pPr>
        <w:pStyle w:val="ListNumber"/>
      </w:pPr>
      <w:r/>
      <w:r>
        <w:rPr>
          <w:b/>
        </w:rPr>
        <w:t>NSAIDs בשחרור מושהה (Slow Release) אינם עדיפים בכאב חריף פוסט-ניתוחי.</w:t>
      </w:r>
      <w:r/>
    </w:p>
    <w:p>
      <w:r>
        <w:t xml:space="preserve">   Time-to-peak איטי מדי. בכאב חריף דרוש Rapid Onset — תכשירים קונבנציונליים עדיפים.</w:t>
      </w:r>
    </w:p>
    <w:p/>
    <w:p>
      <w:pPr>
        <w:pStyle w:val="ListNumber"/>
      </w:pPr>
      <w:r/>
      <w:r>
        <w:rPr>
          <w:b/>
        </w:rPr>
        <w:t>COX-2 inhibitors ≈ NSAIDs ביעילות אנלגטית.</w:t>
      </w:r>
      <w:r>
        <w:t xml:space="preserve"> יתרונם הוא בטיחות GI ואי-השפעה על טסיות, לא ביעילות גבוהה יותר.</w:t>
      </w:r>
    </w:p>
    <w:p/>
    <w:p>
      <w:pPr>
        <w:pStyle w:val="ListNumber"/>
      </w:pPr>
      <w:r/>
      <w:r>
        <w:rPr>
          <w:b/>
        </w:rPr>
        <w:t>Opioid Tolerance — שני תנאים הכרחיים:</w:t>
      </w:r>
      <w:r>
        <w:t xml:space="preserve"> מינון ≥ סף </w:t>
      </w:r>
      <w:r>
        <w:rPr>
          <w:b/>
        </w:rPr>
        <w:t>וגם</w:t>
      </w:r>
      <w:r>
        <w:t xml:space="preserve"> ≥ שבוע. Oxymorphone 25 mg ל-3 ימים = </w:t>
      </w:r>
      <w:r>
        <w:rPr>
          <w:b/>
        </w:rPr>
        <w:t>לא</w:t>
      </w:r>
      <w:r>
        <w:t xml:space="preserve"> Tolerant (זמן קצר מדי).</w:t>
      </w:r>
    </w:p>
    <w:p/>
    <w:p>
      <w:pPr>
        <w:pStyle w:val="ListNumber"/>
      </w:pPr>
      <w:r/>
      <w:r>
        <w:rPr>
          <w:b/>
        </w:rPr>
        <w:t>Preemptive Analgesia: התיאוריה חזקה, הראיות הקליניות — עמומות (Equivocal)</w:t>
      </w:r>
      <w:r>
        <w:t xml:space="preserve"> בשל בעיות מתודולוגיות. הקונצפט הרלוונטי יותר קלינית הוא </w:t>
      </w:r>
      <w:r>
        <w:rPr>
          <w:b/>
        </w:rPr>
        <w:t>Preventive Analgesia</w:t>
      </w:r>
      <w:r>
        <w:t>.</w:t>
      </w:r>
    </w:p>
    <w:p/>
    <w:p>
      <w:pPr>
        <w:pStyle w:val="ListNumber"/>
      </w:pPr>
      <w:r/>
      <w:r>
        <w:rPr>
          <w:b/>
        </w:rPr>
        <w:t>Multimodal Analgesia מומלצת "whenever feasible"</w:t>
      </w:r>
      <w:r>
        <w:t xml:space="preserve"> — זהו המסר הרשמי של Miller. לא לבחור אופיואיד כטיפול יחיד כשקיימות אלטרנטיבות.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 — Stress Response</w:t>
      </w:r>
      <w:r/>
    </w:p>
    <w:p>
      <w:r>
        <w:t>מטופל לאחר ניתוח בטן גדול ללא שיכוך כאב מספק. מה מאפיין את התגובה המטבולית שצפויה?</w:t>
      </w:r>
    </w:p>
    <w:p/>
    <w:p>
      <w:pPr>
        <w:pStyle w:val="Quote"/>
      </w:pPr>
      <w:r>
        <w:t>תשובה: עלייה ב-Free Fatty Acids (Lipolysis), Hyperglycemia (גלוקונאוגנזה), Negative Nitrogen Balance (פירוק שרירים), ו-Hypercoagulability — כולן ביטויים של תגובה קטבולית (Catabolic Stress Response) עם עלייה ב-Cortisol ו-Catecholamines.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 — Opioid Tolerance (מועד מאי 2024)</w:t>
      </w:r>
      <w:r/>
    </w:p>
    <w:p>
      <w:r>
        <w:t>איזה מהבאים מוגדר כ-Opioid Tolerant לפי ה-FDA?</w:t>
      </w:r>
    </w:p>
    <w:p/>
    <w:p>
      <w:r>
        <w:t>א. Fentanyl 25 mcg/h Transdermal למשך 10 ימים</w:t>
      </w:r>
    </w:p>
    <w:p>
      <w:r>
        <w:t>ב. Morphine 30 mg PO למשך שבועיים</w:t>
      </w:r>
    </w:p>
    <w:p>
      <w:r>
        <w:t>ג. Oxycodone 20 mg PO למשך יומיים</w:t>
      </w:r>
    </w:p>
    <w:p>
      <w:r>
        <w:t>ד. Oxymorphone 25 mg PO למשך 3 ימים</w:t>
      </w:r>
    </w:p>
    <w:p/>
    <w:p>
      <w:pPr>
        <w:pStyle w:val="Quote"/>
      </w:pPr>
      <w:r>
        <w:t>תשובה: א — היחיד העומד בשני הקריטריונים: מינון מספק (25 mcg/h) ומשך ≥ שבוע (10 ימים). ב' — מינון נמוך מדי (נדרש 60 mg). ג' — מינון ומשך שניהם נמוכים. ד' — מינון מתאים אך משך &lt; שבוע.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 — PCA Optimization (מועד ספטמבר 2024)</w:t>
      </w:r>
      <w:r/>
    </w:p>
    <w:p>
      <w:r>
        <w:t>מטופל לאחר ניתוח עם PCA Morphine. Demands = 150, Delivered = 50, VAS = 5. מה הצעד המתאים?</w:t>
      </w:r>
    </w:p>
    <w:p/>
    <w:p>
      <w:r>
        <w:t>א. שלש את מינון ה-Bolus</w:t>
      </w:r>
    </w:p>
    <w:p>
      <w:r>
        <w:t>ב. הפסק Paracetamol ותן אופיואיד בלבד</w:t>
      </w:r>
    </w:p>
    <w:p>
      <w:r>
        <w:t>ג. הוסף Continuous (Basal) Infusion</w:t>
      </w:r>
    </w:p>
    <w:p>
      <w:r>
        <w:t>ד. קצר את ה-Lockout Interval והמשך Paracetamol &amp; Dipyrone</w:t>
      </w:r>
    </w:p>
    <w:p/>
    <w:p>
      <w:pPr>
        <w:pStyle w:val="Quote"/>
      </w:pPr>
      <w:r>
        <w:t>תשובה: ד — יחס 3:1 מעיד על Lockout ארוך מדי. קיצור הזמן מאפשר Titration טוב יותר. שילוש המינון מסוכן (Respiratory Depression). הפסקת Multimodal adjuvants — שגוי.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 — NSAIDs בניתוח אמבולטורי (מועד מאי 2024)</w:t>
      </w:r>
      <w:r/>
    </w:p>
    <w:p>
      <w:r>
        <w:t>מה נכון לגבי שימוש ב-NSAIDs בניתוח אמבולטורי (ארתרוסקופיה)?</w:t>
      </w:r>
    </w:p>
    <w:p/>
    <w:p>
      <w:r>
        <w:t>א. NSAIDs בשחרור מושהה עדיפים לשיכוך כאב חריף לאחר הניתוח</w:t>
      </w:r>
    </w:p>
    <w:p>
      <w:r>
        <w:t>ב. COX-2 inhibitors יעילים יותר אנלגטית מ-NSAIDs לא-סלקטיביים</w:t>
      </w:r>
    </w:p>
    <w:p>
      <w:r>
        <w:t>ג. NSAIDs מראים Preemptive Analgesia חזקה ומוכחת קלינית</w:t>
      </w:r>
    </w:p>
    <w:p>
      <w:r>
        <w:t>ד. NSAIDs בשחרור מושהה אינם עדיפים על NSAIDs מסורתיים בכאב חריף</w:t>
      </w:r>
    </w:p>
    <w:p/>
    <w:p>
      <w:pPr>
        <w:pStyle w:val="Quote"/>
      </w:pPr>
      <w:r>
        <w:t>תשובה: ד — Time-to-peak של Slow Release ארוך מדי לכאב חריף מיידי. COX-2 = יעילות דומה, לא עדיפה. Preemptive Analgesia — ראיות קליניות עמומות.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 — Multimodal Analgesia</w:t>
      </w:r>
      <w:r/>
    </w:p>
    <w:p>
      <w:r>
        <w:t>מה הרציונל לשימוש ב-Multimodal Analgesia לעומת מונותרפיה באופיואיד?</w:t>
      </w:r>
    </w:p>
    <w:p/>
    <w:p>
      <w:pPr>
        <w:pStyle w:val="Quote"/>
      </w:pPr>
      <w:r>
        <w:t>תשובה: שימוש בתרופות ממספר קבוצות (NSAIDs, Paracetamol, Gabapentinoids, Ketamine) המכוונות לנקודות שונות במסלול הכאב יוצר Synergism — אנלגזיה טובה יותר במינונים נמוכים יותר מכל תרופה → הפחתת תופעות לוואי (פחות בחילות, פחות Respiratory Depression, פחות עצירות). מומלצת כברירת מחדל כשניתן.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`Physiological Foundations of the Neuroendocrine Stress Response to Pain.docx`</w:t>
      </w:r>
    </w:p>
    <w:p>
      <w:pPr>
        <w:pStyle w:val="ListBullet"/>
      </w:pPr>
      <w:r>
        <w:t>`Ambulatory Anesthesia and Acute Postoperative Pain Management.docx`</w:t>
      </w:r>
    </w:p>
    <w:p>
      <w:pPr>
        <w:pStyle w:val="ListBullet"/>
      </w:pPr>
      <w:r>
        <w:t>`Clinical Criteria for Opioid Tolerance Identification.docx`</w:t>
      </w:r>
    </w:p>
    <w:p>
      <w:pPr>
        <w:pStyle w:val="ListBullet"/>
      </w:pPr>
      <w:r>
        <w:t>`Optimization of Patient-Controlled Analgesia and Lockout Intervals.docx`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Ch.77 — Acute Postoperative Pain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