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83. Burn Management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Burn Shock</w:t>
      </w:r>
      <w:r>
        <w:t xml:space="preserve"> הוא מודל קלאסי של Ischemia/Reperfusion Injury המתפתח בשני שלבים:</w:t>
      </w:r>
    </w:p>
    <w:p>
      <w:r>
        <w:t xml:space="preserve">  - </w:t>
      </w:r>
      <w:r>
        <w:rPr>
          <w:b/>
        </w:rPr>
        <w:t>Ebb Phase</w:t>
      </w:r>
      <w:r>
        <w:t xml:space="preserve"> (0–48 שעות): מצב Hypodynamic + Hypovolemic — אובדן מסיבי של נוזלים לחלל חוץ-וסקולרי, ירידה ב-Cardiac Output</w:t>
      </w:r>
    </w:p>
    <w:p>
      <w:r>
        <w:t xml:space="preserve">  - </w:t>
      </w:r>
      <w:r>
        <w:rPr>
          <w:b/>
        </w:rPr>
        <w:t>Flow Phase</w:t>
      </w:r>
      <w:r>
        <w:t xml:space="preserve"> (לאחר 48 שעות): מצב Hyperdynamic + Hypermetabolic — Tachycardia, עלייה ב-CO, Hyperthermia, Hyperglycemia, Protein Catabolism מוגבר</w:t>
      </w:r>
    </w:p>
    <w:p/>
    <w:p>
      <w:pPr>
        <w:pStyle w:val="ListBullet"/>
      </w:pPr>
      <w:r/>
      <w:r>
        <w:rPr>
          <w:b/>
        </w:rPr>
        <w:t>Inhalation Injury</w:t>
      </w:r>
      <w:r>
        <w:t xml:space="preserve"> הוא גורם פרוגנוסטי מרכזי לתמותה ותחלואה — יש לשקול Endotracheal Intubation מוקדם בכל מקרה של איום על פתיחות דרכי האוויר</w:t>
      </w:r>
    </w:p>
    <w:p/>
    <w:p>
      <w:pPr>
        <w:pStyle w:val="ListBullet"/>
      </w:pPr>
      <w:r/>
      <w:r>
        <w:rPr>
          <w:b/>
        </w:rPr>
        <w:t>הערכת TBSA (Total Body Surface Area)</w:t>
      </w:r>
      <w:r>
        <w:t>:</w:t>
      </w:r>
    </w:p>
    <w:p>
      <w:r>
        <w:t xml:space="preserve">  - מבוגרים: </w:t>
      </w:r>
      <w:r>
        <w:rPr>
          <w:b/>
        </w:rPr>
        <w:t>Rule of Nines</w:t>
      </w:r>
      <w:r/>
    </w:p>
    <w:p>
      <w:r>
        <w:t xml:space="preserve">  - ילדים: </w:t>
      </w:r>
      <w:r>
        <w:rPr>
          <w:b/>
        </w:rPr>
        <w:t>Lund-Browder Diagram</w:t>
      </w:r>
      <w:r>
        <w:t xml:space="preserve"> — מדויק יותר כי מתחשב בשינויי פרופורציות עם הגיל (ראש גדול יחסית בינקות → קטן יחסית עם הגדילה; גפיים תחתונות קטנות בינקות → גדלות יחסית עם הגדילה)</w:t>
      </w:r>
    </w:p>
    <w:p/>
    <w:p>
      <w:pPr>
        <w:pStyle w:val="ListBullet"/>
      </w:pPr>
      <w:r/>
      <w:r>
        <w:rPr>
          <w:b/>
        </w:rPr>
        <w:t>כל חולה כוויות חמור = Multiple Trauma Patient</w:t>
      </w:r>
      <w:r>
        <w:t xml:space="preserve"> עד הוכחת היפך — פציעות נלוות לא תרמיות חייבות להיות מאובחנות בהערכה הראשונית</w:t>
      </w:r>
    </w:p>
    <w:p/>
    <w:p>
      <w:pPr>
        <w:pStyle w:val="ListBullet"/>
      </w:pPr>
      <w:r/>
      <w:r>
        <w:rPr>
          <w:b/>
        </w:rPr>
        <w:t>החייאת נוזלים</w:t>
      </w:r>
      <w:r>
        <w:t xml:space="preserve"> מטרתה שמירה על פרפוזיה איברים — כל נוסחה היא </w:t>
      </w:r>
      <w:r>
        <w:rPr>
          <w:b/>
        </w:rPr>
        <w:t>קו מנחה בלבד</w:t>
      </w:r>
      <w:r>
        <w:t xml:space="preserve"> ויש לטטר לפי פרמטרים פיזיולוגיים (Urine Output, MAP, Lactate)</w:t>
      </w:r>
    </w:p>
    <w:p/>
    <w:p>
      <w:pPr>
        <w:pStyle w:val="ListBullet"/>
      </w:pPr>
      <w:r/>
      <w:r>
        <w:rPr>
          <w:b/>
        </w:rPr>
        <w:t>Anesthesiologist תפקיד מרכזי</w:t>
      </w:r>
      <w:r>
        <w:t>: ניהול דרכי אוויר בחדר מיון, החייאה, הרדמה לניתוחים (Escharotomy, Debridement, Grafting), ICU, וניהול כאב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החייאת נוזלים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תכולה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כמות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160"/>
          </w:tcPr>
          <w:p>
            <w:r>
              <w:t>Parkland</w:t>
            </w:r>
          </w:p>
        </w:tc>
        <w:tc>
          <w:tcPr>
            <w:tcW w:type="dxa" w:w="2160"/>
          </w:tcPr>
          <w:p>
            <w:r>
              <w:t>Lactated Ringer's</w:t>
            </w:r>
          </w:p>
        </w:tc>
        <w:tc>
          <w:tcPr>
            <w:tcW w:type="dxa" w:w="2160"/>
          </w:tcPr>
          <w:p>
            <w:r>
              <w:t>4 ml × kg × %TBSA</w:t>
            </w:r>
          </w:p>
        </w:tc>
        <w:tc>
          <w:tcPr>
            <w:tcW w:type="dxa" w:w="2160"/>
          </w:tcPr>
          <w:p>
            <w:r>
              <w:t>החצי הראשון ב-8 שעות ראשונות (מזמן הפציעה), החצי השני ב-16 שעות הבאות</w:t>
            </w:r>
          </w:p>
        </w:tc>
      </w:tr>
      <w:tr>
        <w:tc>
          <w:tcPr>
            <w:tcW w:type="dxa" w:w="2160"/>
          </w:tcPr>
          <w:p>
            <w:r>
              <w:t>Modified Brooke</w:t>
            </w:r>
          </w:p>
        </w:tc>
        <w:tc>
          <w:tcPr>
            <w:tcW w:type="dxa" w:w="2160"/>
          </w:tcPr>
          <w:p>
            <w:r>
              <w:t>LR</w:t>
            </w:r>
          </w:p>
        </w:tc>
        <w:tc>
          <w:tcPr>
            <w:tcW w:type="dxa" w:w="2160"/>
          </w:tcPr>
          <w:p>
            <w:r>
              <w:t>2 ml × kg × %TBSA</w:t>
            </w:r>
          </w:p>
        </w:tc>
        <w:tc>
          <w:tcPr>
            <w:tcW w:type="dxa" w:w="2160"/>
          </w:tcPr>
          <w:p>
            <w:r>
              <w:t>± Colloid לאחר 24 שעות</w:t>
            </w:r>
          </w:p>
        </w:tc>
      </w:tr>
      <w:tr>
        <w:tc>
          <w:tcPr>
            <w:tcW w:type="dxa" w:w="2160"/>
          </w:tcPr>
          <w:p>
            <w:r>
              <w:t>Galveston (ילדים)</w:t>
            </w:r>
          </w:p>
        </w:tc>
        <w:tc>
          <w:tcPr>
            <w:tcW w:type="dxa" w:w="2160"/>
          </w:tcPr>
          <w:p>
            <w:r>
              <w:t>LR + Dextrose</w:t>
            </w:r>
          </w:p>
        </w:tc>
        <w:tc>
          <w:tcPr>
            <w:tcW w:type="dxa" w:w="2160"/>
          </w:tcPr>
          <w:p>
            <w:r>
              <w:t>5000 ml/m² burned + 2000 ml/m² BSA</w:t>
            </w:r>
          </w:p>
        </w:tc>
        <w:tc>
          <w:tcPr>
            <w:tcW w:type="dxa" w:w="2160"/>
          </w:tcPr>
          <w:p>
            <w:r>
              <w:t>מותאם לילדים</w:t>
            </w:r>
          </w:p>
        </w:tc>
      </w:tr>
    </w:tbl>
    <w:p/>
    <w:p/>
    <w:p>
      <w:pPr>
        <w:pStyle w:val="Quote"/>
      </w:pPr>
      <w:r>
        <w:t>⚠️ חשוב: הנוזלים מחושבים מזמן הפציעה, לא מזמן הגעה לבית החולים!</w:t>
      </w:r>
    </w:p>
    <w:p/>
    <w:p>
      <w:pPr>
        <w:pStyle w:val="Heading3"/>
      </w:pPr>
      <w:r>
        <w:t>Rule of Nines — מבוגרים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TBSA</w:t>
            </w:r>
          </w:p>
        </w:tc>
      </w:tr>
      <w:tr>
        <w:tc>
          <w:tcPr>
            <w:tcW w:type="dxa" w:w="4320"/>
          </w:tcPr>
          <w:p>
            <w:r>
              <w:t>ראש + צוואר</w:t>
            </w:r>
          </w:p>
        </w:tc>
        <w:tc>
          <w:tcPr>
            <w:tcW w:type="dxa" w:w="4320"/>
          </w:tcPr>
          <w:p>
            <w:r>
              <w:t>9%</w:t>
            </w:r>
          </w:p>
        </w:tc>
      </w:tr>
      <w:tr>
        <w:tc>
          <w:tcPr>
            <w:tcW w:type="dxa" w:w="4320"/>
          </w:tcPr>
          <w:p>
            <w:r>
              <w:t>כל זרוע (×2)</w:t>
            </w:r>
          </w:p>
        </w:tc>
        <w:tc>
          <w:tcPr>
            <w:tcW w:type="dxa" w:w="4320"/>
          </w:tcPr>
          <w:p>
            <w:r>
              <w:t>9% × 2</w:t>
            </w:r>
          </w:p>
        </w:tc>
      </w:tr>
      <w:tr>
        <w:tc>
          <w:tcPr>
            <w:tcW w:type="dxa" w:w="4320"/>
          </w:tcPr>
          <w:p>
            <w:r>
              <w:t>גו קדמי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גו אחורי</w:t>
            </w:r>
          </w:p>
        </w:tc>
        <w:tc>
          <w:tcPr>
            <w:tcW w:type="dxa" w:w="4320"/>
          </w:tcPr>
          <w:p>
            <w:r>
              <w:t>18%</w:t>
            </w:r>
          </w:p>
        </w:tc>
      </w:tr>
      <w:tr>
        <w:tc>
          <w:tcPr>
            <w:tcW w:type="dxa" w:w="4320"/>
          </w:tcPr>
          <w:p>
            <w:r>
              <w:t>כל רגל (×2)</w:t>
            </w:r>
          </w:p>
        </w:tc>
        <w:tc>
          <w:tcPr>
            <w:tcW w:type="dxa" w:w="4320"/>
          </w:tcPr>
          <w:p>
            <w:r>
              <w:t>18% × 2</w:t>
            </w:r>
          </w:p>
        </w:tc>
      </w:tr>
      <w:tr>
        <w:tc>
          <w:tcPr>
            <w:tcW w:type="dxa" w:w="4320"/>
          </w:tcPr>
          <w:p>
            <w:r>
              <w:t>פרינאום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</w:tbl>
    <w:p/>
    <w:p/>
    <w:p>
      <w:pPr>
        <w:pStyle w:val="Heading3"/>
      </w:pPr>
      <w:r>
        <w:t>Lund-Browder — ירך (Left/Right Thigh) לפי 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% לכל ירך</w:t>
            </w:r>
          </w:p>
        </w:tc>
      </w:tr>
      <w:tr>
        <w:tc>
          <w:tcPr>
            <w:tcW w:type="dxa" w:w="4320"/>
          </w:tcPr>
          <w:p>
            <w:r>
              <w:t>0–1 שנה</w:t>
            </w:r>
          </w:p>
        </w:tc>
        <w:tc>
          <w:tcPr>
            <w:tcW w:type="dxa" w:w="4320"/>
          </w:tcPr>
          <w:p>
            <w:r>
              <w:t>5.5%</w:t>
            </w:r>
          </w:p>
        </w:tc>
      </w:tr>
      <w:tr>
        <w:tc>
          <w:tcPr>
            <w:tcW w:type="dxa" w:w="4320"/>
          </w:tcPr>
          <w:p>
            <w:r>
              <w:t>5 שנים</w:t>
            </w:r>
          </w:p>
        </w:tc>
        <w:tc>
          <w:tcPr>
            <w:tcW w:type="dxa" w:w="4320"/>
          </w:tcPr>
          <w:p>
            <w:r>
              <w:t>6.5%</w:t>
            </w:r>
          </w:p>
        </w:tc>
      </w:tr>
      <w:tr>
        <w:tc>
          <w:tcPr>
            <w:tcW w:type="dxa" w:w="4320"/>
          </w:tcPr>
          <w:p>
            <w:r>
              <w:t>10 שנים</w:t>
            </w:r>
          </w:p>
        </w:tc>
        <w:tc>
          <w:tcPr>
            <w:tcW w:type="dxa" w:w="4320"/>
          </w:tcPr>
          <w:p>
            <w:r>
              <w:t>7.0%</w:t>
            </w:r>
          </w:p>
        </w:tc>
      </w:tr>
      <w:tr>
        <w:tc>
          <w:tcPr>
            <w:tcW w:type="dxa" w:w="4320"/>
          </w:tcPr>
          <w:p>
            <w:r>
              <w:t>15 שנים</w:t>
            </w:r>
          </w:p>
        </w:tc>
        <w:tc>
          <w:tcPr>
            <w:tcW w:type="dxa" w:w="4320"/>
          </w:tcPr>
          <w:p>
            <w:r>
              <w:t>8.0%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</w:tbl>
    <w:p/>
    <w:p/>
    <w:p>
      <w:pPr>
        <w:pStyle w:val="Quote"/>
      </w:pPr>
      <w:r>
        <w:t>📌 הירך היא הדוגמה הקלאסית לאזור שגדל ביחסו לשטח הגוף עם הגיל — ולכן Rule of Nines מדיר בילדים צעירים</w:t>
      </w:r>
    </w:p>
    <w:p/>
    <w:p>
      <w:pPr>
        <w:pStyle w:val="Heading3"/>
      </w:pPr>
      <w:r>
        <w:t>Endpoints להחייאה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</w:t>
            </w:r>
          </w:p>
        </w:tc>
      </w:tr>
      <w:tr>
        <w:tc>
          <w:tcPr>
            <w:tcW w:type="dxa" w:w="4320"/>
          </w:tcPr>
          <w:p>
            <w:r>
              <w:t>Urine Output (מבוגר)</w:t>
            </w:r>
          </w:p>
        </w:tc>
        <w:tc>
          <w:tcPr>
            <w:tcW w:type="dxa" w:w="4320"/>
          </w:tcPr>
          <w:p>
            <w:r>
              <w:t>0.5–1 ml/kg/hr</w:t>
            </w:r>
          </w:p>
        </w:tc>
      </w:tr>
      <w:tr>
        <w:tc>
          <w:tcPr>
            <w:tcW w:type="dxa" w:w="4320"/>
          </w:tcPr>
          <w:p>
            <w:r>
              <w:t>Urine Output (ילד)</w:t>
            </w:r>
          </w:p>
        </w:tc>
        <w:tc>
          <w:tcPr>
            <w:tcW w:type="dxa" w:w="4320"/>
          </w:tcPr>
          <w:p>
            <w:r>
              <w:t>1 ml/kg/hr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≥ 65 mmHg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Airway Management</w:t>
      </w:r>
    </w:p>
    <w:p>
      <w:pPr>
        <w:pStyle w:val="ListBullet"/>
      </w:pPr>
      <w:r/>
      <w:r>
        <w:rPr>
          <w:b/>
        </w:rPr>
        <w:t>Inhalation Injury</w:t>
      </w:r>
      <w:r>
        <w:t xml:space="preserve"> → Intubation </w:t>
      </w:r>
      <w:r>
        <w:rPr>
          <w:b/>
        </w:rPr>
        <w:t>מוקדמת ואקטיבית</w:t>
      </w:r>
      <w:r>
        <w:t xml:space="preserve"> — בצקת הגרון יכולה להתפתח במהירות ולהפוך Intubation לבלתי אפשרית</w:t>
      </w:r>
    </w:p>
    <w:p>
      <w:pPr>
        <w:pStyle w:val="ListBullet"/>
      </w:pPr>
      <w:r>
        <w:t>סימנים לנזק שאיפה: שריפת שיער אף, פיח בפה/גרון, קוצר נשימה, קול צרוד, Carbon in Sputum</w:t>
      </w:r>
    </w:p>
    <w:p>
      <w:pPr>
        <w:pStyle w:val="ListBullet"/>
      </w:pPr>
      <w:r/>
      <w:r>
        <w:rPr>
          <w:b/>
        </w:rPr>
        <w:t>CO Poisoning</w:t>
      </w:r>
      <w:r>
        <w:t xml:space="preserve">: תת-אבחון נפוץ — Pulse Oximetry אינה אמינה! SpO₂ יכולה להיות נורמלית. יש למדוד </w:t>
      </w:r>
      <w:r>
        <w:rPr>
          <w:b/>
        </w:rPr>
        <w:t>COHb</w:t>
      </w:r>
      <w:r>
        <w:t xml:space="preserve"> בגז דם. טיפול: O₂ 100%</w:t>
      </w:r>
    </w:p>
    <w:p/>
    <w:p>
      <w:pPr>
        <w:pStyle w:val="Heading3"/>
      </w:pPr>
      <w:r>
        <w:t>🔴 פרמקולוגיה — שינויים בכוויות חמורות</w:t>
      </w:r>
    </w:p>
    <w:p>
      <w:pPr>
        <w:pStyle w:val="ListBullet"/>
      </w:pPr>
      <w:r/>
      <w:r>
        <w:rPr>
          <w:b/>
        </w:rPr>
        <w:t>Succinylcholine — CONTRAINDICATED</w:t>
      </w:r>
      <w:r>
        <w:t xml:space="preserve"> לאחר 24–48 שעות מהפציעה ועד לריפוי מלא — סכנת </w:t>
      </w:r>
      <w:r>
        <w:rPr>
          <w:b/>
        </w:rPr>
        <w:t>Hyperkalemia מסכנת חיים</w:t>
      </w:r>
      <w:r>
        <w:t xml:space="preserve"> עקב Upregulation של Extrajunctional Acetylcholine Receptors</w:t>
      </w:r>
    </w:p>
    <w:p>
      <w:pPr>
        <w:pStyle w:val="ListBullet"/>
      </w:pPr>
      <w:r/>
      <w:r>
        <w:rPr>
          <w:b/>
        </w:rPr>
        <w:t>דרישת Rocuronium עולה</w:t>
      </w:r>
      <w:r>
        <w:t xml:space="preserve"> (Resistance לנון-דפולריזינג NMBAs) — בשלב ה-Flow Phase</w:t>
      </w:r>
    </w:p>
    <w:p>
      <w:pPr>
        <w:pStyle w:val="ListBullet"/>
      </w:pPr>
      <w:r/>
      <w:r>
        <w:rPr>
          <w:b/>
        </w:rPr>
        <w:t>עלייה בנפח התפלגות</w:t>
      </w:r>
      <w:r>
        <w:t xml:space="preserve"> ושינוי ב-Protein Binding → שינויים בפרמקוקינטיקה של רוב התרופות</w:t>
      </w:r>
    </w:p>
    <w:p/>
    <w:p>
      <w:pPr>
        <w:pStyle w:val="Heading3"/>
      </w:pPr>
      <w:r>
        <w:t>🔴 Escharotomy</w:t>
      </w:r>
    </w:p>
    <w:p>
      <w:pPr>
        <w:pStyle w:val="ListBullet"/>
      </w:pPr>
      <w:r>
        <w:t>כוויות עמוקות (Full Thickness) מקיפות → Compartment Syndrome</w:t>
      </w:r>
    </w:p>
    <w:p>
      <w:pPr>
        <w:pStyle w:val="ListBullet"/>
      </w:pPr>
      <w:r>
        <w:t>Escharotomy אינה דורשת הרדמה כללית בכוויות Full Thickness (רקמה מתה)</w:t>
      </w:r>
    </w:p>
    <w:p/>
    <w:p>
      <w:pPr>
        <w:pStyle w:val="Heading3"/>
      </w:pPr>
      <w:r>
        <w:t>🔴 הערכת עומק הכוויה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שכבה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מראה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כאב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ריפוי</w:t>
            </w:r>
          </w:p>
        </w:tc>
      </w:tr>
      <w:tr>
        <w:tc>
          <w:tcPr>
            <w:tcW w:type="dxa" w:w="1728"/>
          </w:tcPr>
          <w:p>
            <w:r>
              <w:t>Superficial (1st)</w:t>
            </w:r>
          </w:p>
        </w:tc>
        <w:tc>
          <w:tcPr>
            <w:tcW w:type="dxa" w:w="1728"/>
          </w:tcPr>
          <w:p>
            <w:r>
              <w:t>Epidermis בלבד</w:t>
            </w:r>
          </w:p>
        </w:tc>
        <w:tc>
          <w:tcPr>
            <w:tcW w:type="dxa" w:w="1728"/>
          </w:tcPr>
          <w:p>
            <w:r>
              <w:t>אדמומיות, ללא בליסטרים</w:t>
            </w:r>
          </w:p>
        </w:tc>
        <w:tc>
          <w:tcPr>
            <w:tcW w:type="dxa" w:w="1728"/>
          </w:tcPr>
          <w:p>
            <w:r>
              <w:t>כואב</w:t>
            </w:r>
          </w:p>
        </w:tc>
        <w:tc>
          <w:tcPr>
            <w:tcW w:type="dxa" w:w="1728"/>
          </w:tcPr>
          <w:p>
            <w:r>
              <w:t>3–7 ימים</w:t>
            </w:r>
          </w:p>
        </w:tc>
      </w:tr>
      <w:tr>
        <w:tc>
          <w:tcPr>
            <w:tcW w:type="dxa" w:w="1728"/>
          </w:tcPr>
          <w:p>
            <w:r>
              <w:t>Partial Thickness (2nd)</w:t>
            </w:r>
          </w:p>
        </w:tc>
        <w:tc>
          <w:tcPr>
            <w:tcW w:type="dxa" w:w="1728"/>
          </w:tcPr>
          <w:p>
            <w:r>
              <w:t>Epidermis + חלק מ-Dermis</w:t>
            </w:r>
          </w:p>
        </w:tc>
        <w:tc>
          <w:tcPr>
            <w:tcW w:type="dxa" w:w="1728"/>
          </w:tcPr>
          <w:p>
            <w:r>
              <w:t>בליסטרים, לח</w:t>
            </w:r>
          </w:p>
        </w:tc>
        <w:tc>
          <w:tcPr>
            <w:tcW w:type="dxa" w:w="1728"/>
          </w:tcPr>
          <w:p>
            <w:r>
              <w:t>כואב מאוד</w:t>
            </w:r>
          </w:p>
        </w:tc>
        <w:tc>
          <w:tcPr>
            <w:tcW w:type="dxa" w:w="1728"/>
          </w:tcPr>
          <w:p>
            <w:r>
              <w:t>2–3 שבועות</w:t>
            </w:r>
          </w:p>
        </w:tc>
      </w:tr>
      <w:tr>
        <w:tc>
          <w:tcPr>
            <w:tcW w:type="dxa" w:w="1728"/>
          </w:tcPr>
          <w:p>
            <w:r>
              <w:t>Full Thickness (3rd)</w:t>
            </w:r>
          </w:p>
        </w:tc>
        <w:tc>
          <w:tcPr>
            <w:tcW w:type="dxa" w:w="1728"/>
          </w:tcPr>
          <w:p>
            <w:r>
              <w:t>כל העובי</w:t>
            </w:r>
          </w:p>
        </w:tc>
        <w:tc>
          <w:tcPr>
            <w:tcW w:type="dxa" w:w="1728"/>
          </w:tcPr>
          <w:p>
            <w:r>
              <w:t>לבן/שחור/עורי, יבש</w:t>
            </w:r>
          </w:p>
        </w:tc>
        <w:tc>
          <w:tcPr>
            <w:tcW w:type="dxa" w:w="1728"/>
          </w:tcPr>
          <w:p>
            <w:r>
              <w:t>לא כואב</w:t>
            </w:r>
          </w:p>
        </w:tc>
        <w:tc>
          <w:tcPr>
            <w:tcW w:type="dxa" w:w="1728"/>
          </w:tcPr>
          <w:p>
            <w:r>
              <w:t>דורש גרפט</w:t>
            </w:r>
          </w:p>
        </w:tc>
      </w:tr>
      <w:tr>
        <w:tc>
          <w:tcPr>
            <w:tcW w:type="dxa" w:w="1728"/>
          </w:tcPr>
          <w:p>
            <w:r>
              <w:t>4th Degree</w:t>
            </w:r>
          </w:p>
        </w:tc>
        <w:tc>
          <w:tcPr>
            <w:tcW w:type="dxa" w:w="1728"/>
          </w:tcPr>
          <w:p>
            <w:r>
              <w:t>עד שריר/עצם</w:t>
            </w:r>
          </w:p>
        </w:tc>
        <w:tc>
          <w:tcPr>
            <w:tcW w:type="dxa" w:w="1728"/>
          </w:tcPr>
          <w:p>
            <w:r>
              <w:t>שחור</w:t>
            </w:r>
          </w:p>
        </w:tc>
        <w:tc>
          <w:tcPr>
            <w:tcW w:type="dxa" w:w="1728"/>
          </w:tcPr>
          <w:p>
            <w:r>
              <w:t>לא כואב</w:t>
            </w:r>
          </w:p>
        </w:tc>
        <w:tc>
          <w:tcPr>
            <w:tcW w:type="dxa" w:w="1728"/>
          </w:tcPr>
          <w:p>
            <w:r>
              <w:t>ניתוח מורכב</w:t>
            </w:r>
          </w:p>
        </w:tc>
      </w:tr>
    </w:tbl>
    <w:p/>
    <w:p/>
    <w:p>
      <w:pPr>
        <w:pStyle w:val="Heading3"/>
      </w:pPr>
      <w:r>
        <w:t>🔴 Hypermetabolic State</w:t>
      </w:r>
    </w:p>
    <w:p>
      <w:pPr>
        <w:pStyle w:val="ListBullet"/>
      </w:pPr>
      <w:r>
        <w:t>מתחיל ~48 שעות לאחר הפציעה</w:t>
      </w:r>
    </w:p>
    <w:p>
      <w:pPr>
        <w:pStyle w:val="ListBullet"/>
      </w:pPr>
      <w:r/>
      <w:r>
        <w:rPr>
          <w:b/>
        </w:rPr>
        <w:t>Hyperthermia</w:t>
      </w:r>
      <w:r>
        <w:t xml:space="preserve"> (38–39°C) — נורמלי בחולה כוויות! אין לטפל כ-Sepsis מיד</w:t>
      </w:r>
    </w:p>
    <w:p>
      <w:pPr>
        <w:pStyle w:val="ListBullet"/>
      </w:pPr>
      <w:r>
        <w:t>עלייה עצומה בצריכת קלוריות → Nutritional Support מוקדם (Enteral &gt; Parenteral)</w:t>
      </w:r>
    </w:p>
    <w:p>
      <w:pPr>
        <w:pStyle w:val="ListBullet"/>
      </w:pPr>
      <w:r/>
      <w:r>
        <w:rPr>
          <w:b/>
        </w:rPr>
        <w:t>Insulin Resistance</w:t>
      </w:r>
      <w:r>
        <w:t xml:space="preserve"> ו-Hyperglycemia — מנגנון מורכב של Catecholamines + Cortisol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ילד בן שנתיים סבל מכוויות בפניו, חזהו הקדמי, וירכו השמאלית. לאיזה כלי הערכה תשתמש לחישוב TBSA, ומה הסיבה?</w:t>
      </w:r>
      <w:r/>
    </w:p>
    <w:p/>
    <w:p>
      <w:r/>
      <w:r>
        <w:rPr>
          <w:b/>
        </w:rPr>
        <w:t>תשובה:</w:t>
      </w:r>
      <w:r>
        <w:t xml:space="preserve"> תרשים </w:t>
      </w:r>
      <w:r>
        <w:rPr>
          <w:b/>
        </w:rPr>
        <w:t>Lund-Browder</w:t>
      </w:r>
      <w:r>
        <w:t xml:space="preserve"> — מדויק יותר בילדים כי מתחשב בשינויים ביחס שטח הגוף עם הגיל. בינקות הראש מהווה אחוז גבוה יותר מה-TBSA בעוד הגפיים התחתונות מהוות אחוז קטן יותר. Rule of Nines מיועד למבוגרים ועלול להוביל לחישוב שגוי של נוזלי החייאה בילדים.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גבר בן 70 ק"ג סבל מכוויות Full Thickness ב-30% TBSA. כמה ליטר נוזל יש לתת ב-8 השעות הראשונות לפי נוסחת Parkland? הפציעה אירעה שעתיים לפני הגעה לאיחוד הדחוף.</w:t>
      </w:r>
      <w:r/>
    </w:p>
    <w:p/>
    <w:p>
      <w:r/>
      <w:r>
        <w:rPr>
          <w:b/>
        </w:rPr>
        <w:t>תשובה:</w:t>
      </w:r>
      <w:r>
        <w:t xml:space="preserve"> סה"כ לפי Parkland: 4 × 70 × 30 = </w:t>
      </w:r>
      <w:r>
        <w:rPr>
          <w:b/>
        </w:rPr>
        <w:t>8,400 ml</w:t>
      </w:r>
      <w:r>
        <w:t xml:space="preserve"> ב-24 שעות. החצי = 4,200 ml ניתן ב-8 שעות </w:t>
      </w:r>
      <w:r>
        <w:rPr>
          <w:b/>
        </w:rPr>
        <w:t>מזמן הפציעה</w:t>
      </w:r>
      <w:r>
        <w:t xml:space="preserve"> — כלומר נותרו 6 שעות, ולכן יש לתת 4,200 ml תוך 6 שעות (≈700 ml/hr). החצי השני (4,200 ml) ב-16 השעות הבאות.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מדוע Succinylcholine אסורה בחולה עם כוויות חמורות שנפגע לפני 5 ימים?</w:t>
      </w:r>
      <w:r/>
    </w:p>
    <w:p/>
    <w:p>
      <w:r/>
      <w:r>
        <w:rPr>
          <w:b/>
        </w:rPr>
        <w:t>תשובה:</w:t>
      </w:r>
      <w:r>
        <w:t xml:space="preserve"> לאחר 24–48 שעות מכוויה חמורה מתרחש </w:t>
      </w:r>
      <w:r>
        <w:rPr>
          <w:b/>
        </w:rPr>
        <w:t>Upregulation של Extrajunctional Acetylcholine Receptors</w:t>
      </w:r>
      <w:r>
        <w:t xml:space="preserve"> בשרירים. מתן Succinylcholine גורם לשחרור מסיבי של </w:t>
      </w:r>
      <w:r>
        <w:rPr>
          <w:b/>
        </w:rPr>
        <w:t>Potassium</w:t>
      </w:r>
      <w:r>
        <w:t xml:space="preserve"> → </w:t>
      </w:r>
      <w:r>
        <w:rPr>
          <w:b/>
        </w:rPr>
        <w:t>Hyperkalemia</w:t>
      </w:r>
      <w:r>
        <w:t xml:space="preserve"> עם סכנה ל-Cardiac Arrest. האיסור קיים מ-48 שעות עד לריפוי מלא של הפצעים.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חולה עם כוויות 40% TBSA, יום 3 לאחר הפציעה, מציג Tachycardia, חום 38.5°C, ו-Hyperglycemia. מה הסביר ביותר?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Hypermetabolic/Flow Phase</w:t>
      </w:r>
      <w:r>
        <w:t xml:space="preserve"> — תופעה פיזיולוגית נורמלית לאחר כוויות חמורות המתחילה ב-48 שעות לאחר הפציעה. כוללת Tachycardia, Hyperthermia, Hyperglycemia ועלייה ב-Cardiac Output. יש להיות מודעים שאבחנה זו אינה שוללת Sepsis, אך Fever ב-38–39°C לבדו בחולה כוויות אינו מצביע בהכרח על זיהום.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הכלי המהימן ביותר לאבחון CO Poisoning בחולה עם כוויות?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Co-oximetry בגז דם עורקי (ABG)</w:t>
      </w:r>
      <w:r>
        <w:t xml:space="preserve"> המודדת ישירות את </w:t>
      </w:r>
      <w:r>
        <w:rPr>
          <w:b/>
        </w:rPr>
        <w:t>Carboxyhemoglobin (COHb)</w:t>
      </w:r>
      <w:r>
        <w:t xml:space="preserve">. Pulse Oximetry רגילה </w:t>
      </w:r>
      <w:r>
        <w:rPr>
          <w:b/>
        </w:rPr>
        <w:t>אינה אמינה</w:t>
      </w:r>
      <w:r>
        <w:t xml:space="preserve"> — היא אינה מבדילה בין OxyHb ל-COHb ועלולה להציג ספורציה נורמלית למרות הרעלה חמורה.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`הערכת שטח כוויות בילדים_ תרשים לונד-בראודר.docx`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Ch.83 — Burn Management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