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5172" w14:textId="77777777" w:rsidR="00DC6938" w:rsidRDefault="00DC6938" w:rsidP="00DC6938">
      <w:pPr>
        <w:bidi/>
        <w:ind w:left="720"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סטטיסטיקה 2</w:t>
      </w:r>
    </w:p>
    <w:p w14:paraId="2A285702" w14:textId="77777777" w:rsidR="00DC6938" w:rsidRDefault="00DC6938" w:rsidP="00DC6938">
      <w:pPr>
        <w:bidi/>
        <w:ind w:left="720"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מטלה 2</w:t>
      </w:r>
    </w:p>
    <w:p w14:paraId="689EC456" w14:textId="77777777" w:rsidR="00DC6938" w:rsidRDefault="00DC6938" w:rsidP="00DC6938">
      <w:pPr>
        <w:bidi/>
        <w:ind w:left="720"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 עידן </w:t>
      </w:r>
      <w:proofErr w:type="spellStart"/>
      <w:r>
        <w:rPr>
          <w:rFonts w:hint="cs"/>
          <w:rtl/>
          <w:lang w:val="en-US"/>
        </w:rPr>
        <w:t>פוגרבינסקי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325069565 עילי אבני 212.......</w:t>
      </w:r>
    </w:p>
    <w:p w14:paraId="2DDF0490" w14:textId="77777777" w:rsidR="00DC6938" w:rsidRDefault="00DC6938" w:rsidP="00DC6938">
      <w:pPr>
        <w:bidi/>
        <w:ind w:left="720"/>
        <w:jc w:val="center"/>
        <w:rPr>
          <w:rtl/>
          <w:lang w:val="en-US"/>
        </w:rPr>
      </w:pPr>
    </w:p>
    <w:p w14:paraId="5FBEE2AD" w14:textId="77777777" w:rsidR="00DC6938" w:rsidRDefault="00DC6938" w:rsidP="00DC6938">
      <w:pPr>
        <w:bidi/>
        <w:ind w:left="720"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שאלה 3</w:t>
      </w:r>
    </w:p>
    <w:p w14:paraId="390AE2EF" w14:textId="77777777" w:rsidR="00DC6938" w:rsidRPr="0030055B" w:rsidRDefault="00DC6938" w:rsidP="00DC6938">
      <w:pPr>
        <w:bidi/>
        <w:ind w:left="720"/>
        <w:jc w:val="center"/>
        <w:rPr>
          <w:rFonts w:hint="cs"/>
          <w:rtl/>
          <w:lang w:val="en-US"/>
        </w:rPr>
      </w:pPr>
    </w:p>
    <w:p w14:paraId="5A0FFABF" w14:textId="77777777" w:rsidR="00DC6938" w:rsidRDefault="00DC6938" w:rsidP="00760592">
      <w:pPr>
        <w:bidi/>
        <w:rPr>
          <w:rtl/>
          <w:lang w:val="en-US"/>
        </w:rPr>
      </w:pPr>
    </w:p>
    <w:p w14:paraId="104CEC78" w14:textId="28CE3E70" w:rsidR="00DC6938" w:rsidRPr="00DC6938" w:rsidRDefault="00DC6938" w:rsidP="00DC6938">
      <w:pPr>
        <w:bidi/>
        <w:rPr>
          <w:rFonts w:eastAsiaTheme="minorEastAsia"/>
          <w:i/>
          <w:lang w:val="en-US"/>
        </w:rPr>
      </w:pPr>
      <w:r>
        <w:rPr>
          <w:rFonts w:hint="cs"/>
          <w:rtl/>
          <w:lang w:val="en-US"/>
        </w:rPr>
        <w:t xml:space="preserve">על פי ההגדרה </w:t>
      </w:r>
      <m:oMath>
        <m:r>
          <w:rPr>
            <w:rFonts w:ascii="Cambria Math" w:eastAsiaTheme="minorEastAsia" w:hAnsi="Cambria Math"/>
            <w:lang w:val="en-US"/>
          </w:rPr>
          <m:t>p-value=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α:T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b>
                </m:sSub>
              </m:e>
            </m:d>
          </m:e>
        </m:func>
      </m:oMath>
      <w:r>
        <w:rPr>
          <w:rFonts w:eastAsiaTheme="minorEastAsia" w:hint="cs"/>
          <w:rtl/>
          <w:lang w:val="en-US"/>
        </w:rPr>
        <w:t xml:space="preserve">, ניזכר בכך שאזור דחייה הוא מקיים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α</m:t>
            </m:r>
          </m:sub>
        </m:sSub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, ∞)</m:t>
        </m:r>
      </m:oMath>
    </w:p>
    <w:p w14:paraId="6F72D1C4" w14:textId="36E9A351" w:rsidR="007B3854" w:rsidRDefault="00760592" w:rsidP="00DC6938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 כ</w:t>
      </w:r>
      <w:r w:rsidR="00DC6938">
        <w:rPr>
          <w:rFonts w:hint="cs"/>
          <w:rtl/>
          <w:lang w:val="en-US"/>
        </w:rPr>
        <w:t>ך</w:t>
      </w:r>
      <w:r>
        <w:rPr>
          <w:rFonts w:hint="cs"/>
          <w:rtl/>
          <w:lang w:val="en-US"/>
        </w:rPr>
        <w:t xml:space="preserve"> מתקיים </w:t>
      </w:r>
      <m:oMath>
        <m:r>
          <w:rPr>
            <w:rFonts w:ascii="Cambria Math" w:hAnsi="Cambria Math"/>
            <w:lang w:val="en-US"/>
          </w:rPr>
          <m:t>p-value=</m:t>
        </m:r>
        <m:r>
          <m:rPr>
            <m:sty m:val="p"/>
          </m:rPr>
          <w:rPr>
            <w:rFonts w:ascii="Cambria Math" w:hAnsi="Cambria Math"/>
            <w:lang w:val="en-US"/>
          </w:rPr>
          <m:t>inf⁡{a:T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>
        <w:rPr>
          <w:rFonts w:eastAsiaTheme="minorEastAsia"/>
          <w:lang w:val="en-US"/>
        </w:rPr>
        <w:t xml:space="preserve"> </w:t>
      </w:r>
    </w:p>
    <w:p w14:paraId="3C2B305E" w14:textId="673CFD7E" w:rsidR="00DC6938" w:rsidRDefault="00DC6938" w:rsidP="00DC6938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בשילוב עם הטענה הקודמת עם ההגדרה לגודל המבחן, נראה כי גודל המבחן הוא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sup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θ∈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</m:e>
            </m:d>
          </m:e>
        </m:func>
      </m:oMath>
      <w:r>
        <w:rPr>
          <w:rFonts w:eastAsiaTheme="minorEastAsia" w:hint="cs"/>
          <w:sz w:val="24"/>
          <w:szCs w:val="24"/>
          <w:rtl/>
          <w:lang w:val="en-US"/>
        </w:rPr>
        <w:t xml:space="preserve">, כלומר </w:t>
      </w:r>
      <w:proofErr w:type="spellStart"/>
      <w:r>
        <w:rPr>
          <w:rFonts w:eastAsiaTheme="minorEastAsia" w:hint="cs"/>
          <w:sz w:val="24"/>
          <w:szCs w:val="24"/>
          <w:rtl/>
          <w:lang w:val="en-US"/>
        </w:rPr>
        <w:t>הסופרימום</w:t>
      </w:r>
      <w:proofErr w:type="spellEnd"/>
      <w:r>
        <w:rPr>
          <w:rFonts w:eastAsiaTheme="minorEastAsia" w:hint="cs"/>
          <w:sz w:val="24"/>
          <w:szCs w:val="24"/>
          <w:rtl/>
          <w:lang w:val="en-US"/>
        </w:rPr>
        <w:t xml:space="preserve"> על ההסתברות שהמבחן חורג לאזור הדחייה תחת משפחת </w:t>
      </w:r>
      <m:oMath>
        <m:r>
          <w:rPr>
            <w:rFonts w:ascii="Cambria Math" w:eastAsiaTheme="minorEastAsia" w:hAnsi="Cambria Math"/>
            <w:lang w:val="en-US"/>
          </w:rPr>
          <m:t>θ∈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29D5B4E0" w14:textId="16BA53F9" w:rsidR="00E43B08" w:rsidRPr="00D3368D" w:rsidRDefault="00E43B08" w:rsidP="00E43B08">
      <w:pPr>
        <w:bidi/>
        <w:rPr>
          <w:rFonts w:eastAsiaTheme="minorEastAsia"/>
          <w:b/>
          <w:bCs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כעת ניזכר כי אנו דוחים את השארת האפס </w:t>
      </w:r>
      <w:proofErr w:type="spellStart"/>
      <w:r>
        <w:rPr>
          <w:rFonts w:eastAsiaTheme="minorEastAsia" w:hint="cs"/>
          <w:sz w:val="24"/>
          <w:szCs w:val="24"/>
          <w:rtl/>
          <w:lang w:val="en-US"/>
        </w:rPr>
        <w:t>אממ</w:t>
      </w:r>
      <w:proofErr w:type="spellEnd"/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 w:hint="cs"/>
          <w:sz w:val="24"/>
          <w:szCs w:val="24"/>
          <w:rtl/>
          <w:lang w:val="en-US"/>
        </w:rPr>
        <w:t xml:space="preserve">, </w:t>
      </w:r>
      <w:r w:rsidRPr="00E43B08">
        <w:rPr>
          <w:rFonts w:eastAsiaTheme="minorEastAsia" w:hint="cs"/>
          <w:b/>
          <w:bCs/>
          <w:sz w:val="24"/>
          <w:szCs w:val="24"/>
          <w:rtl/>
          <w:lang w:val="en-US"/>
        </w:rPr>
        <w:t xml:space="preserve">אזי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sup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  <w:sz w:val="24"/>
                    <w:szCs w:val="24"/>
                    <w:lang w:val="en-US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θ∈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b/>
                    <w:bCs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≥T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lang w:val="en-US"/>
          </w:rPr>
          <m:t>≤p</m:t>
        </m:r>
      </m:oMath>
    </w:p>
    <w:p w14:paraId="053429D0" w14:textId="453621B7" w:rsidR="00D3368D" w:rsidRPr="00D3368D" w:rsidRDefault="00D3368D" w:rsidP="00D3368D">
      <w:pPr>
        <w:bidi/>
        <w:rPr>
          <w:rFonts w:eastAsiaTheme="minorEastAsia" w:hint="cs"/>
          <w:i/>
          <w:rtl/>
          <w:lang w:val="en-US"/>
        </w:rPr>
      </w:pPr>
      <w:r w:rsidRPr="00D3368D">
        <w:rPr>
          <w:rFonts w:eastAsiaTheme="minorEastAsia" w:hint="cs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D3368D">
        <w:rPr>
          <w:rFonts w:eastAsiaTheme="minorEastAsia"/>
          <w:lang w:val="en-US"/>
        </w:rPr>
        <w:t xml:space="preserve">  </w:t>
      </w:r>
      <w:r w:rsidRPr="00D3368D">
        <w:rPr>
          <w:rFonts w:eastAsiaTheme="minorEastAsia" w:hint="cs"/>
          <w:rtl/>
          <w:lang w:val="en-US"/>
        </w:rPr>
        <w:t>גודל המבחן</w:t>
      </w:r>
      <w:r>
        <w:rPr>
          <w:rFonts w:eastAsiaTheme="minorEastAsia" w:hint="cs"/>
          <w:rtl/>
          <w:lang w:val="en-US"/>
        </w:rPr>
        <w:t>.</w:t>
      </w:r>
    </w:p>
    <w:p w14:paraId="0E4A3EE3" w14:textId="5DE9A34C" w:rsidR="00DC6938" w:rsidRDefault="00E43B08" w:rsidP="00E43B0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נניח בשלילה כי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sup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θ∈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≥T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≠</m:t>
        </m:r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מאחר שהראנו את הטענה הקודמת, יתכן רק ש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sup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θ∈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≥T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 w:hint="cs"/>
          <w:rtl/>
          <w:lang w:val="en-US"/>
        </w:rPr>
        <w:t xml:space="preserve">. </w:t>
      </w:r>
    </w:p>
    <w:p w14:paraId="5B36186E" w14:textId="7D100AB4" w:rsidR="00E43B08" w:rsidRPr="005975EB" w:rsidRDefault="005975EB" w:rsidP="00E43B08">
      <w:pPr>
        <w:bidi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>נגדיר מבחן בו דוחים א</w:t>
      </w:r>
      <w:proofErr w:type="spellStart"/>
      <w:r>
        <w:rPr>
          <w:rFonts w:eastAsiaTheme="minorEastAsia" w:hint="cs"/>
          <w:rtl/>
          <w:lang w:val="en-US"/>
        </w:rPr>
        <w:t>ממ</w:t>
      </w:r>
      <w:proofErr w:type="spellEnd"/>
      <w:r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≥T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e>
        </m:d>
      </m:oMath>
      <w:r>
        <w:rPr>
          <w:rFonts w:eastAsiaTheme="minorEastAsia" w:hint="cs"/>
          <w:sz w:val="24"/>
          <w:szCs w:val="24"/>
          <w:rtl/>
          <w:lang w:val="en-US"/>
        </w:rPr>
        <w:t>, מאחר ש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sup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θ∈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≥T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&lt;p</m:t>
        </m:r>
      </m:oMath>
      <w:r>
        <w:rPr>
          <w:rFonts w:eastAsiaTheme="minorEastAsia" w:hint="cs"/>
          <w:rtl/>
          <w:lang w:val="en-US"/>
        </w:rPr>
        <w:t xml:space="preserve">, מצאנו מבחן בו נדחה את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ברמה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sup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θ∈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≥T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</m:e>
            </m:d>
          </m:e>
        </m:func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קטנה מ</w:t>
      </w:r>
      <m:oMath>
        <m:r>
          <w:rPr>
            <w:rFonts w:ascii="Cambria Math" w:eastAsiaTheme="minorEastAsia" w:hAnsi="Cambria Math"/>
            <w:lang w:val="en-US"/>
          </w:rPr>
          <m:t xml:space="preserve">p </m:t>
        </m:r>
      </m:oMath>
      <w:r>
        <w:rPr>
          <w:rFonts w:eastAsiaTheme="minorEastAsia" w:hint="cs"/>
          <w:rtl/>
          <w:lang w:val="en-US"/>
        </w:rPr>
        <w:t xml:space="preserve">, בסתירה לכך שרמת המבחן היא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</w:p>
    <w:p w14:paraId="7E23F3A9" w14:textId="6E6BDF62" w:rsidR="00AF34A0" w:rsidRDefault="005975EB" w:rsidP="00AF34A0">
      <w:pPr>
        <w:bidi/>
        <w:rPr>
          <w:rFonts w:eastAsiaTheme="minorEastAsia"/>
          <w:lang w:val="en-US"/>
        </w:rPr>
      </w:pPr>
      <w:r>
        <w:rPr>
          <w:rFonts w:hint="cs"/>
          <w:rtl/>
          <w:lang w:val="en-US"/>
        </w:rPr>
        <w:t xml:space="preserve">ולכן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sup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θ∈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≥T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  <w:lang w:val="en-US"/>
          </w:rPr>
          <m:t>=p-value</m:t>
        </m:r>
      </m:oMath>
    </w:p>
    <w:p w14:paraId="3B65AE89" w14:textId="46E58207" w:rsidR="00AF34A0" w:rsidRDefault="00AF34A0" w:rsidP="00AF34A0">
      <w:pPr>
        <w:bidi/>
        <w:rPr>
          <w:rFonts w:eastAsiaTheme="minorEastAsia"/>
          <w:lang w:val="en-US"/>
        </w:rPr>
      </w:pPr>
    </w:p>
    <w:p w14:paraId="6DBA3296" w14:textId="1B33A1DA" w:rsidR="00AF34A0" w:rsidRDefault="00AF34A0" w:rsidP="00AF34A0">
      <w:pPr>
        <w:bidi/>
        <w:rPr>
          <w:rFonts w:eastAsiaTheme="minorEastAsia"/>
          <w:lang w:val="en-US"/>
        </w:rPr>
      </w:pPr>
    </w:p>
    <w:p w14:paraId="26D4D754" w14:textId="4E556EA8" w:rsidR="00AF34A0" w:rsidRDefault="00AF34A0" w:rsidP="00AF34A0">
      <w:pPr>
        <w:bidi/>
        <w:rPr>
          <w:rFonts w:eastAsiaTheme="minorEastAsia"/>
          <w:lang w:val="en-US"/>
        </w:rPr>
      </w:pPr>
    </w:p>
    <w:p w14:paraId="3E830543" w14:textId="436DBA33" w:rsidR="00AF34A0" w:rsidRDefault="00AF34A0" w:rsidP="00AF34A0">
      <w:pPr>
        <w:bidi/>
        <w:rPr>
          <w:rFonts w:eastAsiaTheme="minorEastAsia"/>
          <w:lang w:val="en-US"/>
        </w:rPr>
      </w:pPr>
    </w:p>
    <w:p w14:paraId="638D0EB7" w14:textId="357A7AAB" w:rsidR="00AF34A0" w:rsidRDefault="00AF34A0" w:rsidP="00AF34A0">
      <w:pPr>
        <w:bidi/>
        <w:rPr>
          <w:rFonts w:eastAsiaTheme="minorEastAsia"/>
          <w:lang w:val="en-US"/>
        </w:rPr>
      </w:pPr>
    </w:p>
    <w:p w14:paraId="36C0B316" w14:textId="19A318FA" w:rsidR="00AF34A0" w:rsidRDefault="00AF34A0" w:rsidP="00AF34A0">
      <w:pPr>
        <w:bidi/>
        <w:rPr>
          <w:rFonts w:eastAsiaTheme="minorEastAsia"/>
          <w:lang w:val="en-US"/>
        </w:rPr>
      </w:pPr>
    </w:p>
    <w:p w14:paraId="2101FB53" w14:textId="64136416" w:rsidR="00AF34A0" w:rsidRDefault="00AF34A0" w:rsidP="00AF34A0">
      <w:pPr>
        <w:bidi/>
        <w:rPr>
          <w:rFonts w:eastAsiaTheme="minorEastAsia"/>
          <w:lang w:val="en-US"/>
        </w:rPr>
      </w:pPr>
    </w:p>
    <w:p w14:paraId="56F37E07" w14:textId="5636AACF" w:rsidR="00AF34A0" w:rsidRDefault="00AF34A0" w:rsidP="00AF34A0">
      <w:pPr>
        <w:bidi/>
        <w:rPr>
          <w:rFonts w:eastAsiaTheme="minorEastAsia"/>
          <w:lang w:val="en-US"/>
        </w:rPr>
      </w:pPr>
    </w:p>
    <w:p w14:paraId="0A439FFE" w14:textId="5F5D901D" w:rsidR="00AF34A0" w:rsidRDefault="00AF34A0" w:rsidP="00AF34A0">
      <w:pPr>
        <w:bidi/>
        <w:rPr>
          <w:rFonts w:eastAsiaTheme="minorEastAsia"/>
          <w:lang w:val="en-US"/>
        </w:rPr>
      </w:pPr>
    </w:p>
    <w:p w14:paraId="236E9542" w14:textId="6460CDF4" w:rsidR="00AF34A0" w:rsidRDefault="00AF34A0" w:rsidP="00AF34A0">
      <w:pPr>
        <w:bidi/>
        <w:rPr>
          <w:rFonts w:eastAsiaTheme="minorEastAsia"/>
          <w:lang w:val="en-US"/>
        </w:rPr>
      </w:pPr>
    </w:p>
    <w:p w14:paraId="635DF7DA" w14:textId="26FA455B" w:rsidR="00AF34A0" w:rsidRDefault="00AF34A0" w:rsidP="00AF34A0">
      <w:pPr>
        <w:bidi/>
        <w:rPr>
          <w:rFonts w:eastAsiaTheme="minorEastAsia"/>
          <w:lang w:val="en-US"/>
        </w:rPr>
      </w:pPr>
    </w:p>
    <w:p w14:paraId="6A4381C2" w14:textId="029B507A" w:rsidR="00AF34A0" w:rsidRDefault="00AF34A0" w:rsidP="00AF34A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תרגיל בית 5</w:t>
      </w:r>
    </w:p>
    <w:p w14:paraId="1B6B014F" w14:textId="7218E267" w:rsidR="00AF34A0" w:rsidRDefault="00AF34A0" w:rsidP="00AF34A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נתחיל לרשום את הביטויים ולפתח אותם, עד שנגיע לתוצאה המבוקשת</w:t>
      </w:r>
    </w:p>
    <w:p w14:paraId="3FB28BA5" w14:textId="6F304389" w:rsidR="00AF34A0" w:rsidRPr="00AF4CF9" w:rsidRDefault="00AF34A0" w:rsidP="00AF34A0">
      <w:pPr>
        <w:bidi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se</m:t>
                          </m:r>
                        </m:e>
                      </m:acc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se</m:t>
                          </m:r>
                        </m:e>
                      </m:acc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-θ</m:t>
                  </m: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&lt;-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-θ</m:t>
                  </m: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&lt;-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</m:t>
                      </m:r>
                    </m:e>
                  </m:acc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</m:t>
                      </m:r>
                    </m:e>
                  </m:acc>
                </m:den>
              </m:f>
            </m:e>
          </m:d>
        </m:oMath>
      </m:oMathPara>
    </w:p>
    <w:p w14:paraId="299BC2F3" w14:textId="3F756837" w:rsidR="00AF4CF9" w:rsidRDefault="00AF4CF9" w:rsidP="00AF4CF9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נימוק למעבר השלישי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num>
          <m:den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se</m:t>
                </m:r>
              </m:e>
            </m:acc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מתפלג נורמלי</w:t>
      </w:r>
    </w:p>
    <w:p w14:paraId="162BDD46" w14:textId="2D48AA65" w:rsidR="00AF4CF9" w:rsidRDefault="00AF4CF9" w:rsidP="00AF4CF9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סעיף ב</w:t>
      </w:r>
    </w:p>
    <w:p w14:paraId="57BDABCC" w14:textId="54B41590" w:rsidR="00C82B44" w:rsidRDefault="008B7547" w:rsidP="00C82B44">
      <w:pPr>
        <w:bidi/>
        <w:rPr>
          <w:rFonts w:eastAsiaTheme="minorEastAsia" w:hint="cs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נציין כי </w:t>
      </w:r>
      <w:r w:rsidR="00C82B44">
        <w:rPr>
          <w:rFonts w:eastAsiaTheme="minorEastAsia" w:hint="cs"/>
          <w:sz w:val="24"/>
          <w:szCs w:val="24"/>
          <w:rtl/>
          <w:lang w:val="en-US"/>
        </w:rPr>
        <w:t>תחת הנחת האפס מתקיים</w:t>
      </w:r>
      <w:r>
        <w:rPr>
          <w:rFonts w:eastAsiaTheme="minorEastAsia" w:hint="cs"/>
          <w:sz w:val="24"/>
          <w:szCs w:val="24"/>
          <w:rtl/>
          <w:lang w:val="en-US"/>
        </w:rPr>
        <w:t>:</w:t>
      </w:r>
      <w:r w:rsidR="00C82B44">
        <w:rPr>
          <w:rFonts w:eastAsiaTheme="minorEastAsia" w:hint="cs"/>
          <w:sz w:val="24"/>
          <w:szCs w:val="24"/>
          <w:rtl/>
          <w:lang w:val="en-U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groupChr>
          <m:groupChrPr>
            <m:chr m:val="→"/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n→∞</m:t>
            </m:r>
          </m:e>
        </m:groupCh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*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C82B44">
        <w:rPr>
          <w:rFonts w:eastAsiaTheme="minorEastAsia" w:hint="cs"/>
          <w:rtl/>
          <w:lang w:val="en-US"/>
        </w:rPr>
        <w:t xml:space="preserve"> </w:t>
      </w:r>
      <w:r w:rsidR="00C82B44">
        <w:rPr>
          <w:rFonts w:eastAsiaTheme="minorEastAsia"/>
          <w:i/>
          <w:rtl/>
          <w:lang w:val="en-US"/>
        </w:rPr>
        <w:t xml:space="preserve"> ו</w:t>
      </w:r>
      <w:r w:rsidR="00C82B44">
        <w:rPr>
          <w:rFonts w:eastAsiaTheme="minorEastAsia" w:hint="cs"/>
          <w:i/>
          <w:rtl/>
          <w:lang w:val="en-US"/>
        </w:rPr>
        <w:t xml:space="preserve">גם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num>
          <m:den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se</m:t>
                </m:r>
              </m:e>
            </m:acc>
          </m:den>
        </m:f>
      </m:oMath>
      <w:r w:rsidR="00C82B44">
        <w:rPr>
          <w:rFonts w:eastAsiaTheme="minorEastAsia"/>
          <w:i/>
          <w:rtl/>
          <w:lang w:val="en-US"/>
        </w:rPr>
        <w:t xml:space="preserve">  </w:t>
      </w:r>
      <w:proofErr w:type="spellStart"/>
      <w:r w:rsidR="00C82B44">
        <w:rPr>
          <w:rFonts w:eastAsiaTheme="minorEastAsia"/>
          <w:i/>
          <w:rtl/>
          <w:lang w:val="en-US"/>
        </w:rPr>
        <w:t>אסימפטוטית</w:t>
      </w:r>
      <w:proofErr w:type="spellEnd"/>
      <w:r w:rsidR="00C82B44">
        <w:rPr>
          <w:rFonts w:eastAsiaTheme="minorEastAsia"/>
          <w:i/>
          <w:rtl/>
          <w:lang w:val="en-US"/>
        </w:rPr>
        <w:t xml:space="preserve"> נורמאלי</w:t>
      </w:r>
      <w:r>
        <w:rPr>
          <w:rFonts w:eastAsiaTheme="minorEastAsia" w:hint="cs"/>
          <w:i/>
          <w:rtl/>
          <w:lang w:val="en-US"/>
        </w:rPr>
        <w:t xml:space="preserve"> בשילוב הטענות הללו</w:t>
      </w:r>
      <w:r w:rsidR="00C82B44">
        <w:rPr>
          <w:rFonts w:eastAsiaTheme="minorEastAsia" w:hint="cs"/>
          <w:i/>
          <w:rtl/>
          <w:lang w:val="en-US"/>
        </w:rPr>
        <w:t xml:space="preserve"> מתקיים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se</m:t>
            </m:r>
          </m:e>
        </m:acc>
        <m:groupChr>
          <m:groupChrPr>
            <m:chr m:val="→"/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n→∞</m:t>
            </m:r>
          </m:e>
        </m:groupCh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0</m:t>
        </m:r>
      </m:oMath>
    </w:p>
    <w:p w14:paraId="631B8CBC" w14:textId="28C65DD4" w:rsidR="00C82B44" w:rsidRDefault="00C82B44" w:rsidP="00C82B44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ולכן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b>
                </m:sSub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num>
              <m:den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se</m:t>
                    </m:r>
                  </m:e>
                </m:acc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n→∞</m:t>
            </m:r>
          </m:e>
        </m:groupChr>
        <m:r>
          <w:rPr>
            <w:rFonts w:ascii="Cambria Math" w:eastAsiaTheme="minorEastAsia" w:hAnsi="Cambria Math"/>
            <w:lang w:val="en-US"/>
          </w:rPr>
          <m:t>±</m:t>
        </m:r>
        <m:r>
          <w:rPr>
            <w:rFonts w:ascii="Cambria Math" w:eastAsiaTheme="minorEastAsia" w:hAnsi="Cambria Math"/>
            <w:lang w:val="en-US"/>
          </w:rPr>
          <m:t>∞</m:t>
        </m:r>
      </m:oMath>
      <w:r>
        <w:rPr>
          <w:rFonts w:eastAsiaTheme="minorEastAsia" w:hint="cs"/>
          <w:rtl/>
          <w:lang w:val="en-US"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*</m:t>
            </m:r>
          </m:sub>
        </m:sSub>
      </m:oMath>
      <w:r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38EF6F56" w14:textId="6A8AF3DE" w:rsidR="00C82B44" w:rsidRDefault="00C82B44" w:rsidP="00C82B44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נפצל למקרים</w:t>
      </w:r>
      <w:r w:rsidR="001909A2">
        <w:rPr>
          <w:rFonts w:eastAsiaTheme="minorEastAsia" w:hint="cs"/>
          <w:sz w:val="24"/>
          <w:szCs w:val="24"/>
          <w:rtl/>
          <w:lang w:val="en-US"/>
        </w:rPr>
        <w:t>:</w:t>
      </w:r>
    </w:p>
    <w:p w14:paraId="7636BA64" w14:textId="4697FA91" w:rsidR="00C82B44" w:rsidRDefault="00C82B44" w:rsidP="00C82B44">
      <w:pPr>
        <w:bidi/>
        <w:rPr>
          <w:rFonts w:eastAsiaTheme="minorEastAsia" w:hint="cs"/>
          <w:sz w:val="24"/>
          <w:szCs w:val="24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</m:sSub>
        </m:oMath>
      </m:oMathPara>
    </w:p>
    <w:p w14:paraId="0E5704D0" w14:textId="55C8BEB4" w:rsidR="00AF4CF9" w:rsidRPr="00AF4CF9" w:rsidRDefault="001909A2" w:rsidP="00AF4CF9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num>
            <m:den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se</m:t>
                  </m:r>
                </m:e>
              </m:acc>
            </m:den>
          </m:f>
          <m:groupChr>
            <m:groupChrPr>
              <m:chr m:val="→"/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groupChrPr>
            <m:e>
              <m:r>
                <w:rPr>
                  <w:rFonts w:ascii="Cambria Math" w:eastAsiaTheme="minorEastAsia" w:hAnsi="Cambria Math"/>
                  <w:lang w:val="en-US"/>
                </w:rPr>
                <m:t>n→∞</m:t>
              </m:r>
            </m:e>
          </m:groupChr>
          <m:r>
            <w:rPr>
              <w:rFonts w:ascii="Cambria Math" w:eastAsiaTheme="minorEastAsia" w:hAnsi="Cambria Math"/>
              <w:lang w:val="en-US"/>
            </w:rPr>
            <m:t>-∞⟹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se</m:t>
                          </m:r>
                        </m:e>
                      </m:acc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-∞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se</m:t>
                          </m:r>
                        </m:e>
                      </m:acc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β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se</m:t>
                          </m:r>
                        </m:e>
                      </m:acc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se</m:t>
                          </m:r>
                        </m:e>
                      </m:acc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=1-0+0=1</m:t>
          </m:r>
        </m:oMath>
      </m:oMathPara>
    </w:p>
    <w:p w14:paraId="64EFC95F" w14:textId="43ADCD42" w:rsidR="00AF4CF9" w:rsidRPr="001909A2" w:rsidRDefault="001909A2" w:rsidP="00AF4CF9">
      <w:pPr>
        <w:bidi/>
        <w:rPr>
          <w:rFonts w:eastAsiaTheme="minorEastAsia"/>
          <w:i/>
          <w:sz w:val="24"/>
          <w:szCs w:val="24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</m:sSub>
        </m:oMath>
      </m:oMathPara>
    </w:p>
    <w:p w14:paraId="13F40FEC" w14:textId="15A65FCA" w:rsidR="001909A2" w:rsidRDefault="001909A2" w:rsidP="001909A2">
      <w:pPr>
        <w:pStyle w:val="a4"/>
        <w:numPr>
          <w:ilvl w:val="0"/>
          <w:numId w:val="1"/>
        </w:numPr>
        <w:bidi/>
        <w:rPr>
          <w:rFonts w:eastAsiaTheme="minorEastAsia"/>
          <w:i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num>
          <m:den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se</m:t>
                </m:r>
              </m:e>
            </m:acc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n→∞</m:t>
            </m:r>
          </m:e>
        </m:groupChr>
        <m:r>
          <w:rPr>
            <w:rFonts w:ascii="Cambria Math" w:eastAsiaTheme="minorEastAsia" w:hAnsi="Cambria Math"/>
            <w:lang w:val="en-US"/>
          </w:rPr>
          <m:t xml:space="preserve"> ∞⟹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b>
                    </m:sSub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num>
                  <m:den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se</m:t>
                        </m:r>
                      </m:e>
                    </m:acc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∞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b>
                    </m:sSub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num>
                  <m:den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se</m:t>
                        </m:r>
                      </m:e>
                    </m:acc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β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num>
                    <m:den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se</m:t>
                          </m:r>
                        </m:e>
                      </m:acc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num>
                    <m:den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se</m:t>
                          </m:r>
                        </m:e>
                      </m:acc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=1-1+1=1</m:t>
          </m:r>
        </m:oMath>
      </m:oMathPara>
    </w:p>
    <w:p w14:paraId="7DA82A86" w14:textId="2EBED09F" w:rsidR="001909A2" w:rsidRPr="001909A2" w:rsidRDefault="008B7547" w:rsidP="001909A2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ולכן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 xml:space="preserve"> β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*</m:t>
            </m:r>
          </m:sub>
        </m:sSub>
      </m:oMath>
      <w:r>
        <w:rPr>
          <w:rFonts w:eastAsiaTheme="minorEastAsia" w:hint="cs"/>
          <w:sz w:val="24"/>
          <w:szCs w:val="24"/>
          <w:rtl/>
          <w:lang w:val="en-US"/>
        </w:rPr>
        <w:t>.</w:t>
      </w:r>
    </w:p>
    <w:sectPr w:rsidR="001909A2" w:rsidRPr="00190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A23"/>
    <w:multiLevelType w:val="hybridMultilevel"/>
    <w:tmpl w:val="1C52D6EA"/>
    <w:lvl w:ilvl="0" w:tplc="13EA379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92"/>
    <w:rsid w:val="001909A2"/>
    <w:rsid w:val="005975EB"/>
    <w:rsid w:val="00760592"/>
    <w:rsid w:val="007B3854"/>
    <w:rsid w:val="008B7547"/>
    <w:rsid w:val="00AF34A0"/>
    <w:rsid w:val="00AF4CF9"/>
    <w:rsid w:val="00C82B44"/>
    <w:rsid w:val="00D3368D"/>
    <w:rsid w:val="00DC6938"/>
    <w:rsid w:val="00E4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ECA2"/>
  <w15:chartTrackingRefBased/>
  <w15:docId w15:val="{24F22DB8-0CEB-4DF0-96E3-1E3902D2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0592"/>
    <w:rPr>
      <w:color w:val="808080"/>
    </w:rPr>
  </w:style>
  <w:style w:type="paragraph" w:styleId="a4">
    <w:name w:val="List Paragraph"/>
    <w:basedOn w:val="a"/>
    <w:uiPriority w:val="34"/>
    <w:qFormat/>
    <w:rsid w:val="001909A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</Pages>
  <Words>256</Words>
  <Characters>2246</Characters>
  <Application>Microsoft Office Word</Application>
  <DocSecurity>0</DocSecurity>
  <Lines>64</Lines>
  <Paragraphs>69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Pogrebinsky</dc:creator>
  <cp:keywords/>
  <dc:description/>
  <cp:lastModifiedBy>Idan Pogrebinsky</cp:lastModifiedBy>
  <cp:revision>2</cp:revision>
  <dcterms:created xsi:type="dcterms:W3CDTF">2022-11-21T15:18:00Z</dcterms:created>
  <dcterms:modified xsi:type="dcterms:W3CDTF">2022-11-22T13:21:00Z</dcterms:modified>
</cp:coreProperties>
</file>