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83D" w:rsidRDefault="00014346" w:rsidP="00014346">
      <w:pPr>
        <w:pStyle w:val="Overskrift1"/>
      </w:pPr>
      <w:r>
        <w:t>Design af hardware</w:t>
      </w:r>
    </w:p>
    <w:p w:rsidR="00014346" w:rsidRDefault="00014346">
      <w:r>
        <w:t>Fra projektets start var der mange informationer og krav til hardwaren i projektet. Det betød at det ret tidligt blev tydeligt hvilke delkomponenter hardwaren skulle bestå af. Hardwaren skulle bestå af et lavpasfilter og en forstærker del, samt en spændingsforsyning. Udviklingsproces og design af hardwaren var igennem en række iterationer, disse er nærmere beskrevet i dokumentationen, dette afsnit vil fokusere på den endelige dimensionering og det endelige design af hardware-delen.</w:t>
      </w:r>
    </w:p>
    <w:p w:rsidR="00014346" w:rsidRDefault="00014346" w:rsidP="00014346">
      <w:pPr>
        <w:pStyle w:val="Overskrift3"/>
      </w:pPr>
      <w:r>
        <w:t>Lavpasfilter</w:t>
      </w:r>
    </w:p>
    <w:p w:rsidR="00014346" w:rsidRDefault="00014346">
      <w:r>
        <w:t>Det var givet at det var et aktivt 2. Ordens Butterworth Sallen-key filter der skulle være lavpasfilter delen af projektet. Det var fra start givet at der skulle benyttes en OP27 operationsforstærker, ligeledes var en af kondensatorerne givet C2 = 680nF</w:t>
      </w:r>
      <w:r w:rsidR="00E35CAE">
        <w:t xml:space="preserve"> og R1 = R2</w:t>
      </w:r>
      <w:r>
        <w:t>.</w:t>
      </w:r>
      <w:r w:rsidR="007462EA">
        <w:t xml:space="preserve"> Filteret skulle dimensioneres til en cut-off frekvens på 50Hz, med en 20dB/decade dæmpning ved 500Hz. Ud fra disse informationer, samt en kredsløbstegning af filteret kunne vi opstille en overføringsfunktion for kredsløbet.</w:t>
      </w:r>
    </w:p>
    <w:p w:rsidR="007462EA" w:rsidRPr="00F54674" w:rsidRDefault="007462EA" w:rsidP="007462EA">
      <m:oMathPara>
        <m:oMath>
          <m:sSub>
            <m:sSubPr>
              <m:ctrlPr>
                <w:rPr>
                  <w:rFonts w:ascii="Cambria Math" w:hAnsi="Cambria Math"/>
                  <w:i/>
                </w:rPr>
              </m:ctrlPr>
            </m:sSubPr>
            <m:e>
              <m:r>
                <w:rPr>
                  <w:rFonts w:ascii="Cambria Math" w:hAnsi="Cambria Math"/>
                </w:rPr>
                <m:t>T</m:t>
              </m:r>
            </m:e>
            <m:sub>
              <m:r>
                <w:rPr>
                  <w:rFonts w:ascii="Cambria Math" w:hAnsi="Cambria Math"/>
                </w:rPr>
                <m:t>v</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Vout</m:t>
              </m:r>
              <m:d>
                <m:dPr>
                  <m:ctrlPr>
                    <w:rPr>
                      <w:rFonts w:ascii="Cambria Math" w:hAnsi="Cambria Math"/>
                      <w:i/>
                    </w:rPr>
                  </m:ctrlPr>
                </m:dPr>
                <m:e>
                  <m:r>
                    <w:rPr>
                      <w:rFonts w:ascii="Cambria Math" w:hAnsi="Cambria Math"/>
                    </w:rPr>
                    <m:t>s</m:t>
                  </m:r>
                </m:e>
              </m:d>
            </m:num>
            <m:den>
              <m:r>
                <w:rPr>
                  <w:rFonts w:ascii="Cambria Math" w:hAnsi="Cambria Math"/>
                </w:rPr>
                <m:t>Vin</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R1⋅R2⋅C1⋅C2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R1+R2</m:t>
                  </m:r>
                </m:num>
                <m:den>
                  <m:r>
                    <w:rPr>
                      <w:rFonts w:ascii="Cambria Math" w:hAnsi="Cambria Math"/>
                    </w:rPr>
                    <m:t>R1⋅R2⋅C2</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R1⋅R2⋅C1⋅C2</m:t>
                  </m:r>
                </m:den>
              </m:f>
            </m:den>
          </m:f>
        </m:oMath>
      </m:oMathPara>
    </w:p>
    <w:p w:rsidR="007462EA" w:rsidRDefault="007462EA">
      <w:r>
        <w:t>Denne overføringsfunktion omskrives til standardformel</w:t>
      </w:r>
    </w:p>
    <w:p w:rsidR="007462EA" w:rsidRPr="00D81BDC" w:rsidRDefault="007462EA" w:rsidP="007462EA">
      <w:pPr>
        <w:rPr>
          <w:rFonts w:eastAsiaTheme="minorEastAsia"/>
        </w:rPr>
      </w:pPr>
      <m:oMathPara>
        <m:oMath>
          <m:f>
            <m:fPr>
              <m:ctrlPr>
                <w:rPr>
                  <w:rFonts w:ascii="Cambria Math" w:hAnsi="Cambria Math"/>
                  <w:i/>
                </w:rPr>
              </m:ctrlPr>
            </m:fPr>
            <m:num>
              <m:r>
                <w:rPr>
                  <w:rFonts w:ascii="Cambria Math" w:hAnsi="Cambria Math"/>
                </w:rPr>
                <m:t>Vout</m:t>
              </m:r>
              <m:d>
                <m:dPr>
                  <m:ctrlPr>
                    <w:rPr>
                      <w:rFonts w:ascii="Cambria Math" w:hAnsi="Cambria Math"/>
                      <w:i/>
                    </w:rPr>
                  </m:ctrlPr>
                </m:dPr>
                <m:e>
                  <m:r>
                    <w:rPr>
                      <w:rFonts w:ascii="Cambria Math" w:hAnsi="Cambria Math"/>
                    </w:rPr>
                    <m:t>s</m:t>
                  </m:r>
                </m:e>
              </m:d>
            </m:num>
            <m:den>
              <m:r>
                <w:rPr>
                  <w:rFonts w:ascii="Cambria Math" w:hAnsi="Cambria Math"/>
                </w:rPr>
                <m:t>Vin</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+2ζω+</m:t>
              </m:r>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rsidR="007462EA" w:rsidRPr="007462EA" w:rsidRDefault="007462EA" w:rsidP="007462EA">
      <w:pPr>
        <w:rPr>
          <w:rFonts w:eastAsiaTheme="minorEastAsia"/>
        </w:rPr>
      </w:pPr>
      <w:r w:rsidRPr="007462EA">
        <w:rPr>
          <w:rFonts w:eastAsiaTheme="minorEastAsia"/>
        </w:rPr>
        <w:t>Så kan vi isolere cut-off</w:t>
      </w:r>
      <w:r w:rsidRPr="007462EA">
        <w:rPr>
          <w:rFonts w:eastAsiaTheme="minorEastAsia"/>
        </w:rPr>
        <w:t xml:space="preserve"> frekvensen </w:t>
      </w:r>
      <w:r w:rsidRPr="007462EA">
        <w:rPr>
          <w:rFonts w:eastAsiaTheme="minorEastAsia"/>
        </w:rPr>
        <w:t>(</w:t>
      </w:r>
      <w:r>
        <w:rPr>
          <w:rFonts w:eastAsiaTheme="minorEastAsia"/>
          <w:lang w:val="en-US"/>
        </w:rPr>
        <w:t>ω</w:t>
      </w:r>
      <w:r w:rsidRPr="007462EA">
        <w:rPr>
          <w:rFonts w:eastAsiaTheme="minorEastAsia"/>
        </w:rPr>
        <w:t>)</w:t>
      </w:r>
    </w:p>
    <w:p w:rsidR="007462EA" w:rsidRPr="006371D0" w:rsidRDefault="007462EA" w:rsidP="007462EA">
      <m:oMathPara>
        <m:oMath>
          <m:r>
            <w:rPr>
              <w:rFonts w:ascii="Cambria Math" w:hAnsi="Cambria Math"/>
            </w:rPr>
            <m:t>ω=2π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R1⋅R1⋅C1⋅C2</m:t>
                  </m:r>
                </m:den>
              </m:f>
            </m:e>
          </m:rad>
        </m:oMath>
      </m:oMathPara>
    </w:p>
    <w:p w:rsidR="007462EA" w:rsidRDefault="00E35CAE">
      <w:r>
        <w:t>I denne ligning indsatte</w:t>
      </w:r>
      <w:r w:rsidR="00192725">
        <w:t xml:space="preserve"> vi så de kendte værdier, det er beskrevet filteret er af typen 2. Ordens Sallen-Key filter, derfor</w:t>
      </w:r>
      <w:r w:rsidR="00225114">
        <w:t xml:space="preserve"> ved vi at C1 er halvdelen af C2</w:t>
      </w:r>
      <w:r w:rsidR="00225114">
        <w:rPr>
          <w:rStyle w:val="Fodnotehenvisning"/>
        </w:rPr>
        <w:footnoteReference w:id="1"/>
      </w:r>
    </w:p>
    <w:p w:rsidR="007D604B" w:rsidRPr="00192725" w:rsidRDefault="00C07BA2">
      <w:pPr>
        <w:rPr>
          <w:rFonts w:eastAsiaTheme="minorEastAsia"/>
        </w:rPr>
      </w:pPr>
      <m:oMathPara>
        <m:oMath>
          <m:r>
            <w:rPr>
              <w:rFonts w:ascii="Cambria Math" w:hAnsi="Cambria Math"/>
            </w:rPr>
            <m:t>50⋅2⋅π=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R⋅R⋅</m:t>
                  </m:r>
                  <m:r>
                    <w:rPr>
                      <w:rFonts w:ascii="Cambria Math" w:hAnsi="Cambria Math"/>
                    </w:rPr>
                    <m:t>680⋅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340⋅</m:t>
                  </m:r>
                  <m:sSup>
                    <m:sSupPr>
                      <m:ctrlPr>
                        <w:rPr>
                          <w:rFonts w:ascii="Cambria Math" w:hAnsi="Cambria Math"/>
                          <w:i/>
                        </w:rPr>
                      </m:ctrlPr>
                    </m:sSupPr>
                    <m:e>
                      <m:r>
                        <w:rPr>
                          <w:rFonts w:ascii="Cambria Math" w:hAnsi="Cambria Math"/>
                        </w:rPr>
                        <m:t>10</m:t>
                      </m:r>
                    </m:e>
                    <m:sup>
                      <m:r>
                        <w:rPr>
                          <w:rFonts w:ascii="Cambria Math" w:hAnsi="Cambria Math"/>
                        </w:rPr>
                        <m:t>-9</m:t>
                      </m:r>
                    </m:sup>
                  </m:sSup>
                </m:den>
              </m:f>
            </m:e>
          </m:rad>
        </m:oMath>
      </m:oMathPara>
    </w:p>
    <w:p w:rsidR="00192725" w:rsidRPr="00192725" w:rsidRDefault="00192725">
      <w:pPr>
        <w:rPr>
          <w:rFonts w:eastAsiaTheme="minorEastAsia"/>
        </w:rPr>
      </w:pPr>
      <m:oMathPara>
        <m:oMath>
          <m:r>
            <w:rPr>
              <w:rFonts w:ascii="Cambria Math" w:hAnsi="Cambria Math"/>
            </w:rPr>
            <m:t>R=6,62⋅</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192725" w:rsidRDefault="00192725">
      <w:pPr>
        <w:rPr>
          <w:rFonts w:eastAsiaTheme="minorEastAsia"/>
        </w:rPr>
      </w:pPr>
      <w:r>
        <w:rPr>
          <w:rFonts w:eastAsiaTheme="minorEastAsia"/>
        </w:rPr>
        <w:t>S</w:t>
      </w:r>
      <w:r w:rsidR="00FA2B0A">
        <w:rPr>
          <w:rFonts w:eastAsiaTheme="minorEastAsia"/>
        </w:rPr>
        <w:t>å vi kan se vores modstande er ca. 6</w:t>
      </w:r>
      <w:r>
        <w:rPr>
          <w:rFonts w:eastAsiaTheme="minorEastAsia"/>
        </w:rPr>
        <w:t>.6kΩ</w:t>
      </w:r>
      <w:r w:rsidR="00FA2B0A">
        <w:rPr>
          <w:rFonts w:eastAsiaTheme="minorEastAsia"/>
        </w:rPr>
        <w:t>, realiseret med to 3.3kΩ modstande i serie i det endelige produkt.</w:t>
      </w:r>
    </w:p>
    <w:p w:rsidR="00FA2B0A" w:rsidRDefault="00FA2B0A" w:rsidP="00FA2B0A">
      <w:pPr>
        <w:pStyle w:val="Overskrift3"/>
        <w:rPr>
          <w:rFonts w:eastAsiaTheme="minorEastAsia"/>
        </w:rPr>
      </w:pPr>
      <w:r>
        <w:rPr>
          <w:rFonts w:eastAsiaTheme="minorEastAsia"/>
        </w:rPr>
        <w:t>Forstærker INA-114</w:t>
      </w:r>
      <w:r w:rsidR="009D212B">
        <w:rPr>
          <w:rFonts w:eastAsiaTheme="minorEastAsia"/>
        </w:rPr>
        <w:t xml:space="preserve"> og valg af spændingsforsyning</w:t>
      </w:r>
    </w:p>
    <w:p w:rsidR="009D212B" w:rsidRDefault="009D212B" w:rsidP="00FA2B0A">
      <w:r>
        <w:t>Udviklingen af forstærkerdelen til hardwaredelen blev bestemt ved hjælp af databladet for DAQ (</w:t>
      </w:r>
      <w:r>
        <w:t>NI-DAQ6009</w:t>
      </w:r>
      <w:r>
        <w:t>), samt databladet for tryk-transduceren (</w:t>
      </w:r>
      <w:r>
        <w:t>TruWave™</w:t>
      </w:r>
      <w:r>
        <w:t>). DAQ kan maksimalt modtage op til +/-10V, det vil sige vi må ikke overstige peak-to-peak forstærkning på 20V. Før vi kunne beregne forstærkningen skulle vi vælge en spændingsforsyning til kredsløbet, det blev valgt at benytte to 9V-batterie</w:t>
      </w:r>
      <w:r w:rsidR="001D414B">
        <w:t>r. Disse blev sat op som følger.</w:t>
      </w:r>
    </w:p>
    <w:p w:rsidR="009D212B" w:rsidRDefault="001D414B" w:rsidP="009D212B">
      <w:pPr>
        <w:keepNext/>
        <w:jc w:val="center"/>
      </w:pPr>
      <w:r w:rsidRPr="001D414B">
        <w:rPr>
          <w:noProof/>
          <w:lang w:eastAsia="da-DK"/>
        </w:rPr>
        <w:lastRenderedPageBreak/>
        <w:drawing>
          <wp:inline distT="0" distB="0" distL="0" distR="0">
            <wp:extent cx="1506855" cy="1477645"/>
            <wp:effectExtent l="0" t="0" r="0"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855" cy="1477645"/>
                    </a:xfrm>
                    <a:prstGeom prst="rect">
                      <a:avLst/>
                    </a:prstGeom>
                    <a:noFill/>
                    <a:ln>
                      <a:noFill/>
                    </a:ln>
                  </pic:spPr>
                </pic:pic>
              </a:graphicData>
            </a:graphic>
          </wp:inline>
        </w:drawing>
      </w:r>
    </w:p>
    <w:p w:rsidR="009D212B" w:rsidRDefault="009D212B" w:rsidP="009D212B">
      <w:pPr>
        <w:pStyle w:val="Billedtekst"/>
        <w:jc w:val="center"/>
      </w:pPr>
      <w:r>
        <w:t xml:space="preserve">Figur </w:t>
      </w:r>
      <w:r>
        <w:fldChar w:fldCharType="begin"/>
      </w:r>
      <w:r>
        <w:instrText xml:space="preserve"> SEQ Figur \* ARABIC </w:instrText>
      </w:r>
      <w:r>
        <w:fldChar w:fldCharType="separate"/>
      </w:r>
      <w:r>
        <w:rPr>
          <w:noProof/>
        </w:rPr>
        <w:t>1</w:t>
      </w:r>
      <w:r>
        <w:fldChar w:fldCharType="end"/>
      </w:r>
      <w:r>
        <w:t xml:space="preserve"> </w:t>
      </w:r>
      <w:r w:rsidR="001D414B">
        <w:t>–</w:t>
      </w:r>
      <w:r>
        <w:t xml:space="preserve"> Spændingsforsyning</w:t>
      </w:r>
    </w:p>
    <w:p w:rsidR="001D414B" w:rsidRDefault="001D414B" w:rsidP="001D414B">
      <w:r>
        <w:t>Denne opsætning ville i teorien sikre os 18V peak-to-peak. Man valgte at benytte en INA-114 forstærker til at forstærke signalet fra tryktransduceren. I teorien ville man kunne forstærke op til 18V peak-to-peak, men i praksis ville det være urealistisk. Det blev besluttet at forstærke op til 16V peak-to-peak. Undersøgelser for hvorvidt INA-114 havde tilstrækkelige båndbredde blev udregnet som følger. Først bestemte man det maksimale output for tryktransduceren i området 0-250mmHg.</w:t>
      </w:r>
    </w:p>
    <w:p w:rsidR="001D414B" w:rsidRPr="00D01223" w:rsidRDefault="001D414B" w:rsidP="001D414B">
      <w:pPr>
        <w:jc w:val="center"/>
        <w:rPr>
          <w:rFonts w:eastAsiaTheme="minorEastAsia"/>
        </w:rPr>
      </w:pPr>
      <m:oMathPara>
        <m:oMath>
          <m:r>
            <w:rPr>
              <w:rFonts w:ascii="Cambria Math" w:hAnsi="Cambria Math"/>
            </w:rPr>
            <m:t>Vmax=250⋅16V⋅5µ=20 mV</m:t>
          </m:r>
        </m:oMath>
      </m:oMathPara>
    </w:p>
    <w:p w:rsidR="001D414B" w:rsidRDefault="001D414B" w:rsidP="001D414B">
      <w:r>
        <w:t xml:space="preserve">Ud fra dette kan </w:t>
      </w:r>
      <w:r>
        <w:t>man bestemme hvor meget gain der</w:t>
      </w:r>
      <w:r>
        <w:t xml:space="preserve"> skal bruge</w:t>
      </w:r>
      <w:r>
        <w:t>s</w:t>
      </w:r>
      <w:r>
        <w:t xml:space="preserve"> fra forstærker</w:t>
      </w:r>
      <w:r>
        <w:t>en</w:t>
      </w:r>
      <w:r>
        <w:t>.</w:t>
      </w:r>
    </w:p>
    <w:p w:rsidR="001D414B" w:rsidRPr="00BB3C40" w:rsidRDefault="001D414B" w:rsidP="001D414B">
      <w:pPr>
        <w:rPr>
          <w:rFonts w:eastAsiaTheme="minorEastAsia"/>
        </w:rPr>
      </w:pPr>
      <m:oMathPara>
        <m:oMath>
          <m:r>
            <w:rPr>
              <w:rFonts w:ascii="Cambria Math" w:hAnsi="Cambria Math"/>
            </w:rPr>
            <m:t>16V=20*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V⋅gain</m:t>
          </m:r>
        </m:oMath>
      </m:oMathPara>
    </w:p>
    <w:p w:rsidR="001D414B" w:rsidRPr="005605C1" w:rsidRDefault="001D414B" w:rsidP="001D414B">
      <w:pPr>
        <w:rPr>
          <w:rFonts w:eastAsiaTheme="minorEastAsia"/>
        </w:rPr>
      </w:pPr>
      <m:oMathPara>
        <m:oMath>
          <m:r>
            <w:rPr>
              <w:rFonts w:ascii="Cambria Math" w:hAnsi="Cambria Math"/>
            </w:rPr>
            <m:t>gain=</m:t>
          </m:r>
          <m:f>
            <m:fPr>
              <m:ctrlPr>
                <w:rPr>
                  <w:rFonts w:ascii="Cambria Math" w:hAnsi="Cambria Math"/>
                  <w:i/>
                </w:rPr>
              </m:ctrlPr>
            </m:fPr>
            <m:num>
              <m:r>
                <w:rPr>
                  <w:rFonts w:ascii="Cambria Math" w:hAnsi="Cambria Math"/>
                </w:rPr>
                <m:t>16V</m:t>
              </m:r>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=800</m:t>
          </m:r>
        </m:oMath>
      </m:oMathPara>
    </w:p>
    <w:p w:rsidR="001D414B" w:rsidRDefault="001D414B" w:rsidP="001D414B">
      <w:r>
        <w:t>Man sikrede sig at forstærkeren kunne håndtere forstærkningen, denne del er nærmere beskrevet i dokumentationen. Herefter skulle man beregne hvor stor modstanden på INA-114 skulle dimensioneres til for at få den valgte gain.</w:t>
      </w:r>
    </w:p>
    <w:p w:rsidR="001D414B" w:rsidRPr="00E4724D" w:rsidRDefault="001D414B" w:rsidP="001D414B">
      <w:pPr>
        <w:rPr>
          <w:rFonts w:eastAsiaTheme="minorEastAsia"/>
        </w:rPr>
      </w:pPr>
      <m:oMathPara>
        <m:oMath>
          <m:r>
            <w:rPr>
              <w:rFonts w:ascii="Cambria Math" w:hAnsi="Cambria Math"/>
            </w:rPr>
            <m:t>G=1+</m:t>
          </m:r>
          <m:f>
            <m:fPr>
              <m:ctrlPr>
                <w:rPr>
                  <w:rFonts w:ascii="Cambria Math" w:hAnsi="Cambria Math"/>
                  <w:i/>
                </w:rPr>
              </m:ctrlPr>
            </m:fPr>
            <m:num>
              <m:r>
                <w:rPr>
                  <w:rFonts w:ascii="Cambria Math" w:hAnsi="Cambria Math"/>
                </w:rPr>
                <m:t>50kΩ</m:t>
              </m:r>
            </m:num>
            <m:den>
              <m:r>
                <w:rPr>
                  <w:rFonts w:ascii="Cambria Math" w:hAnsi="Cambria Math"/>
                </w:rPr>
                <m:t>RG</m:t>
              </m:r>
            </m:den>
          </m:f>
        </m:oMath>
      </m:oMathPara>
    </w:p>
    <w:p w:rsidR="001D414B" w:rsidRPr="00BE4600" w:rsidRDefault="001D414B" w:rsidP="001D414B">
      <w:pPr>
        <w:rPr>
          <w:rFonts w:eastAsiaTheme="minorEastAsia"/>
        </w:rPr>
      </w:pPr>
      <m:oMathPara>
        <m:oMath>
          <m:r>
            <w:rPr>
              <w:rFonts w:ascii="Cambria Math" w:eastAsiaTheme="minorEastAsia" w:hAnsi="Cambria Math"/>
            </w:rPr>
            <m:t>800=1+</m:t>
          </m:r>
          <m:f>
            <m:fPr>
              <m:ctrlPr>
                <w:rPr>
                  <w:rFonts w:ascii="Cambria Math" w:eastAsiaTheme="minorEastAsia" w:hAnsi="Cambria Math"/>
                  <w:i/>
                </w:rPr>
              </m:ctrlPr>
            </m:fPr>
            <m:num>
              <m:r>
                <w:rPr>
                  <w:rFonts w:ascii="Cambria Math" w:eastAsiaTheme="minorEastAsia" w:hAnsi="Cambria Math"/>
                </w:rPr>
                <m:t>50kΩ</m:t>
              </m:r>
            </m:num>
            <m:den>
              <m:r>
                <w:rPr>
                  <w:rFonts w:ascii="Cambria Math" w:eastAsiaTheme="minorEastAsia" w:hAnsi="Cambria Math"/>
                </w:rPr>
                <m:t>RG</m:t>
              </m:r>
            </m:den>
          </m:f>
        </m:oMath>
      </m:oMathPara>
    </w:p>
    <w:p w:rsidR="001D414B" w:rsidRPr="00CA3299" w:rsidRDefault="001D414B" w:rsidP="001D414B">
      <w:pPr>
        <w:rPr>
          <w:rFonts w:eastAsiaTheme="minorEastAsia"/>
        </w:rPr>
      </w:pPr>
      <m:oMathPara>
        <m:oMath>
          <m:r>
            <w:rPr>
              <w:rFonts w:ascii="Cambria Math" w:eastAsiaTheme="minorEastAsia" w:hAnsi="Cambria Math"/>
            </w:rPr>
            <m:t>RG≈62.5Ω</m:t>
          </m:r>
        </m:oMath>
      </m:oMathPara>
    </w:p>
    <w:p w:rsidR="001D414B" w:rsidRDefault="001D414B" w:rsidP="001D414B">
      <w:r>
        <w:t>Det blev besluttet at bruge et potentiometer i stedet for en fast modstand til RG. Så man kunne regulere denne hvis spændingsforsyningen var mere potent end 16V peak-to-peak.</w:t>
      </w:r>
    </w:p>
    <w:p w:rsidR="00023FF4" w:rsidRDefault="00023FF4" w:rsidP="00023FF4">
      <w:pPr>
        <w:pStyle w:val="Overskrift3"/>
      </w:pPr>
      <w:r>
        <w:t>Spændingsregulator</w:t>
      </w:r>
    </w:p>
    <w:p w:rsidR="001D414B" w:rsidRDefault="00576799" w:rsidP="001D414B">
      <w:r>
        <w:t xml:space="preserve">Det blev </w:t>
      </w:r>
      <w:r w:rsidR="00023FF4">
        <w:t xml:space="preserve">i den sidste iteration besluttet </w:t>
      </w:r>
      <w:r>
        <w:t>at benytte en spændingsregulator for at sikre at transduceren fik en stabil spændingsforsy</w:t>
      </w:r>
      <w:r w:rsidR="00023FF4">
        <w:t xml:space="preserve">ning. Tryktransduceren er meget følsom så derfor var det vigtigt at denne </w:t>
      </w:r>
      <w:r w:rsidR="00E826D4">
        <w:t>får en konstant spændingsforsyning. Det betyder også at den oprindelige skalering ikke er korrekt.</w:t>
      </w:r>
    </w:p>
    <w:p w:rsidR="00E826D4" w:rsidRPr="00E826D4" w:rsidRDefault="00E826D4" w:rsidP="00E826D4">
      <w:pPr>
        <w:jc w:val="center"/>
        <w:rPr>
          <w:rFonts w:eastAsiaTheme="minorEastAsia"/>
        </w:rPr>
      </w:pPr>
      <m:oMathPara>
        <m:oMath>
          <m:r>
            <w:rPr>
              <w:rFonts w:ascii="Cambria Math" w:hAnsi="Cambria Math"/>
            </w:rPr>
            <m:t>Vmax</m:t>
          </m:r>
          <m:r>
            <w:rPr>
              <w:rFonts w:ascii="Cambria Math" w:hAnsi="Cambria Math"/>
            </w:rPr>
            <m:t>=250⋅5</m:t>
          </m:r>
          <m:r>
            <w:rPr>
              <w:rFonts w:ascii="Cambria Math" w:hAnsi="Cambria Math"/>
            </w:rPr>
            <m:t>V⋅5µ=</m:t>
          </m:r>
          <m:r>
            <w:rPr>
              <w:rFonts w:ascii="Cambria Math" w:hAnsi="Cambria Math"/>
            </w:rPr>
            <m:t>6,25</m:t>
          </m:r>
          <m:r>
            <w:rPr>
              <w:rFonts w:ascii="Cambria Math" w:hAnsi="Cambria Math"/>
            </w:rPr>
            <m:t xml:space="preserve"> mV</m:t>
          </m:r>
        </m:oMath>
      </m:oMathPara>
    </w:p>
    <w:p w:rsidR="00E826D4" w:rsidRPr="00E826D4" w:rsidRDefault="00E826D4" w:rsidP="00E826D4">
      <w:pPr>
        <w:rPr>
          <w:rFonts w:eastAsiaTheme="minorEastAsia"/>
        </w:rPr>
      </w:pPr>
      <w:r>
        <w:rPr>
          <w:rFonts w:eastAsiaTheme="minorEastAsia"/>
        </w:rPr>
        <w:t>Gain beregning</w:t>
      </w:r>
    </w:p>
    <w:p w:rsidR="00E826D4" w:rsidRPr="00BB3C40" w:rsidRDefault="00E826D4" w:rsidP="00E826D4">
      <w:pPr>
        <w:rPr>
          <w:rFonts w:eastAsiaTheme="minorEastAsia"/>
        </w:rPr>
      </w:pPr>
      <m:oMathPara>
        <m:oMath>
          <m:r>
            <w:rPr>
              <w:rFonts w:ascii="Cambria Math" w:hAnsi="Cambria Math"/>
            </w:rPr>
            <m:t>16</m:t>
          </m:r>
          <m:r>
            <w:rPr>
              <w:rFonts w:ascii="Cambria Math" w:hAnsi="Cambria Math"/>
            </w:rPr>
            <m:t>V</m:t>
          </m:r>
          <m:r>
            <w:rPr>
              <w:rFonts w:ascii="Cambria Math" w:hAnsi="Cambria Math"/>
            </w:rPr>
            <m:t>=6,25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V⋅gain</m:t>
          </m:r>
        </m:oMath>
      </m:oMathPara>
    </w:p>
    <w:p w:rsidR="00E826D4" w:rsidRPr="00E826D4" w:rsidRDefault="00E826D4" w:rsidP="00E826D4">
      <w:pPr>
        <w:rPr>
          <w:rFonts w:eastAsiaTheme="minorEastAsia"/>
        </w:rPr>
      </w:pPr>
      <m:oMathPara>
        <m:oMath>
          <m:r>
            <w:rPr>
              <w:rFonts w:ascii="Cambria Math" w:hAnsi="Cambria Math"/>
            </w:rPr>
            <m:t>gain=</m:t>
          </m:r>
          <m:f>
            <m:fPr>
              <m:ctrlPr>
                <w:rPr>
                  <w:rFonts w:ascii="Cambria Math" w:hAnsi="Cambria Math"/>
                  <w:i/>
                </w:rPr>
              </m:ctrlPr>
            </m:fPr>
            <m:num>
              <m:r>
                <w:rPr>
                  <w:rFonts w:ascii="Cambria Math" w:hAnsi="Cambria Math"/>
                </w:rPr>
                <m:t>16V</m:t>
              </m:r>
            </m:num>
            <m:den>
              <m:r>
                <w:rPr>
                  <w:rFonts w:ascii="Cambria Math" w:hAnsi="Cambria Math"/>
                </w:rPr>
                <m:t>6,25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r>
            <w:rPr>
              <w:rFonts w:ascii="Cambria Math" w:hAnsi="Cambria Math"/>
            </w:rPr>
            <m:t>2560</m:t>
          </m:r>
        </m:oMath>
      </m:oMathPara>
    </w:p>
    <w:p w:rsidR="00E826D4" w:rsidRDefault="00E826D4" w:rsidP="00E826D4">
      <w:r>
        <w:lastRenderedPageBreak/>
        <w:t>Produktet af gain og båndbredde er konstant, derfor er det vigtigt båndbredde</w:t>
      </w:r>
      <w:r w:rsidR="005236B5">
        <w:t>n</w:t>
      </w:r>
      <w:r>
        <w:t xml:space="preserve"> ligger over knækfrekvens</w:t>
      </w:r>
      <w:r w:rsidR="005236B5">
        <w:t>en</w:t>
      </w:r>
      <w:r>
        <w:t xml:space="preserve"> på 50Hz. Ved gain=1 kan INA-114 lever</w:t>
      </w:r>
      <w:r w:rsidR="005236B5">
        <w:t xml:space="preserve">e 1Mhz båndbredde, man kan </w:t>
      </w:r>
      <w:r>
        <w:t>opstille følgende ligning for beregning af båndbredden.</w:t>
      </w:r>
    </w:p>
    <w:p w:rsidR="00E826D4" w:rsidRPr="002F63F1" w:rsidRDefault="00E826D4" w:rsidP="00E826D4">
      <m:oMathPara>
        <m:oMathParaPr>
          <m:jc m:val="center"/>
        </m:oMathParaPr>
        <m:oMath>
          <m:r>
            <w:rPr>
              <w:rFonts w:ascii="Cambria Math" w:hAnsi="Cambria Math"/>
            </w:rPr>
            <m:t>1000000=2560</m:t>
          </m:r>
          <m:r>
            <w:rPr>
              <w:rFonts w:ascii="Cambria Math" w:hAnsi="Cambria Math"/>
            </w:rPr>
            <m:t xml:space="preserve">⋅BW </m:t>
          </m:r>
        </m:oMath>
      </m:oMathPara>
    </w:p>
    <w:p w:rsidR="00E826D4" w:rsidRPr="002F63F1" w:rsidRDefault="00E826D4" w:rsidP="00E826D4">
      <m:oMathPara>
        <m:oMathParaPr>
          <m:jc m:val="center"/>
        </m:oMathParaPr>
        <m:oMath>
          <m:r>
            <w:rPr>
              <w:rFonts w:ascii="Cambria Math" w:hAnsi="Cambria Math"/>
            </w:rPr>
            <m:t>BW=</m:t>
          </m:r>
          <m:f>
            <m:fPr>
              <m:ctrlPr>
                <w:rPr>
                  <w:rFonts w:ascii="Cambria Math" w:hAnsi="Cambria Math"/>
                  <w:i/>
                </w:rPr>
              </m:ctrlPr>
            </m:fPr>
            <m:num>
              <m:r>
                <w:rPr>
                  <w:rFonts w:ascii="Cambria Math" w:hAnsi="Cambria Math"/>
                </w:rPr>
                <m:t>1000000</m:t>
              </m:r>
            </m:num>
            <m:den>
              <m:r>
                <w:rPr>
                  <w:rFonts w:ascii="Cambria Math" w:hAnsi="Cambria Math"/>
                </w:rPr>
                <m:t>2560</m:t>
              </m:r>
            </m:den>
          </m:f>
          <m:r>
            <w:rPr>
              <w:rFonts w:ascii="Cambria Math" w:hAnsi="Cambria Math"/>
            </w:rPr>
            <m:t xml:space="preserve">≈390 </m:t>
          </m:r>
          <m:r>
            <w:rPr>
              <w:rFonts w:ascii="Cambria Math" w:hAnsi="Cambria Math"/>
            </w:rPr>
            <m:t>Hz</m:t>
          </m:r>
        </m:oMath>
      </m:oMathPara>
    </w:p>
    <w:p w:rsidR="00E826D4" w:rsidRDefault="00E826D4" w:rsidP="00E826D4">
      <w:r>
        <w:t xml:space="preserve">Da </w:t>
      </w:r>
      <w:r>
        <w:t>390</w:t>
      </w:r>
      <w:r>
        <w:t xml:space="preserve"> Hz er over knækfrekvens</w:t>
      </w:r>
      <w:r w:rsidR="005236B5">
        <w:t>en</w:t>
      </w:r>
      <w:r>
        <w:t xml:space="preserve"> på 50Hz har forstærke</w:t>
      </w:r>
      <w:r w:rsidR="005236B5">
        <w:t>ren tilstrækkelig båndbredde</w:t>
      </w:r>
      <w:r>
        <w:t>.</w:t>
      </w:r>
      <w:r w:rsidR="00B9054E">
        <w:t xml:space="preserve"> Den nye RG kan beregnes til at skulle være.</w:t>
      </w:r>
    </w:p>
    <w:p w:rsidR="00B9054E" w:rsidRPr="00B9054E" w:rsidRDefault="00B9054E" w:rsidP="00B9054E">
      <w:pPr>
        <w:rPr>
          <w:rFonts w:eastAsiaTheme="minorEastAsia"/>
        </w:rPr>
      </w:pPr>
      <m:oMathPara>
        <m:oMath>
          <m:r>
            <w:rPr>
              <w:rFonts w:ascii="Cambria Math" w:eastAsiaTheme="minorEastAsia" w:hAnsi="Cambria Math"/>
            </w:rPr>
            <m:t>2560</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50kΩ</m:t>
              </m:r>
            </m:num>
            <m:den>
              <m:r>
                <w:rPr>
                  <w:rFonts w:ascii="Cambria Math" w:eastAsiaTheme="minorEastAsia" w:hAnsi="Cambria Math"/>
                </w:rPr>
                <m:t>RG</m:t>
              </m:r>
            </m:den>
          </m:f>
        </m:oMath>
      </m:oMathPara>
    </w:p>
    <w:p w:rsidR="00341629" w:rsidRPr="00B9054E" w:rsidRDefault="00B9054E" w:rsidP="00E826D4">
      <w:pPr>
        <w:rPr>
          <w:rFonts w:eastAsiaTheme="minorEastAsia"/>
        </w:rPr>
      </w:pPr>
      <m:oMathPara>
        <m:oMath>
          <m:r>
            <w:rPr>
              <w:rFonts w:ascii="Cambria Math" w:eastAsiaTheme="minorEastAsia" w:hAnsi="Cambria Math"/>
            </w:rPr>
            <m:t>RG</m:t>
          </m:r>
          <m:r>
            <w:rPr>
              <w:rFonts w:ascii="Cambria Math" w:eastAsiaTheme="minorEastAsia" w:hAnsi="Cambria Math"/>
            </w:rPr>
            <m:t>≈19,</m:t>
          </m:r>
          <m:r>
            <w:rPr>
              <w:rFonts w:ascii="Cambria Math" w:eastAsiaTheme="minorEastAsia" w:hAnsi="Cambria Math"/>
            </w:rPr>
            <m:t>5Ω</m:t>
          </m:r>
        </m:oMath>
      </m:oMathPara>
      <w:bookmarkStart w:id="0" w:name="_GoBack"/>
      <w:bookmarkEnd w:id="0"/>
    </w:p>
    <w:p w:rsidR="00E826D4" w:rsidRPr="00E826D4" w:rsidRDefault="00E826D4" w:rsidP="00E826D4">
      <w:pPr>
        <w:rPr>
          <w:rFonts w:eastAsiaTheme="minorEastAsia"/>
        </w:rPr>
      </w:pPr>
    </w:p>
    <w:sectPr w:rsidR="00E826D4" w:rsidRPr="00E826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D61" w:rsidRDefault="00D73D61" w:rsidP="00225114">
      <w:pPr>
        <w:spacing w:after="0" w:line="240" w:lineRule="auto"/>
      </w:pPr>
      <w:r>
        <w:separator/>
      </w:r>
    </w:p>
  </w:endnote>
  <w:endnote w:type="continuationSeparator" w:id="0">
    <w:p w:rsidR="00D73D61" w:rsidRDefault="00D73D61" w:rsidP="00225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D61" w:rsidRDefault="00D73D61" w:rsidP="00225114">
      <w:pPr>
        <w:spacing w:after="0" w:line="240" w:lineRule="auto"/>
      </w:pPr>
      <w:r>
        <w:separator/>
      </w:r>
    </w:p>
  </w:footnote>
  <w:footnote w:type="continuationSeparator" w:id="0">
    <w:p w:rsidR="00D73D61" w:rsidRDefault="00D73D61" w:rsidP="00225114">
      <w:pPr>
        <w:spacing w:after="0" w:line="240" w:lineRule="auto"/>
      </w:pPr>
      <w:r>
        <w:continuationSeparator/>
      </w:r>
    </w:p>
  </w:footnote>
  <w:footnote w:id="1">
    <w:p w:rsidR="00225114" w:rsidRDefault="00225114">
      <w:pPr>
        <w:pStyle w:val="Fodnotetekst"/>
      </w:pPr>
      <w:r>
        <w:rPr>
          <w:rStyle w:val="Fodnotehenvisning"/>
        </w:rPr>
        <w:footnoteRef/>
      </w:r>
      <w:r>
        <w:t xml:space="preserve"> </w:t>
      </w:r>
      <w:hyperlink r:id="rId1" w:history="1">
        <w:r w:rsidRPr="00AA0647">
          <w:rPr>
            <w:rStyle w:val="Hyperlink"/>
          </w:rPr>
          <w:t>https://en.wikipedia.org/wiki/Sallen%E2%80%93Key_topology#Application:_Low-pass_filter</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46"/>
    <w:rsid w:val="00014346"/>
    <w:rsid w:val="00023FF4"/>
    <w:rsid w:val="00192725"/>
    <w:rsid w:val="001D414B"/>
    <w:rsid w:val="00225114"/>
    <w:rsid w:val="00341629"/>
    <w:rsid w:val="003B383D"/>
    <w:rsid w:val="003D4C09"/>
    <w:rsid w:val="005236B5"/>
    <w:rsid w:val="00576799"/>
    <w:rsid w:val="00696A71"/>
    <w:rsid w:val="007462EA"/>
    <w:rsid w:val="007D604B"/>
    <w:rsid w:val="009D212B"/>
    <w:rsid w:val="00B9054E"/>
    <w:rsid w:val="00C07BA2"/>
    <w:rsid w:val="00D73D61"/>
    <w:rsid w:val="00E35CAE"/>
    <w:rsid w:val="00E826D4"/>
    <w:rsid w:val="00FA2B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05C9A-30A9-4675-B614-C3AC93DF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143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143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143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1434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014346"/>
    <w:rPr>
      <w:rFonts w:asciiTheme="majorHAnsi" w:eastAsiaTheme="majorEastAsia" w:hAnsiTheme="majorHAnsi" w:cstheme="majorBidi"/>
      <w:color w:val="1F4D78" w:themeColor="accent1" w:themeShade="7F"/>
      <w:sz w:val="24"/>
      <w:szCs w:val="24"/>
    </w:rPr>
  </w:style>
  <w:style w:type="character" w:customStyle="1" w:styleId="Overskrift1Tegn">
    <w:name w:val="Overskrift 1 Tegn"/>
    <w:basedOn w:val="Standardskrifttypeiafsnit"/>
    <w:link w:val="Overskrift1"/>
    <w:uiPriority w:val="9"/>
    <w:rsid w:val="00014346"/>
    <w:rPr>
      <w:rFonts w:asciiTheme="majorHAnsi" w:eastAsiaTheme="majorEastAsia" w:hAnsiTheme="majorHAnsi" w:cstheme="majorBidi"/>
      <w:color w:val="2E74B5" w:themeColor="accent1" w:themeShade="BF"/>
      <w:sz w:val="32"/>
      <w:szCs w:val="32"/>
    </w:rPr>
  </w:style>
  <w:style w:type="character" w:styleId="Pladsholdertekst">
    <w:name w:val="Placeholder Text"/>
    <w:basedOn w:val="Standardskrifttypeiafsnit"/>
    <w:uiPriority w:val="99"/>
    <w:semiHidden/>
    <w:rsid w:val="00C07BA2"/>
    <w:rPr>
      <w:color w:val="808080"/>
    </w:rPr>
  </w:style>
  <w:style w:type="paragraph" w:styleId="Fodnotetekst">
    <w:name w:val="footnote text"/>
    <w:basedOn w:val="Normal"/>
    <w:link w:val="FodnotetekstTegn"/>
    <w:uiPriority w:val="99"/>
    <w:semiHidden/>
    <w:unhideWhenUsed/>
    <w:rsid w:val="0022511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25114"/>
    <w:rPr>
      <w:sz w:val="20"/>
      <w:szCs w:val="20"/>
    </w:rPr>
  </w:style>
  <w:style w:type="character" w:styleId="Fodnotehenvisning">
    <w:name w:val="footnote reference"/>
    <w:basedOn w:val="Standardskrifttypeiafsnit"/>
    <w:uiPriority w:val="99"/>
    <w:semiHidden/>
    <w:unhideWhenUsed/>
    <w:rsid w:val="00225114"/>
    <w:rPr>
      <w:vertAlign w:val="superscript"/>
    </w:rPr>
  </w:style>
  <w:style w:type="character" w:styleId="Hyperlink">
    <w:name w:val="Hyperlink"/>
    <w:basedOn w:val="Standardskrifttypeiafsnit"/>
    <w:uiPriority w:val="99"/>
    <w:unhideWhenUsed/>
    <w:rsid w:val="00225114"/>
    <w:rPr>
      <w:color w:val="0563C1" w:themeColor="hyperlink"/>
      <w:u w:val="single"/>
    </w:rPr>
  </w:style>
  <w:style w:type="paragraph" w:styleId="Billedtekst">
    <w:name w:val="caption"/>
    <w:basedOn w:val="Normal"/>
    <w:next w:val="Normal"/>
    <w:uiPriority w:val="35"/>
    <w:unhideWhenUsed/>
    <w:qFormat/>
    <w:rsid w:val="009D2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allen%E2%80%93Key_topology#Application:_Low-pass_filter"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3F60-1E7F-4F22-9FB0-EBCF390B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581</Words>
  <Characters>3547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Hansen</dc:creator>
  <cp:keywords/>
  <dc:description/>
  <cp:lastModifiedBy>Brian Hansen</cp:lastModifiedBy>
  <cp:revision>12</cp:revision>
  <dcterms:created xsi:type="dcterms:W3CDTF">2015-12-15T07:58:00Z</dcterms:created>
  <dcterms:modified xsi:type="dcterms:W3CDTF">2015-12-15T09:27:00Z</dcterms:modified>
</cp:coreProperties>
</file>