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Titel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B17E84B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  <w:r w:rsidR="004B59E9">
              <w:rPr>
                <w:szCs w:val="24"/>
              </w:rPr>
              <w:t xml:space="preserve"> implementeret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7F710BCA" w:rsidR="00F20910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  <w:p w14:paraId="2EDE438A" w14:textId="77777777" w:rsidR="00033108" w:rsidRPr="00F20910" w:rsidRDefault="00033108" w:rsidP="00F20910">
            <w:pPr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slette. Lavet </w:t>
            </w:r>
            <w:proofErr w:type="spellStart"/>
            <w:r>
              <w:rPr>
                <w:szCs w:val="24"/>
              </w:rPr>
              <w:t>kallibererings</w:t>
            </w:r>
            <w:proofErr w:type="spellEnd"/>
            <w:r>
              <w:rPr>
                <w:szCs w:val="24"/>
              </w:rPr>
              <w:t xml:space="preserve"> knappen </w:t>
            </w:r>
            <w:proofErr w:type="spellStart"/>
            <w:r>
              <w:rPr>
                <w:szCs w:val="24"/>
              </w:rPr>
              <w:t>enabled</w:t>
            </w:r>
            <w:proofErr w:type="spellEnd"/>
            <w:r>
              <w:rPr>
                <w:szCs w:val="24"/>
              </w:rPr>
              <w:t xml:space="preserve">, når der skrives i tekstboks ved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Lavet metoderne beregn systole, diastole og middeltryk i blodtryk klassen. Lavet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 metode i logiklag. </w:t>
            </w:r>
          </w:p>
        </w:tc>
      </w:tr>
      <w:tr w:rsidR="00F20910" w:rsidRPr="00042F21" w14:paraId="74A8993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CCA8D" w14:textId="030A7C7F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5BA4" w14:textId="24DDEF77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19/11-2015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F62F0" w14:textId="0DB28F2A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9283" w14:textId="741D1768" w:rsidR="00F20910" w:rsidRDefault="004B59E9" w:rsidP="004B59E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kalibrering fra 1 til tre punkter. Indsat </w:t>
            </w:r>
            <w:proofErr w:type="spellStart"/>
            <w:r>
              <w:rPr>
                <w:szCs w:val="24"/>
              </w:rPr>
              <w:t>radiobuttons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F20910" w:rsidRPr="00042F21" w14:paraId="5A024A0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3FF73" w14:textId="4F7DA55E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BB9D1" w14:textId="223DDB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4454FF" w14:textId="127C34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7DC52E" w14:textId="5D822929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Kalibrering er lagt i logiklag som egen klasse. Metoder til kalibrering lavet. Ændret i kø metoden og har implementeret den i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metoden. </w:t>
            </w:r>
          </w:p>
        </w:tc>
      </w:tr>
      <w:tr w:rsidR="00F20910" w:rsidRPr="00042F21" w14:paraId="45E213F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F043F0" w14:textId="3A0A05CD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B1958" w14:textId="2D8D4F28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7FF90" w14:textId="675B5F4D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412CD" w14:textId="3763EC48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Videre arbejde med metoden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</w:p>
        </w:tc>
      </w:tr>
      <w:tr w:rsidR="00F20910" w:rsidRPr="00042F21" w14:paraId="41998DD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B583D" w14:textId="3AE3E84B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D183" w14:textId="54536800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01/12-2015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64EA7" w14:textId="3AA2AC23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4421F" w14:textId="7468260F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lavet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metode, </w:t>
            </w:r>
            <w:proofErr w:type="spellStart"/>
            <w:r>
              <w:rPr>
                <w:szCs w:val="24"/>
              </w:rPr>
              <w:t>attach</w:t>
            </w:r>
            <w:proofErr w:type="spellEnd"/>
            <w:r>
              <w:rPr>
                <w:szCs w:val="24"/>
              </w:rPr>
              <w:t xml:space="preserve"> og </w:t>
            </w:r>
            <w:proofErr w:type="spellStart"/>
            <w:r>
              <w:rPr>
                <w:szCs w:val="24"/>
              </w:rPr>
              <w:t>detach</w:t>
            </w:r>
            <w:proofErr w:type="spellEnd"/>
            <w:r>
              <w:rPr>
                <w:szCs w:val="24"/>
              </w:rPr>
              <w:t xml:space="preserve"> er implementeret. </w:t>
            </w:r>
            <w:proofErr w:type="spellStart"/>
            <w:r>
              <w:rPr>
                <w:szCs w:val="24"/>
              </w:rPr>
              <w:t>Digitaltfilter</w:t>
            </w:r>
            <w:proofErr w:type="spellEnd"/>
            <w:r>
              <w:rPr>
                <w:szCs w:val="24"/>
              </w:rPr>
              <w:t xml:space="preserve"> er påbegyndt implementering.</w:t>
            </w:r>
          </w:p>
        </w:tc>
      </w:tr>
      <w:tr w:rsidR="00985EFC" w:rsidRPr="00042F21" w14:paraId="4D1BDF6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D9A99" w14:textId="41574FBC" w:rsidR="00985EFC" w:rsidRDefault="00985EFC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09D9F" w14:textId="4D9AB1CB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BC5E2" w14:textId="3070171D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36950" w14:textId="0F29C367" w:rsidR="00985EFC" w:rsidRDefault="00985EFC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b værdier for det digitale filter. </w:t>
            </w:r>
          </w:p>
        </w:tc>
      </w:tr>
      <w:tr w:rsidR="00BC6DA1" w:rsidRPr="00042F21" w14:paraId="299AFDB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18F743" w14:textId="3A040117" w:rsidR="00BC6DA1" w:rsidRDefault="00BC6DA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D289D4" w14:textId="46AA9E41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FE3E3E" w14:textId="7661DBF8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69B28" w14:textId="6EF0E77C" w:rsidR="00BC6DA1" w:rsidRDefault="00BC6DA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 fra datalag til logiklag, fået vist signal i GUI (graf)</w:t>
            </w:r>
          </w:p>
        </w:tc>
      </w:tr>
      <w:tr w:rsidR="001443F1" w:rsidRPr="00042F21" w14:paraId="134F5183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CF16C7" w14:textId="64F6C104" w:rsidR="001443F1" w:rsidRDefault="001443F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A993BA" w14:textId="695799A8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532B2" w14:textId="5BB1CE69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C68E56" w14:textId="4F48720D" w:rsidR="001443F1" w:rsidRDefault="001443F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Påbegyndt alarmering </w:t>
            </w:r>
          </w:p>
        </w:tc>
      </w:tr>
      <w:tr w:rsidR="0002719E" w:rsidRPr="00042F21" w14:paraId="080237A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611907" w14:textId="78FE28D2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9D911" w14:textId="54E112CA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92B82" w14:textId="67B99048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66D4E5" w14:textId="1AD35B29" w:rsidR="0002719E" w:rsidRDefault="00AD5DA2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klassen </w:t>
            </w:r>
            <w:proofErr w:type="spellStart"/>
            <w:r>
              <w:rPr>
                <w:szCs w:val="24"/>
              </w:rPr>
              <w:t>grænseværdiDTO</w:t>
            </w:r>
            <w:proofErr w:type="spellEnd"/>
            <w:r>
              <w:rPr>
                <w:szCs w:val="24"/>
              </w:rPr>
              <w:t xml:space="preserve">, men grænseværdi metode for systolen, diastolen. </w:t>
            </w:r>
            <w:bookmarkStart w:id="0" w:name="_GoBack"/>
            <w:bookmarkEnd w:id="0"/>
          </w:p>
        </w:tc>
      </w:tr>
      <w:tr w:rsidR="0002719E" w:rsidRPr="00042F21" w14:paraId="1230E64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B6DA6" w14:textId="4970FEFE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BA71CA" w14:textId="2E91F914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AC2F38" w14:textId="290E8F08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9C5335" w14:textId="6030D47E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Rettet algoritmen for udregning af systolen i blodtryksklassen. Skrevet metode i GUI laget til at præsenter systoleværdien på </w:t>
            </w:r>
            <w:proofErr w:type="spellStart"/>
            <w:r>
              <w:rPr>
                <w:szCs w:val="24"/>
              </w:rPr>
              <w:t>hovedGUI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02719E" w:rsidRPr="00042F21" w14:paraId="5FB42E5C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9D8EE6" w14:textId="1E635AC3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7FB45D" w14:textId="4454D33F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7576F" w14:textId="0538EBE3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21CB5" w14:textId="52ACA578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Rettet algoritmerne i blodtryksklasserne til, med nye metoder. Har skrevet metoder i GUI laget, til at udskrive systoliske, diastoliske og middeltryks værdier. </w:t>
            </w:r>
          </w:p>
        </w:tc>
      </w:tr>
      <w:tr w:rsidR="0002719E" w:rsidRPr="00042F21" w14:paraId="08864C4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6A0629" w14:textId="232A232E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7B3307" w14:textId="22946332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04/12-2015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16F1B" w14:textId="5617EDAD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F0374C" w14:textId="02FD9A5F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udskiftet filter koden i det digitale filter, til et </w:t>
            </w:r>
            <w:proofErr w:type="spellStart"/>
            <w:r>
              <w:rPr>
                <w:szCs w:val="24"/>
              </w:rPr>
              <w:t>moving</w:t>
            </w:r>
            <w:proofErr w:type="spellEnd"/>
            <w:r>
              <w:rPr>
                <w:szCs w:val="24"/>
              </w:rPr>
              <w:t xml:space="preserve"> average filter</w:t>
            </w:r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B6D9D" w14:textId="77777777" w:rsidR="006E7A48" w:rsidRDefault="006E7A48" w:rsidP="005017FD">
      <w:pPr>
        <w:spacing w:after="0" w:line="240" w:lineRule="auto"/>
      </w:pPr>
      <w:r>
        <w:separator/>
      </w:r>
    </w:p>
  </w:endnote>
  <w:endnote w:type="continuationSeparator" w:id="0">
    <w:p w14:paraId="268AFD4B" w14:textId="77777777" w:rsidR="006E7A48" w:rsidRDefault="006E7A48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DC6A3" w14:textId="77777777" w:rsidR="006E7A48" w:rsidRDefault="006E7A48" w:rsidP="005017FD">
      <w:pPr>
        <w:spacing w:after="0" w:line="240" w:lineRule="auto"/>
      </w:pPr>
      <w:r>
        <w:separator/>
      </w:r>
    </w:p>
  </w:footnote>
  <w:footnote w:type="continuationSeparator" w:id="0">
    <w:p w14:paraId="3E80DBFB" w14:textId="77777777" w:rsidR="006E7A48" w:rsidRDefault="006E7A48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2719E"/>
    <w:rsid w:val="00033108"/>
    <w:rsid w:val="00074E83"/>
    <w:rsid w:val="001443F1"/>
    <w:rsid w:val="001534CB"/>
    <w:rsid w:val="002471A6"/>
    <w:rsid w:val="002E6FBA"/>
    <w:rsid w:val="003149AD"/>
    <w:rsid w:val="00326DCF"/>
    <w:rsid w:val="004B59E9"/>
    <w:rsid w:val="005017FD"/>
    <w:rsid w:val="006E7A48"/>
    <w:rsid w:val="007E5B7A"/>
    <w:rsid w:val="0091173A"/>
    <w:rsid w:val="00946428"/>
    <w:rsid w:val="00985EFC"/>
    <w:rsid w:val="009D517F"/>
    <w:rsid w:val="00A33948"/>
    <w:rsid w:val="00A77165"/>
    <w:rsid w:val="00AC1A42"/>
    <w:rsid w:val="00AD5DA2"/>
    <w:rsid w:val="00B35E73"/>
    <w:rsid w:val="00B82DE3"/>
    <w:rsid w:val="00BC6DA1"/>
    <w:rsid w:val="00C6786B"/>
    <w:rsid w:val="00CE3F38"/>
    <w:rsid w:val="00D52CBE"/>
    <w:rsid w:val="00D55C01"/>
    <w:rsid w:val="00DC7982"/>
    <w:rsid w:val="00E00AA3"/>
    <w:rsid w:val="00EC2C30"/>
    <w:rsid w:val="00F2091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406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15</cp:revision>
  <dcterms:created xsi:type="dcterms:W3CDTF">2015-09-14T08:55:00Z</dcterms:created>
  <dcterms:modified xsi:type="dcterms:W3CDTF">2015-12-04T12:56:00Z</dcterms:modified>
</cp:coreProperties>
</file>