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C86446"/>
          <w:sz w:val="96"/>
          <w:szCs w:val="96"/>
        </w:rPr>
        <w:t xml:space="preserve">NAIA</w:t>
      </w:r>
    </w:p>
    <w:p>
      <w:pPr>
        <w:spacing w:after="120"/>
        <w:jc w:val="center"/>
      </w:pPr>
      <w:r>
        <w:rPr>
          <w:color w:val="2C2A29"/>
          <w:sz w:val="30"/>
          <w:szCs w:val="30"/>
        </w:rPr>
        <w:t xml:space="preserve">The warm AI concierge for cross-border medical care</w:t>
      </w:r>
    </w:p>
    <w:p>
      <w:pPr>
        <w:spacing w:after="120"/>
        <w:jc w:val="center"/>
      </w:pPr>
      <w:r>
        <w:rPr>
          <w:i/>
          <w:iCs/>
          <w:color w:val="6B6763"/>
          <w:sz w:val="22"/>
          <w:szCs w:val="22"/>
        </w:rPr>
        <w:t xml:space="preserve">From “just curious” to “years post-op” — one guide, every step.</w:t>
      </w:r>
    </w:p>
    <w:p>
      <w:pPr>
        <w:spacing w:after="600"/>
        <w:jc w:val="center"/>
      </w:pPr>
      <w:r>
        <w:rPr>
          <w:b/>
          <w:bCs/>
          <w:color w:val="C86446"/>
          <w:sz w:val="22"/>
          <w:szCs w:val="22"/>
        </w:rPr>
        <w:t xml:space="preserve">heynaia.ai</w:t>
      </w:r>
    </w:p>
    <w:p>
      <w:pPr>
        <w:spacing w:after="80"/>
        <w:jc w:val="center"/>
      </w:pPr>
      <w:r>
        <w:rPr>
          <w:b/>
          <w:bCs/>
          <w:color w:val="2C2A29"/>
          <w:sz w:val="24"/>
          <w:szCs w:val="24"/>
        </w:rPr>
        <w:t xml:space="preserve">Pre-Seed Investment Memorandum</w:t>
      </w:r>
    </w:p>
    <w:p>
      <w:pPr>
        <w:spacing w:after="80"/>
        <w:jc w:val="center"/>
      </w:pPr>
      <w:r>
        <w:rPr>
          <w:color w:val="C86446"/>
          <w:sz w:val="22"/>
          <w:szCs w:val="22"/>
        </w:rPr>
        <w:t xml:space="preserve">Raising £500,000 SEIS/EIS  •  United Kingdom &amp; Europe</w:t>
      </w:r>
    </w:p>
    <w:p>
      <w:pPr>
        <w:spacing w:after="1400"/>
        <w:jc w:val="center"/>
      </w:pPr>
      <w:r>
        <w:rPr>
          <w:color w:val="6B6763"/>
          <w:sz w:val="18"/>
          <w:szCs w:val="18"/>
        </w:rPr>
        <w:t xml:space="preserve">Prepared July 2026  •  Maisie — Founder</w:t>
      </w:r>
    </w:p>
    <w:p>
      <w:pPr>
        <w:jc w:val="center"/>
      </w:pPr>
      <w:r>
        <w:rPr>
          <w:i/>
          <w:iCs/>
          <w:color w:val="6B6763"/>
          <w:sz w:val="16"/>
          <w:szCs w:val="16"/>
        </w:rPr>
        <w:t xml:space="preserve">Confidential. Do not distribute without permission.</w:t>
      </w:r>
    </w:p>
    <w:p>
      <w:r>
        <w:br w:type="page"/>
      </w:r>
    </w:p>
    <w:p>
      <w:pPr>
        <w:pStyle w:val="Heading1"/>
      </w:pPr>
      <w:r>
        <w:t xml:space="preserve">Executive summary</w:t>
      </w:r>
    </w:p>
    <w:p>
      <w:pPr>
        <w:spacing w:after="160" w:line="276"/>
      </w:pPr>
      <w:r>
        <w:t xml:space="preserve">NAIA is a dual-sided medical-tourism platform built around a warm, judgment-free AI concierge that guides a patient through an intimidating, expensive, cross-border medical decision — and stays with them long after the operation. It connects patients to vetted, board-certified clinics abroad and gives those clinics the tools to review, approve, and coordinate cases in real time.</w:t>
      </w:r>
    </w:p>
    <w:p>
      <w:pPr>
        <w:spacing w:after="160" w:line="276"/>
      </w:pPr>
      <w:r>
        <w:t xml:space="preserve">The category is proven but the experience is broken. Millions travel abroad each year for cosmetic and elective surgery, yet the journey is fragmented across forums, WhatsApp groups, agents, and clinics — with real anxiety about trust, safety, price, and what happens if something goes wrong. Incumbents optimise for the booking; almost no one owns the fear before it or the aftercare after it.</w:t>
      </w:r>
    </w:p>
    <w:p>
      <w:pPr>
        <w:spacing w:after="160" w:line="276"/>
      </w:pPr>
      <w:r>
        <w:rPr>
          <w:b/>
          <w:bCs/>
        </w:rPr>
        <w:t xml:space="preserve">NAIA’s wedge: trust. </w:t>
      </w:r>
      <w:r>
        <w:t xml:space="preserve">A patient will ask an AI the embarrassing questions — about pain, scarring, cost, recovery, intimacy — that they would never ask a surgeon. NAIA answers them plainly, never pressures, and defers every clinical and financial judgement to the people qualified to make it. Money is deferred by design: no deposit is requested until a surgeon has actually approved the plan, and funds sit in escrow until then.</w:t>
      </w:r>
    </w:p>
    <w:p>
      <w:pPr>
        <w:spacing w:after="160" w:line="276"/>
      </w:pPr>
      <w:r>
        <w:rPr>
          <w:b/>
          <w:bCs/>
        </w:rPr>
        <w:t xml:space="preserve">The ask. </w:t>
      </w:r>
      <w:r>
        <w:t xml:space="preserve">We are raising </w:t>
      </w:r>
      <w:r>
        <w:rPr>
          <w:b/>
          <w:bCs/>
        </w:rPr>
        <w:t xml:space="preserve">£500,000 on a SEIS/EIS-eligible round</w:t>
      </w:r>
      <w:r>
        <w:t xml:space="preserve"> to convert a working platform into live, paying demand: launch paid acquisition, sign the first cohort of clinic partners, and prove unit economics on the first real bookings within two quarters.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What we are</w:t>
            </w:r>
          </w:p>
        </w:tc>
        <w:tc>
          <w:tcPr>
            <w:tcW w:type="dxa" w:w="312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What we've built</w:t>
            </w:r>
          </w:p>
        </w:tc>
        <w:tc>
          <w:tcPr>
            <w:tcW w:type="dxa" w:w="312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What we're proving</w:t>
            </w:r>
          </w:p>
        </w:tc>
      </w:tr>
      <w:tr>
        <w:trPr>
          <w:tblHeader w:val="false"/>
        </w:trPr>
        <w:tc>
          <w:tcPr>
            <w:tcW w:type="dxa" w:w="312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An AI concierge + dual-sided marketplace for cross-border cosmetic &amp; elective surgery.</w:t>
            </w:r>
          </w:p>
        </w:tc>
        <w:tc>
          <w:tcPr>
            <w:tcW w:type="dxa" w:w="312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A working multi-surface platform: patient web app, clinic dashboard, WhatsApp — one AI, one booking spine.</w:t>
            </w:r>
          </w:p>
        </w:tc>
        <w:tc>
          <w:tcPr>
            <w:tcW w:type="dxa" w:w="312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That paid demand converts to qualified, clinic-approved bookings at a viable cost.</w:t>
            </w:r>
          </w:p>
        </w:tc>
      </w:tr>
    </w:tbl>
    <w:p>
      <w:pPr>
        <w:spacing w:after="60"/>
      </w:pPr>
      <w:r>
        <w:t xml:space="preserve"/>
      </w:r>
    </w:p>
    <w:p>
      <w:pPr>
        <w:spacing w:after="160" w:line="276"/>
        <w:rPr>
          <w:i/>
          <w:iCs/>
          <w:color w:val="6B6763"/>
          <w:sz w:val="20"/>
          <w:szCs w:val="20"/>
        </w:rPr>
      </w:pPr>
      <w:r>
        <w:rPr>
          <w:i/>
          <w:iCs/>
          <w:color w:val="6B6763"/>
          <w:sz w:val="20"/>
          <w:szCs w:val="20"/>
        </w:rPr>
        <w:t xml:space="preserve">This memorandum covers the problem, the product, the market, the model, the go-to-market and traction plan, the team, and the specific use of funds. A live investor target list and an 8-week fundraising plan accompany it.</w:t>
      </w:r>
    </w:p>
    <w:p>
      <w:r>
        <w:br w:type="page"/>
      </w:r>
    </w:p>
    <w:p>
      <w:pPr>
        <w:pStyle w:val="Heading1"/>
      </w:pPr>
      <w:r>
        <w:t xml:space="preserve">1. The problem</w:t>
      </w:r>
    </w:p>
    <w:p>
      <w:pPr>
        <w:spacing w:after="160" w:line="276"/>
      </w:pPr>
      <w:r>
        <w:t xml:space="preserve">Choosing to have surgery in another country is one of the highest-stakes consumer decisions a person can make. It combines three things people find hardest: their body, a large amount of money, and a stranger they have to trust in a place they don’t know.</w:t>
      </w:r>
    </w:p>
    <w:p>
      <w:pPr>
        <w:pStyle w:val="Heading2"/>
      </w:pPr>
      <w:r>
        <w:t xml:space="preserve">For the patient, the journey is frightening and fragmented</w:t>
      </w:r>
    </w:p>
    <w:p>
      <w:pPr>
        <w:pStyle w:val="ListParagraph"/>
        <w:numPr>
          <w:ilvl w:val="0"/>
          <w:numId w:val="2"/>
        </w:numPr>
        <w:spacing w:after="90" w:line="272"/>
      </w:pPr>
      <w:r>
        <w:rPr>
          <w:b/>
          <w:bCs/>
        </w:rPr>
        <w:t xml:space="preserve">No one owns trust.</w:t>
      </w:r>
      <w:r>
        <w:t xml:space="preserve"> Trust is the #1 barrier, and it is under-served. Is this surgeon real and qualified? Are the before/after photos genuine? What actually happens if there’s a complication once I’m home?</w:t>
      </w:r>
    </w:p>
    <w:p>
      <w:pPr>
        <w:pStyle w:val="ListParagraph"/>
        <w:numPr>
          <w:ilvl w:val="0"/>
          <w:numId w:val="2"/>
        </w:numPr>
        <w:spacing w:after="90" w:line="272"/>
      </w:pPr>
      <w:r>
        <w:rPr>
          <w:b/>
          <w:bCs/>
        </w:rPr>
        <w:t xml:space="preserve">Opaque pricing.</w:t>
      </w:r>
      <w:r>
        <w:t xml:space="preserve"> Cost is the primary motivation, yet pricing is opaque, quotes are inconsistent, and financing is rarely offered up front.</w:t>
      </w:r>
    </w:p>
    <w:p>
      <w:pPr>
        <w:pStyle w:val="ListParagraph"/>
        <w:numPr>
          <w:ilvl w:val="0"/>
          <w:numId w:val="2"/>
        </w:numPr>
        <w:spacing w:after="90" w:line="272"/>
      </w:pPr>
      <w:r>
        <w:rPr>
          <w:b/>
          <w:bCs/>
        </w:rPr>
        <w:t xml:space="preserve">Fragmented and pressured.</w:t>
      </w:r>
      <w:r>
        <w:t xml:space="preserve"> Discovery lives in Facebook groups, Reddit, WhatsApp, and unregulated “facilitators” whose incentives are to close a sale, not to protect the patient.</w:t>
      </w:r>
    </w:p>
    <w:p>
      <w:pPr>
        <w:pStyle w:val="ListParagraph"/>
        <w:numPr>
          <w:ilvl w:val="0"/>
          <w:numId w:val="2"/>
        </w:numPr>
        <w:spacing w:after="90" w:line="272"/>
      </w:pPr>
      <w:r>
        <w:rPr>
          <w:b/>
          <w:bCs/>
        </w:rPr>
        <w:t xml:space="preserve">Embarrassment blocks the questions.</w:t>
      </w:r>
      <w:r>
        <w:t xml:space="preserve"> The people who need the most reassurance are the least likely to ask a surgeon their real questions — about pain, scarring, recovery, intimacy, shame.</w:t>
      </w:r>
    </w:p>
    <w:p>
      <w:pPr>
        <w:pStyle w:val="ListParagraph"/>
        <w:numPr>
          <w:ilvl w:val="0"/>
          <w:numId w:val="2"/>
        </w:numPr>
        <w:spacing w:after="90" w:line="272"/>
      </w:pPr>
      <w:r>
        <w:rPr>
          <w:b/>
          <w:bCs/>
        </w:rPr>
        <w:t xml:space="preserve">Aftercare falls off a cliff.</w:t>
      </w:r>
      <w:r>
        <w:t xml:space="preserve"> Once the patient flies home, the clinic’s attention moves to the next case. Recovery and complications happen in a support vacuum.</w:t>
      </w:r>
    </w:p>
    <w:p>
      <w:pPr>
        <w:pStyle w:val="Heading2"/>
      </w:pPr>
      <w:r>
        <w:t xml:space="preserve">For the clinic, good patients are hard to reach and hard to qualify</w:t>
      </w:r>
    </w:p>
    <w:p>
      <w:pPr>
        <w:pStyle w:val="ListParagraph"/>
        <w:numPr>
          <w:ilvl w:val="0"/>
          <w:numId w:val="2"/>
        </w:numPr>
        <w:spacing w:after="90" w:line="272"/>
      </w:pPr>
      <w:r>
        <w:rPr>
          <w:b/>
          <w:bCs/>
        </w:rPr>
        <w:t xml:space="preserve">Expensive, low-quality lead flow.</w:t>
      </w:r>
      <w:r>
        <w:t xml:space="preserve"> Clinics spend heavily on agents and ads to reach patients, then waste time on unqualified, undocumented, tyre-kicking enquiries.</w:t>
      </w:r>
    </w:p>
    <w:p>
      <w:pPr>
        <w:pStyle w:val="ListParagraph"/>
        <w:numPr>
          <w:ilvl w:val="0"/>
          <w:numId w:val="2"/>
        </w:numPr>
        <w:spacing w:after="90" w:line="272"/>
      </w:pPr>
      <w:r>
        <w:rPr>
          <w:b/>
          <w:bCs/>
        </w:rPr>
        <w:t xml:space="preserve">Manual, risky intake.</w:t>
      </w:r>
      <w:r>
        <w:t xml:space="preserve"> Passports, medical history, consent, eligibility — collected ad hoc over chat, if at all, creating clinical and legal risk.</w:t>
      </w:r>
    </w:p>
    <w:p>
      <w:pPr>
        <w:pStyle w:val="ListParagraph"/>
        <w:numPr>
          <w:ilvl w:val="0"/>
          <w:numId w:val="2"/>
        </w:numPr>
        <w:spacing w:after="90" w:line="272"/>
      </w:pPr>
      <w:r>
        <w:rPr>
          <w:b/>
          <w:bCs/>
        </w:rPr>
        <w:t xml:space="preserve">No source of truth.</w:t>
      </w:r>
      <w:r>
        <w:t xml:space="preserve"> No shared system of record between patient and clinic; status lives in someone’s inbox.</w:t>
      </w:r>
    </w:p>
    <w:p>
      <w:pPr>
        <w:spacing w:after="160" w:line="276"/>
      </w:pPr>
      <w:r>
        <w:t xml:space="preserve">The result is a category with enormous demand and structurally poor trust — exactly the kind of market a patient-first, trust-led product can win.</w:t>
      </w:r>
    </w:p>
    <w:p>
      <w:r>
        <w:br w:type="page"/>
      </w:r>
    </w:p>
    <w:p>
      <w:pPr>
        <w:pStyle w:val="Heading1"/>
      </w:pPr>
      <w:r>
        <w:t xml:space="preserve">2. The solution: NAIA</w:t>
      </w:r>
    </w:p>
    <w:p>
      <w:pPr>
        <w:spacing w:after="160" w:line="276"/>
      </w:pPr>
      <w:r>
        <w:t xml:space="preserve">NAIA is one AI concierge across three surfaces — the patient web app, the clinic dashboard, and WhatsApp — sitting on top of a single, auditable booking spine shared by patient and clinic. The character never changes: warm, judgment-free, unhurried, honest over flattering, and never pushy. Only the formatting changes per surface.</w:t>
      </w:r>
    </w:p>
    <w:p>
      <w:pPr>
        <w:pStyle w:val="Heading2"/>
      </w:pPr>
      <w:r>
        <w:t xml:space="preserve">What NAIA does, stage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rPr>
          <w:tblHeader/>
        </w:trPr>
        <w:tc>
          <w:tcPr>
            <w:tcW w:type="dxa" w:w="220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Stage</w:t>
            </w:r>
          </w:p>
        </w:tc>
        <w:tc>
          <w:tcPr>
            <w:tcW w:type="dxa" w:w="430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What NAIA does</w:t>
            </w:r>
          </w:p>
        </w:tc>
        <w:tc>
          <w:tcPr>
            <w:tcW w:type="dxa" w:w="286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The feeling it protects</w:t>
            </w:r>
          </w:p>
        </w:tc>
      </w:tr>
      <w:tr>
        <w:trPr>
          <w:tblHeader w:val="false"/>
        </w:trPr>
        <w:tc>
          <w:tcPr>
            <w:tcW w:type="dxa" w:w="220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Just curious</w:t>
            </w:r>
          </w:p>
        </w:tc>
        <w:tc>
          <w:tcPr>
            <w:tcW w:type="dxa" w:w="430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Welcomes, listens, no agenda, no forms.</w:t>
            </w:r>
          </w:p>
        </w:tc>
        <w:tc>
          <w:tcPr>
            <w:tcW w:type="dxa" w:w="286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“I can explore without being sold to.”</w:t>
            </w:r>
          </w:p>
        </w:tc>
      </w:tr>
      <w:tr>
        <w:trPr>
          <w:tblHeader w:val="false"/>
        </w:trPr>
        <w:tc>
          <w:tcPr>
            <w:tcW w:type="dxa" w:w="220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Explore &amp; compare</w:t>
            </w:r>
          </w:p>
        </w:tc>
        <w:tc>
          <w:tcPr>
            <w:tcW w:type="dxa" w:w="430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Shows real, body-matched results and verified surgeon credentials.</w:t>
            </w:r>
          </w:p>
        </w:tc>
        <w:tc>
          <w:tcPr>
            <w:tcW w:type="dxa" w:w="286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“These are real people like me.”</w:t>
            </w:r>
          </w:p>
        </w:tc>
      </w:tr>
      <w:tr>
        <w:trPr>
          <w:tblHeader w:val="false"/>
        </w:trPr>
        <w:tc>
          <w:tcPr>
            <w:tcW w:type="dxa" w:w="220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Eligibility &amp; docs</w:t>
            </w:r>
          </w:p>
        </w:tc>
        <w:tc>
          <w:tcPr>
            <w:tcW w:type="dxa" w:w="430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Explains why each step exists; answers the embarrassing questions.</w:t>
            </w:r>
          </w:p>
        </w:tc>
        <w:tc>
          <w:tcPr>
            <w:tcW w:type="dxa" w:w="286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“Nothing here is scary or hidden.”</w:t>
            </w:r>
          </w:p>
        </w:tc>
      </w:tr>
      <w:tr>
        <w:trPr>
          <w:tblHeader w:val="false"/>
        </w:trPr>
        <w:tc>
          <w:tcPr>
            <w:tcW w:type="dxa" w:w="220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Decision &amp; deposit</w:t>
            </w:r>
          </w:p>
        </w:tc>
        <w:tc>
          <w:tcPr>
            <w:tcW w:type="dxa" w:w="430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“No payment until a surgeon has approved your plan.” Escrow, calmly explained.</w:t>
            </w:r>
          </w:p>
        </w:tc>
        <w:tc>
          <w:tcPr>
            <w:tcW w:type="dxa" w:w="286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“I’m not being rushed into paying.”</w:t>
            </w:r>
          </w:p>
        </w:tc>
      </w:tr>
      <w:tr>
        <w:trPr>
          <w:tblHeader w:val="false"/>
        </w:trPr>
        <w:tc>
          <w:tcPr>
            <w:tcW w:type="dxa" w:w="220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Travel &amp; treatment</w:t>
            </w:r>
          </w:p>
        </w:tc>
        <w:tc>
          <w:tcPr>
            <w:tcW w:type="dxa" w:w="430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Practical itinerary support; a calm, always-on presence.</w:t>
            </w:r>
          </w:p>
        </w:tc>
        <w:tc>
          <w:tcPr>
            <w:tcW w:type="dxa" w:w="286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“I know what happens next.”</w:t>
            </w:r>
          </w:p>
        </w:tc>
      </w:tr>
      <w:tr>
        <w:trPr>
          <w:tblHeader w:val="false"/>
        </w:trPr>
        <w:tc>
          <w:tcPr>
            <w:tcW w:type="dxa" w:w="220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Aftercare</w:t>
            </w:r>
          </w:p>
        </w:tc>
        <w:tc>
          <w:tcPr>
            <w:tcW w:type="dxa" w:w="430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Proactive, stage-aware recovery guidance once the patient is home.</w:t>
            </w:r>
          </w:p>
        </w:tc>
        <w:tc>
          <w:tcPr>
            <w:tcW w:type="dxa" w:w="286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“I’m not alone now that I’m home.”</w:t>
            </w:r>
          </w:p>
        </w:tc>
      </w:tr>
    </w:tbl>
    <w:p>
      <w:pPr>
        <w:spacing w:after="60"/>
      </w:pPr>
      <w:r>
        <w:t xml:space="preserve"/>
      </w:r>
    </w:p>
    <w:p>
      <w:pPr>
        <w:pStyle w:val="Heading2"/>
      </w:pPr>
      <w:r>
        <w:t xml:space="preserve">The three things that make NAIA defensible</w:t>
      </w:r>
    </w:p>
    <w:p>
      <w:pPr>
        <w:pStyle w:val="ListParagraph"/>
        <w:numPr>
          <w:ilvl w:val="0"/>
          <w:numId w:val="3"/>
        </w:numPr>
        <w:spacing w:after="90" w:line="272"/>
      </w:pPr>
      <w:r>
        <w:rPr>
          <w:b/>
          <w:bCs/>
        </w:rPr>
        <w:t xml:space="preserve">1. Trust as the product, not decoration. </w:t>
      </w:r>
      <w:r>
        <w:t xml:space="preserve"> NAIA is the channel for the questions patients won’t ask a surgeon. That conversation is the top of a funnel no competitor owns, and every exchange makes the concierge better and the patient more confident.</w:t>
      </w:r>
    </w:p>
    <w:p>
      <w:pPr>
        <w:pStyle w:val="ListParagraph"/>
        <w:numPr>
          <w:ilvl w:val="0"/>
          <w:numId w:val="3"/>
        </w:numPr>
        <w:spacing w:after="90" w:line="272"/>
      </w:pPr>
      <w:r>
        <w:rPr>
          <w:b/>
          <w:bCs/>
        </w:rPr>
        <w:t xml:space="preserve">2. A real dual-sided system of record. </w:t>
      </w:r>
      <w:r>
        <w:t xml:space="preserve"> A patient and a clinic drive one shared booking through one shared state machine. Every transition is guarded and written to an append-only audit log. No surface can bypass the rules. This is the operational rigour clinics need and facilitators lack.</w:t>
      </w:r>
    </w:p>
    <w:p>
      <w:pPr>
        <w:pStyle w:val="ListParagraph"/>
        <w:numPr>
          <w:ilvl w:val="0"/>
          <w:numId w:val="3"/>
        </w:numPr>
        <w:spacing w:after="90" w:line="272"/>
      </w:pPr>
      <w:r>
        <w:rPr>
          <w:b/>
          <w:bCs/>
        </w:rPr>
        <w:t xml:space="preserve">3. Money deferred by design. </w:t>
      </w:r>
      <w:r>
        <w:t xml:space="preserve"> No deposit is requested until a surgeon has approved the plan; funds sit in escrow until then. Trust and “no pressure” aren’t slogans — they’re enforced by the architecture.</w:t>
      </w:r>
    </w:p>
    <w:p>
      <w:pPr>
        <w:spacing w:after="160" w:line="276"/>
        <w:rPr>
          <w:i/>
          <w:iCs/>
          <w:color w:val="6B6763"/>
          <w:sz w:val="20"/>
          <w:szCs w:val="20"/>
        </w:rPr>
      </w:pPr>
      <w:r>
        <w:rPr>
          <w:i/>
          <w:iCs/>
          <w:color w:val="6B6763"/>
          <w:sz w:val="20"/>
          <w:szCs w:val="20"/>
        </w:rPr>
        <w:t xml:space="preserve">Where a US-domestic comparable such as Bliss Aesthetics has validated the AI-concierge-for-cosmetic-surgery model, NAIA extends it to the harder, higher-trust, higher-value cross-border journey — with backend rigour (guarded state machine, escrow, audit) built in from day one.</w:t>
      </w:r>
    </w:p>
    <w:p>
      <w:r>
        <w:br w:type="page"/>
      </w:r>
    </w:p>
    <w:p>
      <w:pPr>
        <w:pStyle w:val="Heading1"/>
      </w:pPr>
      <w:r>
        <w:t xml:space="preserve">3. Market</w:t>
      </w:r>
    </w:p>
    <w:p>
      <w:pPr>
        <w:spacing w:after="160" w:line="276"/>
      </w:pPr>
      <w:r>
        <w:t xml:space="preserve">Medical tourism is a large, fast-growing, globally distributed market. Independent estimates of size vary widely by methodology, so we present a conservative range rather than a single headline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Metric</w:t>
            </w:r>
          </w:p>
        </w:tc>
        <w:tc>
          <w:tcPr>
            <w:tcW w:type="dxa" w:w="312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Figure</w:t>
            </w:r>
          </w:p>
        </w:tc>
        <w:tc>
          <w:tcPr>
            <w:tcW w:type="dxa" w:w="312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Source (2026)</w:t>
            </w:r>
          </w:p>
        </w:tc>
      </w:tr>
      <w:tr>
        <w:trPr>
          <w:tblHeader w:val="false"/>
        </w:trPr>
        <w:tc>
          <w:tcPr>
            <w:tcW w:type="dxa" w:w="312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Global medical tourism market</w:t>
            </w:r>
          </w:p>
        </w:tc>
        <w:tc>
          <w:tcPr>
            <w:tcW w:type="dxa" w:w="312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~$34-84B in 2025</w:t>
            </w:r>
          </w:p>
        </w:tc>
        <w:tc>
          <w:tcPr>
            <w:tcW w:type="dxa" w:w="312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Grand View Research; Global Market Insights</w:t>
            </w:r>
          </w:p>
        </w:tc>
      </w:tr>
      <w:tr>
        <w:trPr>
          <w:tblHeader w:val="false"/>
        </w:trPr>
        <w:tc>
          <w:tcPr>
            <w:tcW w:type="dxa" w:w="312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Forecast CAGR</w:t>
            </w:r>
          </w:p>
        </w:tc>
        <w:tc>
          <w:tcPr>
            <w:tcW w:type="dxa" w:w="312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~8-14%</w:t>
            </w:r>
          </w:p>
        </w:tc>
        <w:tc>
          <w:tcPr>
            <w:tcW w:type="dxa" w:w="312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Global Market Insights (8.4%); Grand View (14.1%)</w:t>
            </w:r>
          </w:p>
        </w:tc>
      </w:tr>
      <w:tr>
        <w:trPr>
          <w:tblHeader w:val="false"/>
        </w:trPr>
        <w:tc>
          <w:tcPr>
            <w:tcW w:type="dxa" w:w="312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Cosmetic surgery share</w:t>
            </w:r>
          </w:p>
        </w:tc>
        <w:tc>
          <w:tcPr>
            <w:tcW w:type="dxa" w:w="312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~17-24% of the market</w:t>
            </w:r>
          </w:p>
        </w:tc>
        <w:tc>
          <w:tcPr>
            <w:tcW w:type="dxa" w:w="312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Global Market Insights; Grand View Research</w:t>
            </w:r>
          </w:p>
        </w:tc>
      </w:tr>
    </w:tbl>
    <w:p>
      <w:pPr>
        <w:spacing w:after="60"/>
      </w:pPr>
      <w:r>
        <w:t xml:space="preserve"/>
      </w:r>
    </w:p>
    <w:p>
      <w:pPr>
        <w:spacing w:after="160" w:line="276"/>
      </w:pPr>
      <w:r>
        <w:rPr>
          <w:b/>
          <w:bCs/>
        </w:rPr>
        <w:t xml:space="preserve">Why now. </w:t>
      </w:r>
      <w:r>
        <w:t xml:space="preserve">Three forces converge: (1) cost pressure and long waiting lists push patients abroad; (2) AI finally makes a warm, always-on, multilingual concierge economically viable at scale; and (3) the AI-concierge cosmetic model has just been validated in the US, de-risking the category for a cross-border entrant.</w:t>
      </w:r>
    </w:p>
    <w:p>
      <w:pPr>
        <w:spacing w:after="160" w:line="276"/>
      </w:pPr>
      <w:r>
        <w:rPr>
          <w:b/>
          <w:bCs/>
        </w:rPr>
        <w:t xml:space="preserve">Beachhead. </w:t>
      </w:r>
      <w:r>
        <w:t xml:space="preserve">UK &amp; European outbound patients travelling for cosmetic and elective procedures — a segment where cost savings are large, demand is proven, trust anxiety is highest, and English-language, WhatsApp-native concierge fits naturally. We win one procedure-and-destination corridor at a time, then expand.</w:t>
      </w:r>
    </w:p>
    <w:p>
      <w:pPr>
        <w:spacing w:after="160" w:line="276"/>
      </w:pPr>
      <w:r>
        <w:rPr>
          <w:b/>
          <w:bCs/>
        </w:rPr>
        <w:t xml:space="preserve">How we size it bottom-up. </w:t>
      </w:r>
      <w:r>
        <w:t xml:space="preserve">Revenue per completed booking × bookings per active clinic per month × clinics on the platform. The pre-seed exists to establish the first two numbers with real data so a seed round can be sized against a defensible bottom-up model, not a top-down TAM slide.</w:t>
      </w:r>
    </w:p>
    <w:p>
      <w:r>
        <w:br w:type="page"/>
      </w:r>
    </w:p>
    <w:p>
      <w:pPr>
        <w:pStyle w:val="Heading1"/>
      </w:pPr>
      <w:r>
        <w:t xml:space="preserve">4. Product &amp; technology</w:t>
      </w:r>
    </w:p>
    <w:p>
      <w:pPr>
        <w:spacing w:after="160" w:line="276"/>
      </w:pPr>
      <w:r>
        <w:t xml:space="preserve">The platform already exists as a working multi-surface system. The pre-seed funds demand and the last mile of integrations, not a build from zero.</w:t>
      </w:r>
    </w:p>
    <w:p>
      <w:pPr>
        <w:pStyle w:val="Heading2"/>
      </w:pPr>
      <w:r>
        <w:t xml:space="preserve">Architecture in one paragraph</w:t>
      </w:r>
    </w:p>
    <w:p>
      <w:pPr>
        <w:spacing w:after="160" w:line="276"/>
      </w:pPr>
      <w:r>
        <w:t xml:space="preserve">A single PostgreSQL source of truth sits behind an API that serves three surfaces — patient web app, clinic dashboard, and WhatsApp. NAIA is a multi-step reasoning agent (intent router plus specialised sub-agents for eligibility, booking, specialist Q&amp;A, travel planning, and support) whose core is surface-agnostic; adapters format each response per channel. Real-time coordinator alerts, role-based access for patient / coordinator / surgeon, PII encrypted at rest, and an append-only booking audit log are built in.</w:t>
      </w:r>
    </w:p>
    <w:p>
      <w:pPr>
        <w:pStyle w:val="Heading2"/>
      </w:pPr>
      <w:r>
        <w:t xml:space="preserve">Built</w:t>
      </w:r>
    </w:p>
    <w:p>
      <w:pPr>
        <w:pStyle w:val="ListParagraph"/>
        <w:numPr>
          <w:ilvl w:val="0"/>
          <w:numId w:val="2"/>
        </w:numPr>
        <w:spacing w:after="90" w:line="272"/>
      </w:pPr>
      <w:r>
        <w:t xml:space="preserve">Multi-surface platform scaffold (web, dashboard, WhatsApp) on one shared booking spine.</w:t>
      </w:r>
    </w:p>
    <w:p>
      <w:pPr>
        <w:pStyle w:val="ListParagraph"/>
        <w:numPr>
          <w:ilvl w:val="0"/>
          <w:numId w:val="2"/>
        </w:numPr>
        <w:spacing w:after="90" w:line="272"/>
      </w:pPr>
      <w:r>
        <w:t xml:space="preserve">Guarded booking state machine with append-only audit history — the operational and trust backbone.</w:t>
      </w:r>
    </w:p>
    <w:p>
      <w:pPr>
        <w:pStyle w:val="ListParagraph"/>
        <w:numPr>
          <w:ilvl w:val="0"/>
          <w:numId w:val="2"/>
        </w:numPr>
        <w:spacing w:after="90" w:line="272"/>
      </w:pPr>
      <w:r>
        <w:t xml:space="preserve">NAIA agent architecture with intent routing and specialised sub-agents; defined identity and behavioural contract.</w:t>
      </w:r>
    </w:p>
    <w:p>
      <w:pPr>
        <w:pStyle w:val="ListParagraph"/>
        <w:numPr>
          <w:ilvl w:val="0"/>
          <w:numId w:val="2"/>
        </w:numPr>
        <w:spacing w:after="90" w:line="272"/>
      </w:pPr>
      <w:r>
        <w:t xml:space="preserve">Role-based access, encryption at rest, no-PII-in-logs security posture.</w:t>
      </w:r>
    </w:p>
    <w:p>
      <w:pPr>
        <w:pStyle w:val="Heading2"/>
      </w:pPr>
      <w:r>
        <w:t xml:space="preserve">Last mile (funded by this round)</w:t>
      </w:r>
    </w:p>
    <w:p>
      <w:pPr>
        <w:pStyle w:val="ListParagraph"/>
        <w:numPr>
          <w:ilvl w:val="0"/>
          <w:numId w:val="2"/>
        </w:numPr>
        <w:spacing w:after="90" w:line="272"/>
      </w:pPr>
      <w:r>
        <w:t xml:space="preserve">Real treatment catalogue and first clinic/specialist listings (seed data → real rows).</w:t>
      </w:r>
    </w:p>
    <w:p>
      <w:pPr>
        <w:pStyle w:val="ListParagraph"/>
        <w:numPr>
          <w:ilvl w:val="0"/>
          <w:numId w:val="2"/>
        </w:numPr>
        <w:spacing w:after="90" w:line="272"/>
      </w:pPr>
      <w:r>
        <w:t xml:space="preserve">Stripe escrow wiring (deposit held until surgeon approval).</w:t>
      </w:r>
    </w:p>
    <w:p>
      <w:pPr>
        <w:pStyle w:val="ListParagraph"/>
        <w:numPr>
          <w:ilvl w:val="0"/>
          <w:numId w:val="2"/>
        </w:numPr>
        <w:spacing w:after="90" w:line="272"/>
      </w:pPr>
      <w:r>
        <w:t xml:space="preserve">Twilio WhatsApp go-live; conversational web concierge polish.</w:t>
      </w:r>
    </w:p>
    <w:p>
      <w:pPr>
        <w:pStyle w:val="ListParagraph"/>
        <w:numPr>
          <w:ilvl w:val="0"/>
          <w:numId w:val="2"/>
        </w:numPr>
        <w:spacing w:after="90" w:line="272"/>
      </w:pPr>
      <w:r>
        <w:t xml:space="preserve">Trust layer: verified credentials, accreditation, real patient stories — the highest-leverage conversion surface.</w:t>
      </w:r>
    </w:p>
    <w:p>
      <w:pPr>
        <w:pStyle w:val="ListParagraph"/>
        <w:numPr>
          <w:ilvl w:val="0"/>
          <w:numId w:val="2"/>
        </w:numPr>
        <w:spacing w:after="90" w:line="272"/>
      </w:pPr>
      <w:r>
        <w:t xml:space="preserve">Financing option at the deposit step and a lightweight outcome/itinerary preview.</w:t>
      </w:r>
    </w:p>
    <w:p>
      <w:pPr>
        <w:spacing w:after="160" w:line="276"/>
        <w:rPr>
          <w:i/>
          <w:iCs/>
          <w:color w:val="6B6763"/>
          <w:sz w:val="20"/>
          <w:szCs w:val="20"/>
        </w:rPr>
      </w:pPr>
      <w:r>
        <w:rPr>
          <w:i/>
          <w:iCs/>
          <w:color w:val="6B6763"/>
          <w:sz w:val="20"/>
          <w:szCs w:val="20"/>
        </w:rPr>
        <w:t xml:space="preserve">None of these are research problems; they are wiring and content. That is precisely why this is a demand-and-traction raise, not an R&amp;D raise.</w:t>
      </w:r>
    </w:p>
    <w:p>
      <w:r>
        <w:br w:type="page"/>
      </w:r>
    </w:p>
    <w:p>
      <w:pPr>
        <w:pStyle w:val="Heading1"/>
      </w:pPr>
      <w:r>
        <w:t xml:space="preserve">5. Business model</w:t>
      </w:r>
    </w:p>
    <w:p>
      <w:pPr>
        <w:spacing w:after="160" w:line="276"/>
      </w:pPr>
      <w:r>
        <w:t xml:space="preserve">NAIA earns when it creates value for both sides: a qualified, documented, surgeon-approved patient for the clinic, and a safe, well-supported journey for the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Revenue line</w:t>
            </w:r>
          </w:p>
        </w:tc>
        <w:tc>
          <w:tcPr>
            <w:tcW w:type="dxa" w:w="624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312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Booking commission / referral fee</w:t>
            </w:r>
          </w:p>
        </w:tc>
        <w:tc>
          <w:tcPr>
            <w:tcW w:type="dxa" w:w="624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Primary line: a percentage of the procedure value on each completed, clinic-approved booking. Aligns NAIA with real, successful outcomes — not volume of leads.</w:t>
            </w:r>
          </w:p>
        </w:tc>
      </w:tr>
      <w:tr>
        <w:trPr>
          <w:tblHeader w:val="false"/>
        </w:trPr>
        <w:tc>
          <w:tcPr>
            <w:tcW w:type="dxa" w:w="312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Escrow / payments margin</w:t>
            </w:r>
          </w:p>
        </w:tc>
        <w:tc>
          <w:tcPr>
            <w:tcW w:type="dxa" w:w="624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A thin margin on deposits and payments processed through the platform’s escrow.</w:t>
            </w:r>
          </w:p>
        </w:tc>
      </w:tr>
      <w:tr>
        <w:trPr>
          <w:tblHeader w:val="false"/>
        </w:trPr>
        <w:tc>
          <w:tcPr>
            <w:tcW w:type="dxa" w:w="312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Financing referral</w:t>
            </w:r>
          </w:p>
        </w:tc>
        <w:tc>
          <w:tcPr>
            <w:tcW w:type="dxa" w:w="624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Commission on patient financing arranged at the deposit step (cost is the #1 driver in this category).</w:t>
            </w:r>
          </w:p>
        </w:tc>
      </w:tr>
      <w:tr>
        <w:trPr>
          <w:tblHeader w:val="false"/>
        </w:trPr>
        <w:tc>
          <w:tcPr>
            <w:tcW w:type="dxa" w:w="312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Clinic SaaS (later)</w:t>
            </w:r>
          </w:p>
        </w:tc>
        <w:tc>
          <w:tcPr>
            <w:tcW w:type="dxa" w:w="624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Subscription for the dashboard, intake, and coordination tooling once clinic density justifies it.</w:t>
            </w:r>
          </w:p>
        </w:tc>
      </w:tr>
      <w:tr>
        <w:trPr>
          <w:tblHeader w:val="false"/>
        </w:trPr>
        <w:tc>
          <w:tcPr>
            <w:tcW w:type="dxa" w:w="312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Travel &amp; ancillary (later)</w:t>
            </w:r>
          </w:p>
        </w:tc>
        <w:tc>
          <w:tcPr>
            <w:tcW w:type="dxa" w:w="624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Referral on insurance, in-trip telemedicine, hotels, and transfers.</w:t>
            </w:r>
          </w:p>
        </w:tc>
      </w:tr>
    </w:tbl>
    <w:p>
      <w:pPr>
        <w:spacing w:after="60"/>
      </w:pPr>
      <w:r>
        <w:t xml:space="preserve"/>
      </w:r>
    </w:p>
    <w:p>
      <w:pPr>
        <w:spacing w:after="160" w:line="276"/>
      </w:pPr>
      <w:r>
        <w:t xml:space="preserve">The commission model means NAIA only wins when a real patient completes a real, approved procedure — the incentive alignment that facilitators lack and that clinics and patients both trust.</w:t>
      </w:r>
    </w:p>
    <w:p>
      <w:pPr>
        <w:pStyle w:val="Heading2"/>
      </w:pPr>
      <w:r>
        <w:t xml:space="preserve">Unit economics we intend to prove with this round</w:t>
      </w:r>
    </w:p>
    <w:p>
      <w:pPr>
        <w:pStyle w:val="ListParagraph"/>
        <w:numPr>
          <w:ilvl w:val="0"/>
          <w:numId w:val="2"/>
        </w:numPr>
        <w:spacing w:after="90" w:line="272"/>
      </w:pPr>
      <w:r>
        <w:rPr>
          <w:b/>
          <w:bCs/>
        </w:rPr>
        <w:t xml:space="preserve">CAC </w:t>
      </w:r>
      <w:r>
        <w:t xml:space="preserve"> cost to acquire a patient who reaches a qualified enquiry, via Instagram/paid social.</w:t>
      </w:r>
    </w:p>
    <w:p>
      <w:pPr>
        <w:pStyle w:val="ListParagraph"/>
        <w:numPr>
          <w:ilvl w:val="0"/>
          <w:numId w:val="2"/>
        </w:numPr>
        <w:spacing w:after="90" w:line="272"/>
      </w:pPr>
      <w:r>
        <w:rPr>
          <w:b/>
          <w:bCs/>
        </w:rPr>
        <w:t xml:space="preserve">Funnel conversion: </w:t>
      </w:r>
      <w:r>
        <w:t xml:space="preserve"> enquiry → eligible → submitted → clinic-approved → booked.</w:t>
      </w:r>
    </w:p>
    <w:p>
      <w:pPr>
        <w:pStyle w:val="ListParagraph"/>
        <w:numPr>
          <w:ilvl w:val="0"/>
          <w:numId w:val="2"/>
        </w:numPr>
        <w:spacing w:after="90" w:line="272"/>
      </w:pPr>
      <w:r>
        <w:rPr>
          <w:b/>
          <w:bCs/>
        </w:rPr>
        <w:t xml:space="preserve">Revenue per booking: </w:t>
      </w:r>
      <w:r>
        <w:t xml:space="preserve"> average commission per completed booking.</w:t>
      </w:r>
    </w:p>
    <w:p>
      <w:pPr>
        <w:pStyle w:val="ListParagraph"/>
        <w:numPr>
          <w:ilvl w:val="0"/>
          <w:numId w:val="2"/>
        </w:numPr>
        <w:spacing w:after="90" w:line="272"/>
      </w:pPr>
      <w:r>
        <w:rPr>
          <w:b/>
          <w:bCs/>
        </w:rPr>
        <w:t xml:space="preserve">Contribution margin and CAC payback: </w:t>
      </w:r>
      <w:r>
        <w:t xml:space="preserve"> the ratio that tells a seed investor the model scales.</w:t>
      </w:r>
    </w:p>
    <w:p>
      <w:r>
        <w:br w:type="page"/>
      </w:r>
    </w:p>
    <w:p>
      <w:pPr>
        <w:pStyle w:val="Heading1"/>
      </w:pPr>
      <w:r>
        <w:t xml:space="preserve">6. Go-to-market &amp; traction plan</w:t>
      </w:r>
    </w:p>
    <w:p>
      <w:pPr>
        <w:spacing w:after="160" w:line="276"/>
      </w:pPr>
      <w:r>
        <w:t xml:space="preserve">The honest position today: the platform works, but there are no live patients or signed clinics yet. This round is designed to change that fast and cheaply, and to walk into seed conversations with numbers, not just a demo.</w:t>
      </w:r>
    </w:p>
    <w:p>
      <w:pPr>
        <w:pStyle w:val="Heading2"/>
      </w:pPr>
      <w:r>
        <w:t xml:space="preserve">The traction sprint (weeks 1-6)</w:t>
      </w:r>
    </w:p>
    <w:p>
      <w:pPr>
        <w:pStyle w:val="ListParagraph"/>
        <w:numPr>
          <w:ilvl w:val="0"/>
          <w:numId w:val="3"/>
        </w:numPr>
        <w:spacing w:after="90" w:line="272"/>
      </w:pPr>
      <w:r>
        <w:rPr>
          <w:b/>
          <w:bCs/>
        </w:rPr>
        <w:t xml:space="preserve">Demand first. </w:t>
      </w:r>
      <w:r>
        <w:t xml:space="preserve"> Stand up 2-3 procedure/destination landing pages behind an eligibility quiz that captures the lead and personalises the NAIA conversation.</w:t>
      </w:r>
    </w:p>
    <w:p>
      <w:pPr>
        <w:pStyle w:val="ListParagraph"/>
        <w:numPr>
          <w:ilvl w:val="0"/>
          <w:numId w:val="3"/>
        </w:numPr>
        <w:spacing w:after="90" w:line="272"/>
      </w:pPr>
      <w:r>
        <w:rPr>
          <w:b/>
          <w:bCs/>
        </w:rPr>
        <w:t xml:space="preserve">Buy intent. </w:t>
      </w:r>
      <w:r>
        <w:t xml:space="preserve"> Run Instagram / paid-social ads into the quiz. Measure cost-per-qualified-enquiry, not vanity clicks. Even a modest spend produces a real CAC and conversion signal.</w:t>
      </w:r>
    </w:p>
    <w:p>
      <w:pPr>
        <w:pStyle w:val="ListParagraph"/>
        <w:numPr>
          <w:ilvl w:val="0"/>
          <w:numId w:val="3"/>
        </w:numPr>
        <w:spacing w:after="90" w:line="272"/>
      </w:pPr>
      <w:r>
        <w:rPr>
          <w:b/>
          <w:bCs/>
        </w:rPr>
        <w:t xml:space="preserve">Supply in parallel. </w:t>
      </w:r>
      <w:r>
        <w:t xml:space="preserve"> In parallel, sign 3-5 vetted clinic partners in one corridor on a simple commission LOI — they get free, qualified, documented demand at zero upfront cost.</w:t>
      </w:r>
    </w:p>
    <w:p>
      <w:pPr>
        <w:pStyle w:val="ListParagraph"/>
        <w:numPr>
          <w:ilvl w:val="0"/>
          <w:numId w:val="3"/>
        </w:numPr>
        <w:spacing w:after="90" w:line="272"/>
      </w:pPr>
      <w:r>
        <w:rPr>
          <w:b/>
          <w:bCs/>
        </w:rPr>
        <w:t xml:space="preserve">Close the loop. </w:t>
      </w:r>
      <w:r>
        <w:t xml:space="preserve"> Push the first cohort through eligibility → documents → clinic approval → booking, and instrument every step.</w:t>
      </w:r>
    </w:p>
    <w:p>
      <w:pPr>
        <w:spacing w:after="160" w:line="276"/>
      </w:pPr>
      <w:r>
        <w:t xml:space="preserve">This is a chicken-and-egg marketplace, so we deliberately over-index on manufacturing demand first: clinics say yes easily when the pitch is “qualified patients, no upfront cost.”</w:t>
      </w:r>
    </w:p>
    <w:p>
      <w:pPr>
        <w:pStyle w:val="Heading2"/>
      </w:pPr>
      <w:r>
        <w:t xml:space="preserve">Milestones this round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Milestone</w:t>
            </w:r>
          </w:p>
        </w:tc>
        <w:tc>
          <w:tcPr>
            <w:tcW w:type="dxa" w:w="468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Why it matters to a seed investor</w:t>
            </w:r>
          </w:p>
        </w:tc>
      </w:tr>
      <w:tr>
        <w:trPr>
          <w:tblHeader w:val="false"/>
        </w:trPr>
        <w:tc>
          <w:tcPr>
            <w:tcW w:type="dxa" w:w="468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First paid-acquisition cohort with a real CAC</w:t>
            </w:r>
          </w:p>
        </w:tc>
        <w:tc>
          <w:tcPr>
            <w:tcW w:type="dxa" w:w="468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Proves demand is buyable and how cheaply.</w:t>
            </w:r>
          </w:p>
        </w:tc>
      </w:tr>
      <w:tr>
        <w:trPr>
          <w:tblHeader w:val="false"/>
        </w:trPr>
        <w:tc>
          <w:tcPr>
            <w:tcW w:type="dxa" w:w="468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3-5 signed clinic partners in one corridor</w:t>
            </w:r>
          </w:p>
        </w:tc>
        <w:tc>
          <w:tcPr>
            <w:tcW w:type="dxa" w:w="468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Proves supply-side pull and unlocks bookings.</w:t>
            </w:r>
          </w:p>
        </w:tc>
      </w:tr>
      <w:tr>
        <w:trPr>
          <w:tblHeader w:val="false"/>
        </w:trPr>
        <w:tc>
          <w:tcPr>
            <w:tcW w:type="dxa" w:w="468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First cohort of surgeon-approved bookings</w:t>
            </w:r>
          </w:p>
        </w:tc>
        <w:tc>
          <w:tcPr>
            <w:tcW w:type="dxa" w:w="468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Proves the full funnel and the core loop works.</w:t>
            </w:r>
          </w:p>
        </w:tc>
      </w:tr>
      <w:tr>
        <w:trPr>
          <w:tblHeader w:val="false"/>
        </w:trPr>
        <w:tc>
          <w:tcPr>
            <w:tcW w:type="dxa" w:w="468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First revenue through escrow + commission</w:t>
            </w:r>
          </w:p>
        </w:tc>
        <w:tc>
          <w:tcPr>
            <w:tcW w:type="dxa" w:w="468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Proves the model earns, not just converts.</w:t>
            </w:r>
          </w:p>
        </w:tc>
      </w:tr>
      <w:tr>
        <w:trPr>
          <w:tblHeader w:val="false"/>
        </w:trPr>
        <w:tc>
          <w:tcPr>
            <w:tcW w:type="dxa" w:w="468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A defensible bottom-up unit-economics model</w:t>
            </w:r>
          </w:p>
        </w:tc>
        <w:tc>
          <w:tcPr>
            <w:tcW w:type="dxa" w:w="468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Turns “vision” into a sizable, fundable seed.</w:t>
            </w:r>
          </w:p>
        </w:tc>
      </w:tr>
    </w:tbl>
    <w:p>
      <w:r>
        <w:br w:type="page"/>
      </w:r>
    </w:p>
    <w:p>
      <w:pPr>
        <w:pStyle w:val="Heading1"/>
      </w:pPr>
      <w:r>
        <w:t xml:space="preserve">7. Competitive landscape</w:t>
      </w:r>
    </w:p>
    <w:p>
      <w:pPr>
        <w:spacing w:after="160" w:line="276"/>
      </w:pPr>
      <w:r>
        <w:t xml:space="preserve">The category is crowded with facilitators and directories, but the trust-led, patient-first, dual-sided, aftercare-inclusive position is largely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Who</w:t>
            </w:r>
          </w:p>
        </w:tc>
        <w:tc>
          <w:tcPr>
            <w:tcW w:type="dxa" w:w="356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What they do</w:t>
            </w:r>
          </w:p>
        </w:tc>
        <w:tc>
          <w:tcPr>
            <w:tcW w:type="dxa" w:w="320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Where NAIA wins</w:t>
            </w:r>
          </w:p>
        </w:tc>
      </w:tr>
      <w:tr>
        <w:trPr>
          <w:tblHeader w:val="false"/>
        </w:trPr>
        <w:tc>
          <w:tcPr>
            <w:tcW w:type="dxa" w:w="260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Medical-tourism agents / facilitators</w:t>
            </w:r>
          </w:p>
        </w:tc>
        <w:tc>
          <w:tcPr>
            <w:tcW w:type="dxa" w:w="356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Broker patients to clinics for a fee.</w:t>
            </w:r>
          </w:p>
        </w:tc>
        <w:tc>
          <w:tcPr>
            <w:tcW w:type="dxa" w:w="320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Aligned incentives, no pressure, real system of record, aftercare.</w:t>
            </w:r>
          </w:p>
        </w:tc>
      </w:tr>
      <w:tr>
        <w:trPr>
          <w:tblHeader w:val="false"/>
        </w:trPr>
        <w:tc>
          <w:tcPr>
            <w:tcW w:type="dxa" w:w="260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Directories &amp; marketplaces</w:t>
            </w:r>
          </w:p>
        </w:tc>
        <w:tc>
          <w:tcPr>
            <w:tcW w:type="dxa" w:w="356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List clinics; thin on trust and coordination.</w:t>
            </w:r>
          </w:p>
        </w:tc>
        <w:tc>
          <w:tcPr>
            <w:tcW w:type="dxa" w:w="320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AI concierge + guarded booking + escrow, not just a listing.</w:t>
            </w:r>
          </w:p>
        </w:tc>
      </w:tr>
      <w:tr>
        <w:trPr>
          <w:tblHeader w:val="false"/>
        </w:trPr>
        <w:tc>
          <w:tcPr>
            <w:tcW w:type="dxa" w:w="260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Facebook / WhatsApp groups</w:t>
            </w:r>
          </w:p>
        </w:tc>
        <w:tc>
          <w:tcPr>
            <w:tcW w:type="dxa" w:w="356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Peer advice, unverified.</w:t>
            </w:r>
          </w:p>
        </w:tc>
        <w:tc>
          <w:tcPr>
            <w:tcW w:type="dxa" w:w="320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Verified credentials and a safe, judgment-free expert channel.</w:t>
            </w:r>
          </w:p>
        </w:tc>
      </w:tr>
      <w:tr>
        <w:trPr>
          <w:tblHeader w:val="false"/>
        </w:trPr>
        <w:tc>
          <w:tcPr>
            <w:tcW w:type="dxa" w:w="260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Bliss Aesthetics (US)</w:t>
            </w:r>
          </w:p>
        </w:tc>
        <w:tc>
          <w:tcPr>
            <w:tcW w:type="dxa" w:w="356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AI concierge for US-domestic cosmetic surgery.</w:t>
            </w:r>
          </w:p>
        </w:tc>
        <w:tc>
          <w:tcPr>
            <w:tcW w:type="dxa" w:w="320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Validates the model; NAIA owns the harder cross-border journey.</w:t>
            </w:r>
          </w:p>
        </w:tc>
      </w:tr>
    </w:tbl>
    <w:p>
      <w:pPr>
        <w:spacing w:after="60"/>
      </w:pPr>
      <w:r>
        <w:t xml:space="preserve"/>
      </w:r>
    </w:p>
    <w:p>
      <w:pPr>
        <w:spacing w:after="160" w:line="276"/>
      </w:pPr>
      <w:r>
        <w:t xml:space="preserve">Defensibility compounds over time: proprietary conversation data from questions patients ask nowhere else, a two-sided liquidity flywheel, verified-clinic supply, and outcome data that improves matching and trust with every completed case.</w:t>
      </w:r>
    </w:p>
    <w:p>
      <w:r>
        <w:br w:type="page"/>
      </w:r>
    </w:p>
    <w:p>
      <w:pPr>
        <w:pStyle w:val="Heading1"/>
      </w:pPr>
      <w:r>
        <w:t xml:space="preserve">8. Team</w:t>
      </w:r>
    </w:p>
    <w:p>
      <w:pPr>
        <w:spacing w:after="160" w:line="276"/>
      </w:pPr>
      <w:r>
        <w:t xml:space="preserve">[Founder bio — Maisie: to complete.] Summarise the founder-market fit in three sentences: why you, why this problem, and what unfair insight or advantage you bring (domain, distribution, technical, or lived experience). Investors at pre-seed back the founder above all else, so make this concrete and specific.</w:t>
      </w:r>
    </w:p>
    <w:p>
      <w:pPr>
        <w:spacing w:after="160" w:line="276"/>
      </w:pPr>
      <w:r>
        <w:t xml:space="preserve">Suggested structure to fill in:</w:t>
      </w:r>
    </w:p>
    <w:p>
      <w:pPr>
        <w:pStyle w:val="ListParagraph"/>
        <w:numPr>
          <w:ilvl w:val="0"/>
          <w:numId w:val="2"/>
        </w:numPr>
        <w:spacing w:after="90" w:line="272"/>
      </w:pPr>
      <w:r>
        <w:rPr>
          <w:b/>
          <w:bCs/>
        </w:rPr>
        <w:t xml:space="preserve">Founder-market fit: </w:t>
      </w:r>
      <w:r>
        <w:t xml:space="preserve"> the one-line reason you are the right person to build NAIA.</w:t>
      </w:r>
    </w:p>
    <w:p>
      <w:pPr>
        <w:pStyle w:val="ListParagraph"/>
        <w:numPr>
          <w:ilvl w:val="0"/>
          <w:numId w:val="2"/>
        </w:numPr>
        <w:spacing w:after="90" w:line="272"/>
      </w:pPr>
      <w:r>
        <w:rPr>
          <w:b/>
          <w:bCs/>
        </w:rPr>
        <w:t xml:space="preserve">Proof of execution: </w:t>
      </w:r>
      <w:r>
        <w:t xml:space="preserve"> what you have personally shipped — the working multi-surface platform is strong evidence of execution.</w:t>
      </w:r>
    </w:p>
    <w:p>
      <w:pPr>
        <w:pStyle w:val="ListParagraph"/>
        <w:numPr>
          <w:ilvl w:val="0"/>
          <w:numId w:val="2"/>
        </w:numPr>
        <w:spacing w:after="90" w:line="272"/>
      </w:pPr>
      <w:r>
        <w:rPr>
          <w:b/>
          <w:bCs/>
        </w:rPr>
        <w:t xml:space="preserve">Team &amp; advisors: </w:t>
      </w:r>
      <w:r>
        <w:t xml:space="preserve"> advisors, prospective clinical advisory board members, or early clinic relationships.</w:t>
      </w:r>
    </w:p>
    <w:p>
      <w:pPr>
        <w:pStyle w:val="ListParagraph"/>
        <w:numPr>
          <w:ilvl w:val="0"/>
          <w:numId w:val="2"/>
        </w:numPr>
        <w:spacing w:after="90" w:line="272"/>
      </w:pPr>
      <w:r>
        <w:rPr>
          <w:b/>
          <w:bCs/>
        </w:rPr>
        <w:t xml:space="preserve">Hiring plan: </w:t>
      </w:r>
      <w:r>
        <w:t xml:space="preserve"> the specific hires this round enables (e.g. a growth/performance-marketing lead, a clinical/partnerships lead).</w:t>
      </w:r>
    </w:p>
    <w:p>
      <w:pPr>
        <w:spacing w:after="160" w:line="276"/>
        <w:rPr>
          <w:i/>
          <w:iCs/>
          <w:color w:val="6B6763"/>
          <w:sz w:val="20"/>
          <w:szCs w:val="20"/>
        </w:rPr>
      </w:pPr>
      <w:r>
        <w:rPr>
          <w:i/>
          <w:iCs/>
          <w:color w:val="6B6763"/>
          <w:sz w:val="20"/>
          <w:szCs w:val="20"/>
        </w:rPr>
        <w:t xml:space="preserve">A named clinical advisory board is one of the highest-trust signals in this category — recruiting even one respected surgeon as an advisor materially strengthens both the raise and the product.</w:t>
      </w:r>
    </w:p>
    <w:p>
      <w:r>
        <w:br w:type="page"/>
      </w:r>
    </w:p>
    <w:p>
      <w:pPr>
        <w:pStyle w:val="Heading1"/>
      </w:pPr>
      <w:r>
        <w:t xml:space="preserve">9. The ask &amp; use of funds</w:t>
      </w:r>
    </w:p>
    <w:p>
      <w:pPr>
        <w:spacing w:after="160" w:line="276"/>
      </w:pPr>
      <w:r>
        <w:rPr>
          <w:b/>
          <w:bCs/>
          <w:color w:val="C86446"/>
          <w:sz w:val="26"/>
          <w:szCs w:val="26"/>
        </w:rPr>
        <w:t xml:space="preserve">Raising £500,000</w:t>
      </w:r>
      <w:r>
        <w:rPr>
          <w:sz w:val="22"/>
          <w:szCs w:val="22"/>
        </w:rPr>
        <w:t xml:space="preserve">  on SEIS/EIS-eligible terms (SAFE or priced round), to reach the milestones above within two quarters and set up a seed round in ~9-12 months.</w:t>
      </w:r>
    </w:p>
    <w:p>
      <w:pPr>
        <w:spacing w:after="60"/>
      </w:pPr>
      <w:r>
        <w:t xml:space="preserve"/>
      </w:r>
    </w:p>
    <w:p>
      <w:pPr>
        <w:spacing w:after="160" w:line="276"/>
      </w:pPr>
      <w:r>
        <w:t xml:space="preserve">Indicative use of funds (illustrative — adjust to final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60"/>
        <w:gridCol w:w="4400"/>
      </w:tblGrid>
      <w:tr>
        <w:trPr>
          <w:tblHeader/>
        </w:trPr>
        <w:tc>
          <w:tcPr>
            <w:tcW w:type="dxa" w:w="340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Area</w:t>
            </w:r>
          </w:p>
        </w:tc>
        <w:tc>
          <w:tcPr>
            <w:tcW w:type="dxa" w:w="156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Share</w:t>
            </w:r>
          </w:p>
        </w:tc>
        <w:tc>
          <w:tcPr>
            <w:tcW w:type="dxa" w:w="4400"/>
            <w:tcBorders>
              <w:top w:val="single" w:color="D9D2C9" w:sz="1"/>
              <w:left w:val="single" w:color="D9D2C9" w:sz="1"/>
              <w:bottom w:val="single" w:color="D9D2C9" w:sz="1"/>
              <w:right w:val="single" w:color="D9D2C9" w:sz="1"/>
            </w:tcBorders>
            <w:shd w:fill="C86446" w:val="clear"/>
            <w:tcMar>
              <w:top w:type="dxa" w:w="80"/>
              <w:left w:type="dxa" w:w="120"/>
              <w:bottom w:type="dxa" w:w="80"/>
              <w:right w:type="dxa" w:w="120"/>
            </w:tcMar>
          </w:tcPr>
          <w:p>
            <w:r>
              <w:rPr>
                <w:b/>
                <w:bCs/>
                <w:color w:val="FFFFFF"/>
                <w:sz w:val="20"/>
                <w:szCs w:val="20"/>
              </w:rPr>
              <w:t xml:space="preserve">What it buys</w:t>
            </w:r>
          </w:p>
        </w:tc>
      </w:tr>
      <w:tr>
        <w:trPr>
          <w:tblHeader w:val="false"/>
        </w:trPr>
        <w:tc>
          <w:tcPr>
            <w:tcW w:type="dxa" w:w="340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Paid acquisition &amp; growth</w:t>
            </w:r>
          </w:p>
        </w:tc>
        <w:tc>
          <w:tcPr>
            <w:tcW w:type="dxa" w:w="156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~35%</w:t>
            </w:r>
          </w:p>
        </w:tc>
        <w:tc>
          <w:tcPr>
            <w:tcW w:type="dxa" w:w="440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Instagram/paid-social budget + a growth lead to find a repeatable CAC.</w:t>
            </w:r>
          </w:p>
        </w:tc>
      </w:tr>
      <w:tr>
        <w:trPr>
          <w:tblHeader w:val="false"/>
        </w:trPr>
        <w:tc>
          <w:tcPr>
            <w:tcW w:type="dxa" w:w="340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Product last mile</w:t>
            </w:r>
          </w:p>
        </w:tc>
        <w:tc>
          <w:tcPr>
            <w:tcW w:type="dxa" w:w="156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~25%</w:t>
            </w:r>
          </w:p>
        </w:tc>
        <w:tc>
          <w:tcPr>
            <w:tcW w:type="dxa" w:w="440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Escrow, WhatsApp go-live, trust layer, catalogue, financing hook.</w:t>
            </w:r>
          </w:p>
        </w:tc>
      </w:tr>
      <w:tr>
        <w:trPr>
          <w:tblHeader w:val="false"/>
        </w:trPr>
        <w:tc>
          <w:tcPr>
            <w:tcW w:type="dxa" w:w="340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Clinical &amp; partnerships</w:t>
            </w:r>
          </w:p>
        </w:tc>
        <w:tc>
          <w:tcPr>
            <w:tcW w:type="dxa" w:w="156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~20%</w:t>
            </w:r>
          </w:p>
        </w:tc>
        <w:tc>
          <w:tcPr>
            <w:tcW w:type="dxa" w:w="440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Clinic onboarding, vetting, advisory board, corridor expansion.</w:t>
            </w:r>
          </w:p>
        </w:tc>
      </w:tr>
      <w:tr>
        <w:trPr>
          <w:tblHeader w:val="false"/>
        </w:trPr>
        <w:tc>
          <w:tcPr>
            <w:tcW w:type="dxa" w:w="340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Founder &amp; core team</w:t>
            </w:r>
          </w:p>
        </w:tc>
        <w:tc>
          <w:tcPr>
            <w:tcW w:type="dxa" w:w="156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~15%</w:t>
            </w:r>
          </w:p>
        </w:tc>
        <w:tc>
          <w:tcPr>
            <w:tcW w:type="dxa" w:w="4400"/>
            <w:tcBorders>
              <w:top w:val="single" w:color="D9D2C9" w:sz="1"/>
              <w:left w:val="single" w:color="D9D2C9" w:sz="1"/>
              <w:bottom w:val="single" w:color="D9D2C9" w:sz="1"/>
              <w:right w:val="single" w:color="D9D2C9" w:sz="1"/>
            </w:tcBorders>
            <w:shd w:fill="F9F6F0" w:val="clear"/>
            <w:tcMar>
              <w:top w:type="dxa" w:w="80"/>
              <w:left w:type="dxa" w:w="120"/>
              <w:bottom w:type="dxa" w:w="80"/>
              <w:right w:type="dxa" w:w="120"/>
            </w:tcMar>
          </w:tcPr>
          <w:p>
            <w:r>
              <w:rPr>
                <w:b w:val="false"/>
                <w:bCs w:val="false"/>
                <w:color w:val="2C2A29"/>
                <w:sz w:val="20"/>
                <w:szCs w:val="20"/>
              </w:rPr>
              <w:t xml:space="preserve">Focused full-time execution through the raise-to-traction period.</w:t>
            </w:r>
          </w:p>
        </w:tc>
      </w:tr>
      <w:tr>
        <w:trPr>
          <w:tblHeader w:val="false"/>
        </w:trPr>
        <w:tc>
          <w:tcPr>
            <w:tcW w:type="dxa" w:w="340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Legal, compliance, buffer</w:t>
            </w:r>
          </w:p>
        </w:tc>
        <w:tc>
          <w:tcPr>
            <w:tcW w:type="dxa" w:w="156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~5%</w:t>
            </w:r>
          </w:p>
        </w:tc>
        <w:tc>
          <w:tcPr>
            <w:tcW w:type="dxa" w:w="4400"/>
            <w:tcBorders>
              <w:top w:val="single" w:color="D9D2C9" w:sz="1"/>
              <w:left w:val="single" w:color="D9D2C9" w:sz="1"/>
              <w:bottom w:val="single" w:color="D9D2C9" w:sz="1"/>
              <w:right w:val="single" w:color="D9D2C9" w:sz="1"/>
            </w:tcBorders>
            <w:shd w:fill="FFFFFF" w:val="clear"/>
            <w:tcMar>
              <w:top w:type="dxa" w:w="80"/>
              <w:left w:type="dxa" w:w="120"/>
              <w:bottom w:type="dxa" w:w="80"/>
              <w:right w:type="dxa" w:w="120"/>
            </w:tcMar>
          </w:tcPr>
          <w:p>
            <w:r>
              <w:rPr>
                <w:b w:val="false"/>
                <w:bCs w:val="false"/>
                <w:color w:val="2C2A29"/>
                <w:sz w:val="20"/>
                <w:szCs w:val="20"/>
              </w:rPr>
              <w:t xml:space="preserve">SEIS/EIS advance assurance, contracts, data/medical compliance.</w:t>
            </w:r>
          </w:p>
        </w:tc>
      </w:tr>
    </w:tbl>
    <w:p>
      <w:pPr>
        <w:spacing w:after="60"/>
      </w:pPr>
      <w:r>
        <w:t xml:space="preserve"/>
      </w:r>
    </w:p>
    <w:p>
      <w:pPr>
        <w:spacing w:after="160" w:line="276"/>
      </w:pPr>
      <w:r>
        <w:rPr>
          <w:b/>
          <w:bCs/>
        </w:rPr>
        <w:t xml:space="preserve">Why SEIS/EIS. </w:t>
      </w:r>
      <w:r>
        <w:t xml:space="preserve">The first £250k can be raised under SEIS and the balance under EIS, giving UK investors 50%/30% income-tax relief plus loss relief and CGT exemption on gains. This materially de-risks a pre-seed cheque and is the single biggest reason UK angels say yes quickly — so securing </w:t>
      </w:r>
      <w:r>
        <w:rPr>
          <w:b/>
          <w:bCs/>
        </w:rPr>
        <w:t xml:space="preserve">advance assurance from HMRC is the first action item</w:t>
      </w:r>
      <w:r>
        <w:t xml:space="preserve"> in the accompanying plan.</w:t>
      </w:r>
    </w:p>
    <w:p>
      <w:pPr>
        <w:spacing w:after="160" w:line="276"/>
      </w:pPr>
      <w:r>
        <w:rPr>
          <w:b/>
          <w:bCs/>
        </w:rPr>
        <w:t xml:space="preserve">Instrument. </w:t>
      </w:r>
      <w:r>
        <w:t xml:space="preserve">A SEIS/EIS-compatible SAFE or an ASA (advance subscription agreement), or a light priced round — whichever closes fastest with the lead. (Note: standard US-style SAFEs are not automatically SEIS/EIS-qualifying; use an ASA or priced round for the tax-relief-motivated portion.)</w:t>
      </w:r>
    </w:p>
    <w:p>
      <w:pPr>
        <w:spacing w:after="60"/>
      </w:pPr>
      <w:r>
        <w:t xml:space="preserve"/>
      </w:r>
    </w:p>
    <w:p>
      <w:pPr>
        <w:pBdr>
          <w:bottom w:val="single" w:color="C86446" w:sz="6" w:space="1"/>
        </w:pBdr>
        <w:spacing w:after="200"/>
      </w:pPr>
      <w:r>
        <w:t xml:space="preserve"/>
      </w:r>
    </w:p>
    <w:p>
      <w:pPr>
        <w:spacing w:after="160" w:line="276"/>
        <w:rPr>
          <w:i/>
          <w:iCs/>
          <w:color w:val="6B6763"/>
          <w:sz w:val="20"/>
          <w:szCs w:val="20"/>
        </w:rPr>
      </w:pPr>
      <w:r>
        <w:rPr>
          <w:i/>
          <w:iCs/>
          <w:color w:val="6B6763"/>
          <w:sz w:val="20"/>
          <w:szCs w:val="20"/>
        </w:rPr>
        <w:t xml:space="preserve">Accompanying documents: (1) Investor target list — a working outreach tracker of named UK/EU angels, angel networks, and pre-seed funds to contact one by one; (2) Fundraising strategy — an 8-week plan to close the round on your timeline.</w:t>
      </w:r>
    </w:p>
    <w:p>
      <w:pPr>
        <w:spacing w:after="60"/>
      </w:pPr>
      <w:r>
        <w:t xml:space="preserve"/>
      </w:r>
    </w:p>
    <w:p>
      <w:pPr>
        <w:spacing w:after="160" w:line="276"/>
        <w:rPr>
          <w:b/>
          <w:bCs/>
        </w:rPr>
      </w:pPr>
      <w:r>
        <w:rPr>
          <w:b/>
          <w:bCs/>
        </w:rPr>
        <w:t xml:space="preserve">Contact: Maisie — idadilfer@gmail.com</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763"/>
        <w:sz w:val="16"/>
        <w:szCs w:val="16"/>
      </w:rPr>
      <w:t xml:space="preserve">NAIA — Confidential — Investor Materials  |  Page </w:t>
    </w:r>
    <w:r>
      <w:rPr>
        <w:color w:val="6B67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86446"/>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A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4D9CD" w:sz="4" w:space="4"/>
      </w:pBdr>
      <w:spacing w:after="140" w:before="280"/>
      <w:outlineLvl w:val="0"/>
    </w:pPr>
    <w:rPr>
      <w:rFonts w:ascii="Arial" w:cs="Arial" w:eastAsia="Arial" w:hAnsi="Arial"/>
      <w:b/>
      <w:bCs/>
      <w:color w:val="C8644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C2A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NAIA</dc:creator>
  <cp:lastModifiedBy>Un-named</cp:lastModifiedBy>
  <cp:revision>1</cp:revision>
  <dcterms:created xsi:type="dcterms:W3CDTF">2026-07-01T12:27:01.001Z</dcterms:created>
  <dcterms:modified xsi:type="dcterms:W3CDTF">2026-07-01T12:27:01.009Z</dcterms:modified>
</cp:coreProperties>
</file>

<file path=docProps/custom.xml><?xml version="1.0" encoding="utf-8"?>
<Properties xmlns="http://schemas.openxmlformats.org/officeDocument/2006/custom-properties" xmlns:vt="http://schemas.openxmlformats.org/officeDocument/2006/docPropsVTypes"/>
</file>