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5.png" ContentType="image/png"/>
  <Override PartName="/word/media/rId41.png" ContentType="image/png"/>
  <Override PartName="/word/media/rId37.png" ContentType="image/png"/>
  <Override PartName="/word/media/rId43.png" ContentType="image/png"/>
  <Override PartName="/word/media/rId33.png" ContentType="image/png"/>
  <Override PartName="/word/media/rId44.png" ContentType="image/png"/>
  <Override PartName="/word/media/rId34.png" ContentType="image/png"/>
  <Override PartName="/word/media/rId42.png" ContentType="image/png"/>
  <Override PartName="/word/media/rId45.png" ContentType="image/png"/>
  <Override PartName="/word/media/rId36.png" ContentType="image/png"/>
  <Override PartName="/word/media/rId32.png" ContentType="image/png"/>
  <Override PartName="/word/media/rId40.png" ContentType="image/png"/>
  <Override PartName="/word/media/rId39.png" ContentType="image/png"/>
  <Override PartName="/word/media/rId38.png" ContentType="image/png"/>
  <Override PartName="/word/media/rId46.png" ContentType="image/png"/>
  <Override PartName="/word/media/rId47.png" ContentType="image/png"/>
  <Override PartName="/word/media/rId28.png" ContentType="image/png"/>
  <Override PartName="/word/media/rId30.png" ContentType="image/png"/>
  <Override PartName="/word/media/rId50.png" ContentType="image/png"/>
  <Override PartName="/word/media/rId48.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2019-11-07</w:t>
      </w:r>
    </w:p>
    <w:p>
      <w:pPr>
        <w:pStyle w:val="SourceCode"/>
      </w:pPr>
      <w:r>
        <w:rPr>
          <w:rStyle w:val="CommentTok"/>
        </w:rPr>
        <w:t xml:space="preserve">#load clean data</w:t>
      </w:r>
      <w:r>
        <w:br w:type="textWrapping"/>
      </w:r>
      <w:r>
        <w:rPr>
          <w:rStyle w:val="NormalTok"/>
        </w:rPr>
        <w:t xml:space="preserve">clean_water_quality_data &lt;-</w:t>
      </w:r>
      <w:r>
        <w:rPr>
          <w:rStyle w:val="StringTok"/>
        </w:rPr>
        <w:t xml:space="preserve"> </w:t>
      </w:r>
      <w:r>
        <w:rPr>
          <w:rStyle w:val="KeywordTok"/>
        </w:rPr>
        <w:t xml:space="preserve">readRDS</w:t>
      </w:r>
      <w:r>
        <w:rPr>
          <w:rStyle w:val="NormalTok"/>
        </w:rPr>
        <w:t xml:space="preserve">(</w:t>
      </w:r>
      <w:r>
        <w:rPr>
          <w:rStyle w:val="StringTok"/>
        </w:rPr>
        <w:t xml:space="preserve">"../../data/processed_data/clean_water_quality_data.rds"</w:t>
      </w:r>
      <w:r>
        <w:rPr>
          <w:rStyle w:val="NormalTok"/>
        </w:rPr>
        <w:t xml:space="preserve">)</w:t>
      </w:r>
    </w:p>
    <w:p>
      <w:pPr>
        <w:pStyle w:val="Heading1"/>
      </w:pPr>
      <w:bookmarkStart w:id="20" w:name="introduction"/>
      <w:r>
        <w:t xml:space="preserve">Introduction</w:t>
      </w:r>
      <w:bookmarkEnd w:id="20"/>
    </w:p>
    <w:p>
      <w:pPr>
        <w:pStyle w:val="FirstParagraph"/>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 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[Hafliger2000]</w:t>
      </w:r>
      <w:r>
        <w:t xml:space="preserve"> </w:t>
      </w:r>
      <w:r>
        <w:t xml:space="preserve">(Craun, 2005)</w:t>
      </w:r>
      <w:r>
        <w:t xml:space="preserve">, and other enteric bacterial pathogens (e.g., Campylobacter spp., Salmonella spp., Shiga-toxin producing E. coli)</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r>
        <w:t xml:space="preserve"> </w:t>
      </w: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w:t>
      </w:r>
      <w:r>
        <w:t xml:space="preserve"> </w:t>
      </w:r>
      <w:r>
        <w:t xml:space="preserve">(Meng, 2018)</w:t>
      </w:r>
      <w:r>
        <w:t xml:space="preserve"> </w:t>
      </w:r>
      <w:r>
        <w:t xml:space="preserve">identified Campylobacter spp. 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r>
        <w:t xml:space="preserve"> </w:t>
      </w:r>
      <w:r>
        <w:t xml:space="preserve">The Arcobacter genus was created in 1991 in an effort to accommodate aero-tolerant Campylobacter spp.</w:t>
      </w:r>
      <w:r>
        <w:t xml:space="preserve"> </w:t>
      </w:r>
      <w:r>
        <w:t xml:space="preserve">(Vandenberg, 2004)</w:t>
      </w:r>
      <w:r>
        <w:t xml:space="preserve">. Arcobacter 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 Arcobacter spp. include humans, birds, and livestock. This genus has been characterized as a potential food or waterborne pathogen; and has been implicated in causing human disease, with such symptoms as bacteremia, diarrhea, and gastroenteritis from three species: A. butzleri, A. cryaerophilus, and A. skirrowii</w:t>
      </w:r>
      <w:r>
        <w:t xml:space="preserve"> </w:t>
      </w:r>
      <w:r>
        <w:t xml:space="preserve">(Kayman, 2012)</w:t>
      </w:r>
      <w:r>
        <w:t xml:space="preserve">. A. butzleri contains the ability to survive and grow in the environment. Further, it can survive at lower temperatures (15-30˚C) than Campylobacter spp.; and can grow in the presence of oxygen</w:t>
      </w:r>
      <w:r>
        <w:t xml:space="preserve"> </w:t>
      </w:r>
      <w:r>
        <w:t xml:space="preserve">(Van Driessche &amp; Houf, 2005)</w:t>
      </w:r>
      <w:r>
        <w:t xml:space="preserve"> </w:t>
      </w:r>
      <w:r>
        <w:t xml:space="preserve">(Wesley, 2000)</w:t>
      </w:r>
      <w:r>
        <w:t xml:space="preserve">. Arcobacter spp. are considered a zoonotic pathogen, and one study identified it as the fourth most frequent bacteria isolated from humans with acute enteric disease</w:t>
      </w:r>
      <w:r>
        <w:t xml:space="preserve"> </w:t>
      </w:r>
      <w:r>
        <w:t xml:space="preserve">(Levican, 2013)</w:t>
      </w:r>
      <w:r>
        <w:t xml:space="preserve">.</w:t>
      </w:r>
      <w:r>
        <w:t xml:space="preserve"> </w:t>
      </w:r>
      <w:r>
        <w:t xml:space="preserve">The objective this study was to identify and determine the prevalence of the putative enteric bacterial pathogen Arcobacter butzleri in urban stormwater ponds located in western Canada, as there is currently limited information as to the critical role of enteric bacterial pathogens, in particular A. butzleri, in outbreaks associated with stormwater reuse. Furthermore, we sought to resolve the source of the enteric bacterial pathogens by using microbial source tracking techniques and analyzing environmental parameters.</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21">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pPr>
        <w:pStyle w:val="Heading1"/>
      </w:pPr>
      <w:bookmarkStart w:id="22" w:name="introduction-required-for-part-1"/>
      <w:r>
        <w:t xml:space="preserve">Introduction (required for part 1)</w:t>
      </w:r>
      <w:bookmarkEnd w:id="22"/>
    </w:p>
    <w:p>
      <w:pPr>
        <w:pStyle w:val="Heading2"/>
      </w:pPr>
      <w:bookmarkStart w:id="23" w:name="general-background-information"/>
      <w:r>
        <w:t xml:space="preserve">General Background Information</w:t>
      </w:r>
      <w:bookmarkEnd w:id="23"/>
    </w:p>
    <w:p>
      <w:pPr>
        <w:pStyle w:val="FirstParagraph"/>
      </w:pPr>
      <w:r>
        <w:rPr>
          <w:i/>
        </w:rPr>
        <w:t xml:space="preserve">Provide enough background on your topic that others can understand the why and how of your analysis</w:t>
      </w:r>
      <w:r>
        <w:t xml:space="preserve"> </w:t>
      </w:r>
      <w:r>
        <w:t xml:space="preserve">Water reuse provides countries with a strategy to address the growing demands on water resources due to climate change, industrial changes, and projected population growth. However, water reuse poses a variety of challenges. In particular, stormwater has the potential to be of low water quality, to be contaminated with human and animal feces, and thus enteric bacterial pathogens including Campylobacter spp., Salmonella spp., and pathogenic E. coli. In this project we aim to better understand the relationship between the presence of the putative enteric bacterial pathogen Arcobacter butzleri and other water quality indicators and risk factors, as the contamination of water with human waste, and thus microbial pathogens, poses a significant threat to public health. Furthermore, other studies have shown the presence of other enterical bacterial pathogen (i.e., Campylobacter spp, Salmonella spp.) but this study is the first of its kind to indicate the presence of A. butzleri.</w:t>
      </w:r>
    </w:p>
    <w:p>
      <w:pPr>
        <w:pStyle w:val="Heading2"/>
      </w:pPr>
      <w:bookmarkStart w:id="24" w:name="description-of-data-and-data-source"/>
      <w:r>
        <w:t xml:space="preserve">Description of data and data source</w:t>
      </w:r>
      <w:bookmarkEnd w:id="24"/>
    </w:p>
    <w:p>
      <w:pPr>
        <w:pStyle w:val="FirstParagraph"/>
      </w:pPr>
      <w:r>
        <w:rPr>
          <w:i/>
        </w:rPr>
        <w:t xml:space="preserve">Describe what the data is, what it contains, where it is from, etc.</w:t>
      </w:r>
      <w:r>
        <w:t xml:space="preserve"> </w:t>
      </w:r>
      <w:r>
        <w:t xml:space="preserve">This data was collected over the course of one sampling season (May-September 2017, when the water is not frozen) from select stormwater ponds in Alberta, Canada. Samples were taken biweekly over 21 weeks to catch any temporal trends that may occur. The focus of this project will be on one specific pathogen putative enteric bacterial pathogen, Arcobacter butzleri, and its relationship to other water quality indicators (i.e., E. coli and Enterococcus) and microbial sources of pollution tested (i.e., Human, Dog, Muskrat, Ruminant, Birds, and Canadian Goose).</w:t>
      </w:r>
      <w:r>
        <w:t xml:space="preserve"> </w:t>
      </w:r>
      <w:r>
        <w:t xml:space="preserve">Water quality indicator data is from culture based methods.</w:t>
      </w:r>
      <w:r>
        <w:t xml:space="preserve"> </w:t>
      </w:r>
      <w:r>
        <w:t xml:space="preserve">Microbial source tracking and pathogen data is from molecular based methods.</w:t>
      </w:r>
      <w:r>
        <w:t xml:space="preserve"> </w:t>
      </w:r>
      <w:r>
        <w:t xml:space="preserve">We will find this data that many times there is no value, so</w:t>
      </w:r>
      <w:r>
        <w:t xml:space="preserve"> </w:t>
      </w:r>
      <w:r>
        <w:t xml:space="preserve">“</w:t>
      </w:r>
      <w:r>
        <w:t xml:space="preserve">do not detect is assigned.</w:t>
      </w:r>
      <w:r>
        <w:t xml:space="preserve">”</w:t>
      </w:r>
      <w:r>
        <w:t xml:space="preserve"> </w:t>
      </w:r>
      <w:r>
        <w:t xml:space="preserve">These are important to keep as even though nothing is detected we cannot technically assign these as a value of 0, because we cannot definately say that nothing is there.</w:t>
      </w:r>
    </w:p>
    <w:p>
      <w:pPr>
        <w:pStyle w:val="BodyText"/>
      </w:pPr>
      <w:r>
        <w:t xml:space="preserve">I generated this data as part of my master of science degree. None of this data has been published. I am hoping to generate publishable figures in this class for a publication focusing on A. butzleri in urban stormwater ponds.</w:t>
      </w:r>
    </w:p>
    <w:p>
      <w:pPr>
        <w:pStyle w:val="BodyText"/>
      </w:pPr>
      <w:r>
        <w:t xml:space="preserve">There are 5621 observations for 25 variables.</w:t>
      </w:r>
      <w:r>
        <w:t xml:space="preserve"> </w:t>
      </w:r>
      <w:r>
        <w:t xml:space="preserve">## Questions/Hypotheses to be addressed</w:t>
      </w:r>
      <w:r>
        <w:t xml:space="preserve"> </w:t>
      </w:r>
      <w:r>
        <w:rPr>
          <w:i/>
        </w:rPr>
        <w:t xml:space="preserve">State the research questions you plan to answer with this analysis</w:t>
      </w:r>
      <w:r>
        <w:t xml:space="preserve"> </w:t>
      </w:r>
      <w:r>
        <w:t xml:space="preserve">1. Do we see a relationship between human fecal contamination (HF183 and HumM2) and A. butzleri?</w:t>
      </w:r>
      <w:r>
        <w:t xml:space="preserve"> </w:t>
      </w:r>
      <w:r>
        <w:t xml:space="preserve">2. Do we see a realtionship between bird fecal contaminaion (LeeSg and CGO1) and A. butzleri?</w:t>
      </w:r>
      <w:r>
        <w:t xml:space="preserve"> </w:t>
      </w:r>
      <w:r>
        <w:t xml:space="preserve">3. Do we see an increase in the levels of A. butzleri during times of rainfall?</w:t>
      </w:r>
      <w:r>
        <w:t xml:space="preserve"> </w:t>
      </w:r>
      <w:r>
        <w:t xml:space="preserve">4. Do we see a relationship between traditional water quality indicators (E. coli and Enterococcus) and A. butzleri?</w:t>
      </w:r>
      <w:r>
        <w:t xml:space="preserve"> </w:t>
      </w:r>
      <w:r>
        <w:t xml:space="preserve">5. Are certain sampling locations or sites more prone to A. butlzeri contamination?</w:t>
      </w:r>
      <w:r>
        <w:t xml:space="preserve"> </w:t>
      </w:r>
      <w:r>
        <w:t xml:space="preserve">6. Are other enteric pathogens found when A. butzleri is also found?</w:t>
      </w:r>
    </w:p>
    <w:p>
      <w:pPr>
        <w:pStyle w:val="BodyText"/>
      </w:pPr>
      <w:r>
        <w:t xml:space="preserve">#Outcomes of interest</w:t>
      </w:r>
      <w:r>
        <w:t xml:space="preserve"> </w:t>
      </w:r>
      <w:r>
        <w:t xml:space="preserve">There are several outcomes of interest for this project. Foremost, A. butzleri is a putative pathogen. Showing if it has relationship with human fecal material will help to establish its importance, as human fecal material is a risk factor for illness in recreational bodies of water. Further, water quality indicators are supposed to be indicators for pathogens such as A. butzleri. I would like to test how accurate that is.</w:t>
      </w:r>
    </w:p>
    <w:p>
      <w:pPr>
        <w:pStyle w:val="BodyText"/>
      </w:pPr>
      <w:r>
        <w:t xml:space="preserve">#Brief overview of data</w:t>
      </w:r>
    </w:p>
    <w:p>
      <w:pPr>
        <w:pStyle w:val="SourceCode"/>
      </w:pPr>
      <w:r>
        <w:rPr>
          <w:rStyle w:val="KeywordTok"/>
        </w:rPr>
        <w:t xml:space="preserve">library</w:t>
      </w:r>
      <w:r>
        <w:rPr>
          <w:rStyle w:val="NormalTok"/>
        </w:rPr>
        <w:t xml:space="preserve">(RCurl)</w:t>
      </w:r>
    </w:p>
    <w:p>
      <w:pPr>
        <w:pStyle w:val="SourceCode"/>
      </w:pPr>
      <w:r>
        <w:rPr>
          <w:rStyle w:val="VerbatimChar"/>
        </w:rPr>
        <w:t xml:space="preserve">## Loading required package: bitops</w:t>
      </w:r>
    </w:p>
    <w:p>
      <w:pPr>
        <w:pStyle w:val="SourceCode"/>
      </w:pPr>
      <w:r>
        <w:rPr>
          <w:rStyle w:val="NormalTok"/>
        </w:rPr>
        <w:t xml:space="preserve">data &lt;-</w:t>
      </w:r>
      <w:r>
        <w:rPr>
          <w:rStyle w:val="StringTok"/>
        </w:rPr>
        <w:t xml:space="preserve"> </w:t>
      </w:r>
      <w:r>
        <w:rPr>
          <w:rStyle w:val="KeywordTok"/>
        </w:rPr>
        <w:t xml:space="preserve">getURL</w:t>
      </w:r>
      <w:r>
        <w:rPr>
          <w:rStyle w:val="NormalTok"/>
        </w:rPr>
        <w:t xml:space="preserve">(</w:t>
      </w:r>
      <w:r>
        <w:rPr>
          <w:rStyle w:val="StringTok"/>
        </w:rPr>
        <w:t xml:space="preserve">"https://raw.githubusercontent.com/epid8060fall2019/MeganBeaudry-Project_WQ/master/data/raw_data/9-19-19%20raw%20data%20epid%20project.csv"</w:t>
      </w:r>
      <w:r>
        <w:rPr>
          <w:rStyle w:val="NormalTok"/>
        </w:rPr>
        <w:t xml:space="preserve">)</w:t>
      </w:r>
      <w:r>
        <w:br w:type="textWrapping"/>
      </w:r>
      <w:r>
        <w:rPr>
          <w:rStyle w:val="NormalTok"/>
        </w:rPr>
        <w:t xml:space="preserve">dataWQ &lt;-</w:t>
      </w:r>
      <w:r>
        <w:rPr>
          <w:rStyle w:val="StringTok"/>
        </w:rPr>
        <w:t xml:space="preserve"> </w:t>
      </w:r>
      <w:r>
        <w:rPr>
          <w:rStyle w:val="KeywordTok"/>
        </w:rPr>
        <w:t xml:space="preserve">read.csv</w:t>
      </w:r>
      <w:r>
        <w:rPr>
          <w:rStyle w:val="NormalTok"/>
        </w:rPr>
        <w:t xml:space="preserve">(</w:t>
      </w:r>
      <w:r>
        <w:rPr>
          <w:rStyle w:val="DataTypeTok"/>
        </w:rPr>
        <w:t xml:space="preserve">text =</w:t>
      </w:r>
      <w:r>
        <w:rPr>
          <w:rStyle w:val="NormalTok"/>
        </w:rPr>
        <w:t xml:space="preserve"> data)</w:t>
      </w:r>
      <w:r>
        <w:br w:type="textWrapping"/>
      </w:r>
      <w:r>
        <w:rPr>
          <w:rStyle w:val="KeywordTok"/>
        </w:rPr>
        <w:t xml:space="preserve">str</w:t>
      </w:r>
      <w:r>
        <w:rPr>
          <w:rStyle w:val="NormalTok"/>
        </w:rPr>
        <w:t xml:space="preserve">(dataWQ)</w:t>
      </w:r>
    </w:p>
    <w:p>
      <w:pPr>
        <w:pStyle w:val="SourceCode"/>
      </w:pPr>
      <w:r>
        <w:rPr>
          <w:rStyle w:val="VerbatimChar"/>
        </w:rPr>
        <w:t xml:space="preserve">## 'data.frame':    0 obs. of  1 variable:</w:t>
      </w:r>
      <w:r>
        <w:br w:type="textWrapping"/>
      </w:r>
      <w:r>
        <w:rPr>
          <w:rStyle w:val="VerbatimChar"/>
        </w:rPr>
        <w:t xml:space="preserve">##  $ X404..Not.Found: logi</w:t>
      </w:r>
    </w:p>
    <w:p>
      <w:pPr>
        <w:pStyle w:val="Heading1"/>
      </w:pPr>
      <w:bookmarkStart w:id="25" w:name="materials-and-methods"/>
      <w:r>
        <w:t xml:space="preserve">Materials and Methods</w:t>
      </w:r>
      <w:bookmarkEnd w:id="25"/>
    </w:p>
    <w:p>
      <w:pPr>
        <w:pStyle w:val="FirstParagraph"/>
      </w:pPr>
      <w:r>
        <w:t xml:space="preserve">Sampling: 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p>
    <w:p>
      <w:pPr>
        <w:pStyle w:val="BodyText"/>
      </w:pPr>
      <w:r>
        <w:t xml:space="preserve">Culture Methods for Bacterial Water Quality Indicators:</w:t>
      </w:r>
      <w:r>
        <w:t xml:space="preserve"> </w:t>
      </w:r>
      <w:r>
        <w:t xml:space="preserve">Traditional water quality indicators were analyzed using defined substrate culture methods (IDEXX, Westbrook, ME, USA) for E. coli 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 E. coli) and transforming results into quantitative estimates using IDEXX MPN charts. If the Quantitrays® were positive for E. coli, they were set aside for further analysis.</w:t>
      </w:r>
      <w:r>
        <w:t xml:space="preserve"> </w:t>
      </w: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p>
    <w:p>
      <w:pPr>
        <w:pStyle w:val="BodyText"/>
      </w:pPr>
      <w:r>
        <w:t xml:space="preserve">Molecular Methods:</w:t>
      </w:r>
      <w:r>
        <w:t xml:space="preserve"> </w:t>
      </w: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r>
        <w:t xml:space="preserve"> </w:t>
      </w:r>
      <w:r>
        <w:t xml:space="preserve">Controls. In order to ensure amplification, plasmids or positive samples were used as positive controls. IAC was used as a control. DNA free water was used as a negative control, prepared in the same manner as water samples to ensure no carryover.</w:t>
      </w:r>
      <w:r>
        <w:t xml:space="preserve"> </w:t>
      </w:r>
      <w:r>
        <w:t xml:space="preserve">qPCR Assays. qPCR assays included targets for bacterial indicators (i.e., Enterococcus spp.), microbial source tracking markers (i.e., human, cattle, seagull, goose, dog, and muskrat), as well bacterial pathogen-related genes (i.e., Campylobacter spp., Salmonella spp., and A. butzleri).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r>
        <w:t xml:space="preserve"> </w:t>
      </w: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 Enterococcus 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r>
        <w:t xml:space="preserve"> </w:t>
      </w: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 E. coli 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r>
        <w:t xml:space="preserve"> </w:t>
      </w:r>
      <w:r>
        <w:t xml:space="preserve">For further analysis, all CT values were entered into Microsoft Excel and volume corrected pior to data analysis using R statstical software.</w:t>
      </w:r>
    </w:p>
    <w:p>
      <w:pPr>
        <w:pStyle w:val="Heading2"/>
      </w:pPr>
      <w:bookmarkStart w:id="26" w:name="data-import-and-cleaning"/>
      <w:r>
        <w:t xml:space="preserve">Data import and cleaning</w:t>
      </w:r>
      <w:bookmarkEnd w:id="26"/>
    </w:p>
    <w:p>
      <w:pPr>
        <w:pStyle w:val="FirstParagraph"/>
      </w:pPr>
      <w:r>
        <w:t xml:space="preserve">The data was cleaned to format the variables (e.g., DNQ, not detects, &gt;2419.6) in order to deal with limits of detection and detection limits . In the raw data, detectable but not quantifiable (DNQ) had not been assigned a value. See supplementary material - cleaning.</w:t>
      </w:r>
    </w:p>
    <w:p>
      <w:pPr>
        <w:pStyle w:val="BodyText"/>
      </w:pPr>
      <w:r>
        <w:t xml:space="preserve">#Results</w:t>
      </w:r>
      <w:r>
        <w:t xml:space="preserve"> </w:t>
      </w:r>
      <w:r>
        <w:rPr>
          <w:i/>
        </w:rPr>
        <w:t xml:space="preserve">Your report should be more detailed than what would normally go into a peer reviewed paper. Include parts such as results from your exploratory analysis. Those can be part of the main document or if you prefer a separate supplementary document.</w:t>
      </w:r>
      <w:r>
        <w:t xml:space="preserve"> </w:t>
      </w:r>
      <w:r>
        <w:rPr>
          <w:i/>
        </w:rPr>
        <w:t xml:space="preserve">—–</w:t>
      </w:r>
      <w:r>
        <w:t xml:space="preserve"> </w:t>
      </w:r>
      <w:r>
        <w:t xml:space="preserve">= TABLE/FIGURE NUMBER</w:t>
      </w:r>
    </w:p>
    <w:p>
      <w:pPr>
        <w:pStyle w:val="Heading2"/>
      </w:pPr>
      <w:bookmarkStart w:id="27" w:name="water-quality"/>
      <w:r>
        <w:t xml:space="preserve">Water quality</w:t>
      </w:r>
      <w:bookmarkEnd w:id="27"/>
    </w:p>
    <w:p>
      <w:pPr>
        <w:pStyle w:val="FirstParagraph"/>
      </w:pPr>
      <w:r>
        <w:t xml:space="preserve">A high-level descriptive overview of the bacteriological water quality in each of these ponds, and at each of the sites, is provided in</w:t>
      </w:r>
      <w:r>
        <w:t xml:space="preserve"> </w:t>
      </w:r>
      <w:r>
        <w:rPr>
          <w:i/>
        </w:rPr>
        <w:t xml:space="preserve">—–</w:t>
      </w:r>
      <w:r>
        <w:t xml:space="preserve">, and is based on the percentage of samples violating water quality standards/guidelines, as evaluated against: the USEPA’s recreational water quality guideline for Enterococcus by molecular methods (Environmental Protection Agency, 2012); and Alberta’s former recreational water quality standards based on thermotolerant coliform concentrations (</w:t>
      </w:r>
      <w:r>
        <w:rPr>
          <w:i/>
        </w:rPr>
        <w:t xml:space="preserve">—–</w:t>
      </w:r>
      <w:r>
        <w:t xml:space="preserve">). A number of observations are worth noting from this high-level analysis.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"../../results/entero_pond_table.png"</w:t>
      </w:r>
      <w:r>
        <w:rPr>
          <w:rStyle w:val="NormalTok"/>
        </w:rPr>
        <w:t xml:space="preserve">)</w:t>
      </w:r>
    </w:p>
    <w:p>
      <w:pPr>
        <w:pStyle w:val="CaptionedFigure"/>
      </w:pPr>
      <w:r>
        <w:drawing>
          <wp:inline>
            <wp:extent cx="5080000" cy="5080000"/>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ond_table.png" id="0" name="Picture"/>
                    <pic:cNvPicPr>
                      <a:picLocks noChangeArrowheads="1" noChangeAspect="1"/>
                    </pic:cNvPicPr>
                  </pic:nvPicPr>
                  <pic:blipFill>
                    <a:blip r:embed="rId28"/>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 Enterococcus spp. in stormwater ponds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"../../results/thermo_pond_table.png"</w:t>
      </w:r>
      <w:r>
        <w:rPr>
          <w:rStyle w:val="NormalTok"/>
        </w:rPr>
        <w:t xml:space="preserve">)</w:t>
      </w:r>
    </w:p>
    <w:p>
      <w:pPr>
        <w:pStyle w:val="CaptionedFigure"/>
      </w:pPr>
      <w:r>
        <w:drawing>
          <wp:inline>
            <wp:extent cx="5080000" cy="5080000"/>
            <wp:effectExtent b="0" l="0" r="0" t="0"/>
            <wp:docPr descr="Figure 2: Frequency of occurrence of samples positive based on the water quality indicator thermotolerant coliforms of stormwater ponds in Calgary, Alberta." title="" id="1" name="Picture"/>
            <a:graphic>
              <a:graphicData uri="http://schemas.openxmlformats.org/drawingml/2006/picture">
                <pic:pic>
                  <pic:nvPicPr>
                    <pic:cNvPr descr="../../results/thermo_pond_table.png" id="0" name="Picture"/>
                    <pic:cNvPicPr>
                      <a:picLocks noChangeArrowheads="1" noChangeAspect="1"/>
                    </pic:cNvPicPr>
                  </pic:nvPicPr>
                  <pic:blipFill>
                    <a:blip r:embed="rId29"/>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 Frequency of occurrence of samples positive based on the water quality indicator thermotolerant coliforms of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 This result was true regardless of the bacterial water quality indicator chosen for analysis (i.e., Enterococcus or thermotolerant coliforms). Approximately 29% of all water samples taken at McCall Lake failed water quality guidelines for Enterococcus at the recommended STV or geomean values set out in the guidance documents (</w:t>
      </w:r>
      <w:r>
        <w:rPr>
          <w:i/>
        </w:rPr>
        <w:t xml:space="preserve">____</w:t>
      </w:r>
      <w:r>
        <w:t xml:space="preserve">). Inverness Stormpond had the fewest water quality violations among the three ponds, also based on all bacteriological indicators examined, and therefore was considered to have the best water quality overall.</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"../../results/entero_y_n_site_table.png"</w:t>
      </w:r>
      <w:r>
        <w:rPr>
          <w:rStyle w:val="NormalTok"/>
        </w:rPr>
        <w:t xml:space="preserve">)</w:t>
      </w:r>
    </w:p>
    <w:p>
      <w:pPr>
        <w:pStyle w:val="CaptionedFigure"/>
      </w:pPr>
      <w:r>
        <w:drawing>
          <wp:inline>
            <wp:extent cx="5080000" cy="5080000"/>
            <wp:effectExtent b="0" l="0" r="0" t="0"/>
            <wp:docPr descr="Figure 3: Frequency of occurrence of samples positive based on water quality indicator Enterococcus spp. broken down by sampling site in Calgary, Alberta." title="" id="1" name="Picture"/>
            <a:graphic>
              <a:graphicData uri="http://schemas.openxmlformats.org/drawingml/2006/picture">
                <pic:pic>
                  <pic:nvPicPr>
                    <pic:cNvPr descr="../../results/entero_y_n_site_table.png" id="0" name="Picture"/>
                    <pic:cNvPicPr>
                      <a:picLocks noChangeArrowheads="1" noChangeAspect="1"/>
                    </pic:cNvPicPr>
                  </pic:nvPicPr>
                  <pic:blipFill>
                    <a:blip r:embed="rId3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3: Frequency of occurrence of samples positive based on water quality indicator Enterococcus spp.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"../../results/thermo_y_n_site_table.png"</w:t>
      </w:r>
      <w:r>
        <w:rPr>
          <w:rStyle w:val="NormalTok"/>
        </w:rPr>
        <w:t xml:space="preserve">)</w:t>
      </w:r>
    </w:p>
    <w:p>
      <w:pPr>
        <w:pStyle w:val="CaptionedFigure"/>
      </w:pPr>
      <w:r>
        <w:drawing>
          <wp:inline>
            <wp:extent cx="5080000" cy="5080000"/>
            <wp:effectExtent b="0" l="0" r="0" t="0"/>
            <wp:docPr descr="Figure 4: Frequency of occurrence of samples positive based on water quality indicator thermotolerant colifroms broken down by sampling site in Calgary, Alberta." title="" id="1" name="Picture"/>
            <a:graphic>
              <a:graphicData uri="http://schemas.openxmlformats.org/drawingml/2006/picture">
                <pic:pic>
                  <pic:nvPicPr>
                    <pic:cNvPr descr="../../results/thermo_y_n_site_table.png" id="0" name="Picture"/>
                    <pic:cNvPicPr>
                      <a:picLocks noChangeArrowheads="1" noChangeAspect="1"/>
                    </pic:cNvPicPr>
                  </pic:nvPicPr>
                  <pic:blipFill>
                    <a:blip r:embed="rId31"/>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4: Frequency of occurrence of samples positive based on water quality indicator thermotolerant colifroms broken down by sampling site in Calgary, Alberta.</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w:t>
      </w:r>
      <w:r>
        <w:rPr>
          <w:i/>
          <w:i/>
          <w:b/>
        </w:rPr>
        <w:t xml:space="preserve">). This site had the poorest water quality irrespective of the bacterial indicator used in the analysis. It is important to note, however, that ML2 was an above-grade outfall (</w:t>
      </w:r>
      <w:r>
        <w:t xml:space="preserve"> </w:t>
      </w:r>
      <w:r>
        <w:t xml:space="preserve">and ___*),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univariate code), however due to the poor water quality at McCall Lake this assessment is included in the report.</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"../../results/McCall_WQ_plots.png"</w:t>
      </w:r>
      <w:r>
        <w:rPr>
          <w:rStyle w:val="NormalTok"/>
        </w:rPr>
        <w:t xml:space="preserve">)</w:t>
      </w:r>
    </w:p>
    <w:p>
      <w:pPr>
        <w:pStyle w:val="FirstParagraph"/>
      </w:pPr>
      <w:r>
        <w:drawing>
          <wp:inline>
            <wp:extent cx="5334000" cy="3295031"/>
            <wp:effectExtent b="0" l="0" r="0" t="0"/>
            <wp:docPr descr="Figure 5: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Median levels of Enterococcus at the ML2 site approximated 3.1 log10 CCE/100 mL, whereas at all other sampling sites in McCall Lake (i.e., ML1, Inlet 3/4, and PR60), the median occurrence was almost an order of magnitude lower (~ 2.3 log10 CCE/100 mL) (</w:t>
      </w:r>
      <w:r>
        <w:rPr>
          <w:i/>
        </w:rPr>
        <w:t xml:space="preserve">____</w:t>
      </w:r>
      <w:r>
        <w:t xml:space="preserve">). Incidentally, ML2 also had the largest overall interquartile variation in the concentration of Enterococcus during the study season (</w:t>
      </w:r>
      <w:r>
        <w:rPr>
          <w:i/>
        </w:rPr>
        <w:t xml:space="preserve">—</w:t>
      </w:r>
      <w:r>
        <w:t xml:space="preserve">). Concentrations of thermotolerant coliforms were also high at this site and followed a similar trend to that of Enterococcus (</w:t>
      </w:r>
      <w:r>
        <w:rPr>
          <w:i/>
        </w:rPr>
        <w:t xml:space="preserve">—</w:t>
      </w:r>
      <w:r>
        <w:t xml:space="preserve">).</w:t>
      </w:r>
    </w:p>
    <w:p>
      <w:pPr>
        <w:pStyle w:val="BodyText"/>
      </w:pPr>
      <w:r>
        <w:t xml:space="preserve">It is important to note that in most cases for Enterococcus at sites other than ML2, there were several outliers in the data set (</w:t>
      </w:r>
      <w:r>
        <w:rPr>
          <w:i/>
        </w:rPr>
        <w:t xml:space="preserve">____</w:t>
      </w:r>
      <w:r>
        <w:t xml:space="preserve">).Although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 Enterococcus concentrations were represented by values higher than ~3.5 log10 for Inlet 3/4, ~3.75 log10 for ML1, and ~4 log10 for PR60.</w:t>
      </w:r>
    </w:p>
    <w:p>
      <w:pPr>
        <w:pStyle w:val="BodyText"/>
      </w:pPr>
      <w:r>
        <w:t xml:space="preserve">This analysis revealed that stormwater ponds and stormwater-impacted urban rivers in southern Alberta, Canada, do not often meet existing guidelines or standards as laid out by USEPA, Health Canada, and Alberta Environments and Parks in terms of recreational water quality, surface water quality and/or irrigation water quality. For this reason, we sought to determine the potentiasl sources of poor water quality using microbial source tracking assays for humans, ruminants, dogs, gull, geese and muskrat.</w:t>
      </w:r>
    </w:p>
    <w:p>
      <w:pPr>
        <w:pStyle w:val="BodyText"/>
      </w:pPr>
      <w:r>
        <w:t xml:space="preserve">Calgary stormwater ponds were mainly impacted by human and gull feces (</w:t>
      </w:r>
      <w:r>
        <w:rPr>
          <w:i/>
        </w:rPr>
        <w:t xml:space="preserve">below</w:t>
      </w:r>
      <w:r>
        <w:t xml:space="preserve">). The human specific markers, HF183 and HumM2, were detected at 42% and 16%, of samples, respectively in McCall Lake (</w:t>
      </w:r>
      <w:r>
        <w:rPr>
          <w:i/>
        </w:rPr>
        <w:t xml:space="preserve">below</w:t>
      </w:r>
      <w:r>
        <w:t xml:space="preserve">). On the lower end, they were dtected in 14% and 3% of samples at Inverness. The gull specific marker (i.e., LeeSg) was found in 15% of samples at McCall Lake (</w:t>
      </w:r>
      <w:r>
        <w:rPr>
          <w:i/>
        </w:rPr>
        <w:t xml:space="preserve">below</w:t>
      </w:r>
      <w:r>
        <w:t xml:space="preserve">). Of these, the more dominant source of fecal pollution was from humans (</w:t>
      </w:r>
      <w:r>
        <w:rPr>
          <w:i/>
        </w:rPr>
        <w:t xml:space="preserve">below</w:t>
      </w:r>
      <w:r>
        <w:t xml:space="preserve">). All other host-specific markers (i.e., dog, Canada geese, muskrat, and ruminants) were detected in &lt;5% of pond samples (</w:t>
      </w:r>
      <w:r>
        <w:rPr>
          <w:i/>
        </w:rPr>
        <w:t xml:space="preserve">below</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"../../results/HF183_y_n_pond_table.png"</w:t>
      </w:r>
      <w:r>
        <w:rPr>
          <w:rStyle w:val="NormalTok"/>
        </w:rPr>
        <w:t xml:space="preserve">)</w:t>
      </w:r>
    </w:p>
    <w:p>
      <w:pPr>
        <w:pStyle w:val="CaptionedFigure"/>
      </w:pPr>
      <w:r>
        <w:drawing>
          <wp:inline>
            <wp:extent cx="5080000" cy="5080000"/>
            <wp:effectExtent b="0" l="0" r="0" t="0"/>
            <wp:docPr descr="Figure 6: Frequency of occurrence of samples positive based on MST marker HF183 for human fecal contamination broken down by sampling site in Calgary, Alberta." title="" id="1" name="Picture"/>
            <a:graphic>
              <a:graphicData uri="http://schemas.openxmlformats.org/drawingml/2006/picture">
                <pic:pic>
                  <pic:nvPicPr>
                    <pic:cNvPr descr="../../results/HF183_y_n_pond_table.png" id="0" name="Picture"/>
                    <pic:cNvPicPr>
                      <a:picLocks noChangeArrowheads="1" noChangeAspect="1"/>
                    </pic:cNvPicPr>
                  </pic:nvPicPr>
                  <pic:blipFill>
                    <a:blip r:embed="rId33"/>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HF183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"../../results/HumM2_y_n_pond_table.png"</w:t>
      </w:r>
      <w:r>
        <w:rPr>
          <w:rStyle w:val="NormalTok"/>
        </w:rPr>
        <w:t xml:space="preserve">)</w:t>
      </w:r>
    </w:p>
    <w:p>
      <w:pPr>
        <w:pStyle w:val="CaptionedFigure"/>
      </w:pPr>
      <w:r>
        <w:drawing>
          <wp:inline>
            <wp:extent cx="5080000" cy="5080000"/>
            <wp:effectExtent b="0" l="0" r="0" t="0"/>
            <wp:docPr descr="Figure 7: Frequency of occurrence of samples positive based on MST marker HuMm2 for human fecal contamination broken down by sampling site in Calgary, Alberta." title="" id="1" name="Picture"/>
            <a:graphic>
              <a:graphicData uri="http://schemas.openxmlformats.org/drawingml/2006/picture">
                <pic:pic>
                  <pic:nvPicPr>
                    <pic:cNvPr descr="../../results/HumM2_y_n_pond_table.png" id="0" name="Picture"/>
                    <pic:cNvPicPr>
                      <a:picLocks noChangeArrowheads="1" noChangeAspect="1"/>
                    </pic:cNvPicPr>
                  </pic:nvPicPr>
                  <pic:blipFill>
                    <a:blip r:embed="rId3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HuMm2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"../../results/CG01_y_n_pond_table.png"</w:t>
      </w:r>
      <w:r>
        <w:rPr>
          <w:rStyle w:val="NormalTok"/>
        </w:rPr>
        <w:t xml:space="preserve">)</w:t>
      </w:r>
    </w:p>
    <w:p>
      <w:pPr>
        <w:pStyle w:val="CaptionedFigure"/>
      </w:pPr>
      <w:r>
        <w:drawing>
          <wp:inline>
            <wp:extent cx="5080000" cy="5080000"/>
            <wp:effectExtent b="0" l="0" r="0" t="0"/>
            <wp:docPr descr="Figure 8: Frequency of occurrence of samples positive based on MST marker CG01 for human fecal contamination broken down by sampling site in Calgary, Alberta." title="" id="1" name="Picture"/>
            <a:graphic>
              <a:graphicData uri="http://schemas.openxmlformats.org/drawingml/2006/picture">
                <pic:pic>
                  <pic:nvPicPr>
                    <pic:cNvPr descr="../../results/CG01_y_n_pond_table.png" id="0" name="Picture"/>
                    <pic:cNvPicPr>
                      <a:picLocks noChangeArrowheads="1" noChangeAspect="1"/>
                    </pic:cNvPicPr>
                  </pic:nvPicPr>
                  <pic:blipFill>
                    <a:blip r:embed="rId35"/>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8: Frequency of occurrence of samples positive based on MST marker CG01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"../../results/LeeSg_y_n_pond_table.png"</w:t>
      </w:r>
      <w:r>
        <w:rPr>
          <w:rStyle w:val="NormalTok"/>
        </w:rPr>
        <w:t xml:space="preserve">)</w:t>
      </w:r>
    </w:p>
    <w:p>
      <w:pPr>
        <w:pStyle w:val="CaptionedFigure"/>
      </w:pPr>
      <w:r>
        <w:drawing>
          <wp:inline>
            <wp:extent cx="5080000" cy="5080000"/>
            <wp:effectExtent b="0" l="0" r="0" t="0"/>
            <wp:docPr descr="Figure 9: Frequency of occurrence of samples positive based on MST marker LeeSg for human fecal contamination broken down by sampling site in Calgary, Alberta." title="" id="1" name="Picture"/>
            <a:graphic>
              <a:graphicData uri="http://schemas.openxmlformats.org/drawingml/2006/picture">
                <pic:pic>
                  <pic:nvPicPr>
                    <pic:cNvPr descr="../../results/LeeSg_y_n_pond_table.png" id="0" name="Picture"/>
                    <pic:cNvPicPr>
                      <a:picLocks noChangeArrowheads="1" noChangeAspect="1"/>
                    </pic:cNvPicPr>
                  </pic:nvPicPr>
                  <pic:blipFill>
                    <a:blip r:embed="rId36"/>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9: Frequency of occurrence of samples positive based on MST marker LeeSg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"../../results/Dog3_y_n_pond_table.png"</w:t>
      </w:r>
      <w:r>
        <w:rPr>
          <w:rStyle w:val="NormalTok"/>
        </w:rPr>
        <w:t xml:space="preserve">)</w:t>
      </w:r>
    </w:p>
    <w:p>
      <w:pPr>
        <w:pStyle w:val="CaptionedFigure"/>
      </w:pPr>
      <w:r>
        <w:drawing>
          <wp:inline>
            <wp:extent cx="5080000" cy="5080000"/>
            <wp:effectExtent b="0" l="0" r="0" t="0"/>
            <wp:docPr descr="Figure 10: Frequency of occurrence of samples positive based on MST marker Dog3 for human fecal contamination broken down by sampling site in Calgary, Alberta." title="" id="1" name="Picture"/>
            <a:graphic>
              <a:graphicData uri="http://schemas.openxmlformats.org/drawingml/2006/picture">
                <pic:pic>
                  <pic:nvPicPr>
                    <pic:cNvPr descr="../../results/Dog3_y_n_pond_table.png" id="0" name="Picture"/>
                    <pic:cNvPicPr>
                      <a:picLocks noChangeArrowheads="1" noChangeAspect="1"/>
                    </pic:cNvPicPr>
                  </pic:nvPicPr>
                  <pic:blipFill>
                    <a:blip r:embed="rId3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10: Frequency of occurrence of samples positive based on MST marker Dog3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"../../results/Rum2Bac_y_n_pond_table.png"</w:t>
      </w:r>
      <w:r>
        <w:rPr>
          <w:rStyle w:val="NormalTok"/>
        </w:rPr>
        <w:t xml:space="preserve">)</w:t>
      </w:r>
    </w:p>
    <w:p>
      <w:pPr>
        <w:pStyle w:val="CaptionedFigure"/>
      </w:pPr>
      <w:r>
        <w:drawing>
          <wp:inline>
            <wp:extent cx="5080000" cy="5080000"/>
            <wp:effectExtent b="0" l="0" r="0" t="0"/>
            <wp:docPr descr="Figure 11: Frequency of occurrence of samples positive based on MST marker Rum2Bac for human fecal contamination broken down by sampling site in Calgary, Alberta." title="" id="1" name="Picture"/>
            <a:graphic>
              <a:graphicData uri="http://schemas.openxmlformats.org/drawingml/2006/picture">
                <pic:pic>
                  <pic:nvPicPr>
                    <pic:cNvPr descr="../../results/Rum2Bac_y_n_pond_table.png" id="0" name="Picture"/>
                    <pic:cNvPicPr>
                      <a:picLocks noChangeArrowheads="1" noChangeAspect="1"/>
                    </pic:cNvPicPr>
                  </pic:nvPicPr>
                  <pic:blipFill>
                    <a:blip r:embed="rId38"/>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11: Frequency of occurrence of samples positive based on MST marker Rum2Bac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"../../results/MuBac_y_n_pond_table.png"</w:t>
      </w:r>
      <w:r>
        <w:rPr>
          <w:rStyle w:val="NormalTok"/>
        </w:rPr>
        <w:t xml:space="preserve">)</w:t>
      </w:r>
    </w:p>
    <w:p>
      <w:pPr>
        <w:pStyle w:val="CaptionedFigure"/>
      </w:pPr>
      <w:r>
        <w:drawing>
          <wp:inline>
            <wp:extent cx="5080000" cy="5080000"/>
            <wp:effectExtent b="0" l="0" r="0" t="0"/>
            <wp:docPr descr="Figure 12: Frequency of occurrence of samples positive based on MST marker MuBac for human fecal contamination broken down by sampling site in Calgary, Alberta." title="" id="1" name="Picture"/>
            <a:graphic>
              <a:graphicData uri="http://schemas.openxmlformats.org/drawingml/2006/picture">
                <pic:pic>
                  <pic:nvPicPr>
                    <pic:cNvPr descr="../../results/MuBac_y_n_pond_table.png" id="0" name="Picture"/>
                    <pic:cNvPicPr>
                      <a:picLocks noChangeArrowheads="1" noChangeAspect="1"/>
                    </pic:cNvPicPr>
                  </pic:nvPicPr>
                  <pic:blipFill>
                    <a:blip r:embed="rId39"/>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12: Frequency of occurrence of samples positive based on MST marker MuBac for human fecal contamination broken down by sampling site in Calgary, Alberta.</w:t>
      </w:r>
    </w:p>
    <w:p>
      <w:pPr>
        <w:pStyle w:val="BodyText"/>
      </w:pPr>
      <w:r>
        <w:t xml:space="preserve">In congruence with finding that ML2 at McCall Lake was the most frequently contaminated site with human feces (</w:t>
      </w:r>
      <w:r>
        <w:rPr>
          <w:i/>
        </w:rPr>
        <w:t xml:space="preserve">ABOVE TABLE</w:t>
      </w:r>
      <w:r>
        <w:t xml:space="preserve">), this site also had the greatest median concentration of the human fecal marker HF183 (i.e., 4.2 log10 copies/100 mL) observed across all three stormwater ponds and sampling sites in these ponds (</w:t>
      </w:r>
      <w:r>
        <w:rPr>
          <w:i/>
        </w:rPr>
        <w:t xml:space="preserve">BELOW FIGURE</w:t>
      </w:r>
      <w:r>
        <w:t xml:space="preserve">). In comparison, all other McCall Lake sampling sites had a median concentration of HF183 at ~3.4 log10 copies/100 mL (i.e., close to the quantification limit of the assay (red dotted line)) (</w:t>
      </w:r>
      <w:r>
        <w:rPr>
          <w:i/>
        </w:rPr>
        <w:t xml:space="preserve">BELOW FIGURE</w:t>
      </w:r>
      <w:r>
        <w:t xml:space="preserve">). Specifically, at ML2, there was a single outlier in the data set for HF183, represented by a value of 6.0 log10 copies/100 mL (</w:t>
      </w:r>
      <w:r>
        <w:rPr>
          <w:i/>
        </w:rPr>
        <w:t xml:space="preserve">BELOW FIGURE</w:t>
      </w:r>
      <w:r>
        <w:t xml:space="preserve">). However, although ML2 represented the most consistently contaminated sampling site with human fecal contamination at McCall Lake, all other sites in this thesis appeared to be at risk for human fecal contamination (</w:t>
      </w:r>
      <w:r>
        <w:rPr>
          <w:i/>
        </w:rPr>
        <w:t xml:space="preserve">BELOW FIGURE</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"../../results/McCall_bysite_box_HF183.png"</w:t>
      </w:r>
      <w:r>
        <w:rPr>
          <w:rStyle w:val="NormalTok"/>
        </w:rPr>
        <w:t xml:space="preserve">)</w:t>
      </w:r>
    </w:p>
    <w:p>
      <w:pPr>
        <w:pStyle w:val="CaptionedFigure"/>
      </w:pPr>
      <w:r>
        <w:drawing>
          <wp:inline>
            <wp:extent cx="5334000" cy="3295031"/>
            <wp:effectExtent b="0" l="0" r="0" t="0"/>
            <wp:docPr descr="Figure 13: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13: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"../../results/Country_Hills_bysite_box_HF183.png"</w:t>
      </w:r>
      <w:r>
        <w:rPr>
          <w:rStyle w:val="NormalTok"/>
        </w:rPr>
        <w:t xml:space="preserve">)</w:t>
      </w:r>
    </w:p>
    <w:p>
      <w:pPr>
        <w:pStyle w:val="CaptionedFigure"/>
      </w:pPr>
      <w:r>
        <w:drawing>
          <wp:inline>
            <wp:extent cx="5334000" cy="3295031"/>
            <wp:effectExtent b="0" l="0" r="0" t="0"/>
            <wp:docPr descr="Figure 14: Box and Whisker Plot of HF183 levels by sampling site in Country Hill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Country_Hills_bysite_box_HF183.png" id="0"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14: Box and Whisker Plot of HF183 levels by sampling site in Country Hills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"../../results/Inverness_bysite_box_HF183.png"</w:t>
      </w:r>
      <w:r>
        <w:rPr>
          <w:rStyle w:val="NormalTok"/>
        </w:rPr>
        <w:t xml:space="preserve">)</w:t>
      </w:r>
    </w:p>
    <w:p>
      <w:pPr>
        <w:pStyle w:val="CaptionedFigure"/>
      </w:pPr>
      <w:r>
        <w:drawing>
          <wp:inline>
            <wp:extent cx="5334000" cy="3295031"/>
            <wp:effectExtent b="0" l="0" r="0" t="0"/>
            <wp:docPr descr="Figure 15: Box and Whisker Plot of HF183 levels by sampling site in Invernes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Inverness_bysite_box_HF183.png" id="0"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15: Box and Whisker Plot of HF183 levels by sampling site in Inverness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w:t>
      </w:r>
      <w:r>
        <w:rPr>
          <w:i/>
        </w:rPr>
        <w:t xml:space="preserve">Figure below</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"../../results/HF183_all_arranged.png"</w:t>
      </w:r>
      <w:r>
        <w:rPr>
          <w:rStyle w:val="NormalTok"/>
        </w:rPr>
        <w:t xml:space="preserve">)</w:t>
      </w:r>
    </w:p>
    <w:p>
      <w:pPr>
        <w:pStyle w:val="CaptionedFigure"/>
      </w:pPr>
      <w:r>
        <w:drawing>
          <wp:inline>
            <wp:extent cx="5334000" cy="3295031"/>
            <wp:effectExtent b="0" l="0" r="0" t="0"/>
            <wp:docPr descr="Figure 16: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4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16: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w:t>
      </w:r>
      <w:r>
        <w:rPr>
          <w:i/>
        </w:rPr>
        <w:t xml:space="preserve">FIGURE ABOVE</w:t>
      </w:r>
      <w:r>
        <w:t xml:space="preserve">).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"../../results/HumM2_at_McCall.png"</w:t>
      </w:r>
      <w:r>
        <w:rPr>
          <w:rStyle w:val="NormalTok"/>
        </w:rPr>
        <w:t xml:space="preserve">)</w:t>
      </w:r>
    </w:p>
    <w:p>
      <w:pPr>
        <w:pStyle w:val="CaptionedFigure"/>
      </w:pPr>
      <w:r>
        <w:drawing>
          <wp:inline>
            <wp:extent cx="5334000" cy="3295031"/>
            <wp:effectExtent b="0" l="0" r="0" t="0"/>
            <wp:docPr descr="Figure 17: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4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17: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ML2 had the highest occurrence of HumM2 detections of all McCall Lake sampling sites, which corresponded with the findings with the human fecal contamination marker HF183 (</w:t>
      </w:r>
      <w:r>
        <w:rPr>
          <w:i/>
        </w:rPr>
        <w:t xml:space="preserve">FIGURE ABOVE</w:t>
      </w:r>
      <w:r>
        <w:t xml:space="preserve">).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w:t>
      </w:r>
      <w:r>
        <w:rPr>
          <w:i/>
        </w:rPr>
        <w:t xml:space="preserve">FIGURE BELOW</w:t>
      </w:r>
      <w:r>
        <w:t xml:space="preserve">). For example, at ML2, seagull fecal contamination was detected on July 12th and at a level of 4.1 log10 copies/100 mL, and then it was not detected at quantifiable levels again until August 8th (i.e., 3.7 log10 copies/100 mL) (</w:t>
      </w:r>
      <w:r>
        <w:rPr>
          <w:i/>
        </w:rPr>
        <w:t xml:space="preserve">FIGURE BELOW</w:t>
      </w:r>
      <w:r>
        <w:t xml:space="preserve">). Although ML2 was most frequently positive for detection of seagull fecal contamination among all sampling sites, this pattern of sporadic, highly variable findings were also noted at the other McCall Lake sites (i.e., PR60, ML1, and Inlet ¾).</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"../../results/LeeSg_at_McCall.png"</w:t>
      </w:r>
      <w:r>
        <w:rPr>
          <w:rStyle w:val="NormalTok"/>
        </w:rPr>
        <w:t xml:space="preserve">)</w:t>
      </w:r>
    </w:p>
    <w:p>
      <w:pPr>
        <w:pStyle w:val="CaptionedFigure"/>
      </w:pPr>
      <w:r>
        <w:drawing>
          <wp:inline>
            <wp:extent cx="5334000" cy="3295031"/>
            <wp:effectExtent b="0" l="0" r="0" t="0"/>
            <wp:docPr descr="Figure 18: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4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18: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descriptive overview of the frequency of several enteric bacterial pathogens (i.e., A. butzleri, Campylobacter spp., Salmonella spp., and STEC) in each of the Calgary urban stormwater ponds (i.e., McCall Lake, Country Hills Stormwater Facility, and Inverness Stormpond), and at each sampling site within the ponds is provided in</w:t>
      </w:r>
      <w:r>
        <w:t xml:space="preserve"> </w:t>
      </w:r>
      <w:r>
        <w:rPr>
          <w:i/>
        </w:rPr>
        <w:t xml:space="preserve">—–</w:t>
      </w:r>
      <w:r>
        <w:t xml:space="preserve">. The most frequently detected bacterial pathogen found in stormwater ponds was A. butzleri, detected in 36% of samples at McCall Lake, 24% of samples at Inverness and 18% of samples at Country Hills (</w:t>
      </w:r>
      <w:r>
        <w:rPr>
          <w:i/>
        </w:rPr>
        <w:t xml:space="preserve">—–</w:t>
      </w:r>
      <w:r>
        <w:t xml:space="preserve">). The second most common pathogen detected was Campylobacter spp. (4% at Country Hills) and Salmonella spp. (1% at McCall Lake) (</w:t>
      </w:r>
      <w:r>
        <w:rPr>
          <w:i/>
        </w:rPr>
        <w:t xml:space="preserve">—–</w:t>
      </w:r>
      <w:r>
        <w:t xml:space="preserve">).</w:t>
      </w:r>
    </w:p>
    <w:p>
      <w:pPr>
        <w:pStyle w:val="CaptionedFigure"/>
      </w:pPr>
      <w:r>
        <w:drawing>
          <wp:inline>
            <wp:extent cx="5080000" cy="5080000"/>
            <wp:effectExtent b="0" l="0" r="0" t="0"/>
            <wp:docPr descr="Figure 19: The frequency of occurence of the enteric bacterial pathogen A. butzleri in the Calgary, Alberta stormwater ponds." title="" id="1" name="Picture"/>
            <a:graphic>
              <a:graphicData uri="http://schemas.openxmlformats.org/drawingml/2006/picture">
                <pic:pic>
                  <pic:nvPicPr>
                    <pic:cNvPr descr="../../results/arco_pond_table.png" id="0" name="Picture"/>
                    <pic:cNvPicPr>
                      <a:picLocks noChangeArrowheads="1" noChangeAspect="1"/>
                    </pic:cNvPicPr>
                  </pic:nvPicPr>
                  <pic:blipFill>
                    <a:blip r:embed="rId46"/>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19: The frequency of occurence of the enteric bacterial pathogen A. butzleri in the Calgary, Alberta stormwater ponds.</w:t>
      </w:r>
    </w:p>
    <w:p>
      <w:pPr>
        <w:pStyle w:val="CaptionedFigure"/>
      </w:pPr>
      <w:r>
        <w:drawing>
          <wp:inline>
            <wp:extent cx="5080000" cy="5080000"/>
            <wp:effectExtent b="0" l="0" r="0" t="0"/>
            <wp:docPr descr="Figure 20: The frequency of occurence of the enteric bacterial pathogen Campylobacter spp. in the Calgary, Alberta stormwater ponds." title="" id="1" name="Picture"/>
            <a:graphic>
              <a:graphicData uri="http://schemas.openxmlformats.org/drawingml/2006/picture">
                <pic:pic>
                  <pic:nvPicPr>
                    <pic:cNvPr descr="../../results/campy_pond_table.png" id="0" name="Picture"/>
                    <pic:cNvPicPr>
                      <a:picLocks noChangeArrowheads="1" noChangeAspect="1"/>
                    </pic:cNvPicPr>
                  </pic:nvPicPr>
                  <pic:blipFill>
                    <a:blip r:embed="rId4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20: The frequency of occurence of the enteric bacterial pathogen Campylobacter spp. in the Calgary, Alberta stormwater ponds.</w:t>
      </w:r>
    </w:p>
    <w:p>
      <w:pPr>
        <w:pStyle w:val="CaptionedFigure"/>
      </w:pPr>
      <w:r>
        <w:drawing>
          <wp:inline>
            <wp:extent cx="5080000" cy="5080000"/>
            <wp:effectExtent b="0" l="0" r="0" t="0"/>
            <wp:docPr descr="Figure 21: The frequency of occurence of the enteric bacterial pathogen A. butzleri in the Calgary, Alberta stormwater ponds." title="" id="1" name="Picture"/>
            <a:graphic>
              <a:graphicData uri="http://schemas.openxmlformats.org/drawingml/2006/picture">
                <pic:pic>
                  <pic:nvPicPr>
                    <pic:cNvPr descr="../../results/salmonella_pond_table.png" id="0" name="Picture"/>
                    <pic:cNvPicPr>
                      <a:picLocks noChangeArrowheads="1" noChangeAspect="1"/>
                    </pic:cNvPicPr>
                  </pic:nvPicPr>
                  <pic:blipFill>
                    <a:blip r:embed="rId48"/>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21: The frequency of occurence of the enteric bacterial pathogen A. butzleri in the Calgary, Alberta stormwater ponds.</w:t>
      </w:r>
    </w:p>
    <w:p>
      <w:pPr>
        <w:pStyle w:val="BodyText"/>
      </w:pPr>
      <w:r>
        <w:t xml:space="preserve">To better understand temporal variation, we further examined patterns of occurrence based on molecular qPCR results. Notable temporal fluctuations in A. butzleri were observed between the urban stormwater ponds, and among the sampling sites within a pond (</w:t>
      </w:r>
      <w:r>
        <w:rPr>
          <w:i/>
        </w:rPr>
        <w:t xml:space="preserve">BELOW</w:t>
      </w:r>
      <w:r>
        <w:t xml:space="preserve">). We found that at Inlet ¾, in McCall Lake, considerable temporal fluctuations were detected in the levels of A. butzleri between sequential sampling dates. Within a two-week time period (i.e., four sequential sampling dates, June 20th – June 29th), the concentration of A. butzleri varied from being not detected (i.e., below the limit of quantification of 3.5 log10 copies/100 mL) on June 20th, then spiking to 3.9 log10 copies/100 mL on June 22nd, to be not detected on June 27th, and spiking again to 4.3 log10 copies/100 mL on June 29th.</w:t>
      </w:r>
    </w:p>
    <w:p>
      <w:pPr>
        <w:pStyle w:val="BodyText"/>
      </w:pPr>
      <w:r>
        <w:t xml:space="preserve">We tracked environmental variables that could contribute to temporal fluctuations in A. butzleri concentrations (e.g., antecedent rainfall data, temperature, etc.). Of note, we recorded three sampling dates that had rainfall greater than 10 mm (i.e., May 25th, June 8th, and September 13th, Figure 5 1). We noted that A. butzleri was detected at all McCall Lake sampling sites on several sampling dates, July 10th, August 14th, August 16th, September 13th, of which September 13th had significant rainfall (Figure 5 1). However, on another rainfall date (i.e., May 25th) A. butzleri was not observed at any of the sampling sites, and on June 8th, A. butzleri concentrations reached detectable levels only at the outfalls (i.e., ML1 and ML2).</w:t>
      </w:r>
      <w:r>
        <w:t xml:space="preserve"> </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"../../results/Arco_all_arranged.png"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9"/>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Due to the prevalence and abundance of A. butzleri contamination, we sought to determine the potential sources of its contamination. Water samples were analyzed by identifying which microbial source tracking markers occurred most often with A. butzleri detections. We found that the most common source of pollution co-occurring with A. butzleri detection was human fecal pollution. The human marker HF183 was present in 43% of A. butzleri positive samples, while the human marker HumM2 was detected in 10% of A. butzleri positive samples (Table 5 6). The second most dominant source of fecal pollution was seagull (i.e., LeeSg), which corresponded to A. butzleri detection in 10% of A. butzleri stormwater positive samples. The only other markers found in conjunction with A. butzleri were for Canada geese (i.e., CGO1) and ruminants (i.e., Rum2Bac), which were detected in 2% and 1% of positive samples, respectively.</w:t>
      </w:r>
    </w:p>
    <w:p>
      <w:pPr>
        <w:pStyle w:val="SourceCode"/>
      </w:pPr>
      <w:r>
        <w:rPr>
          <w:rStyle w:val="CommentTok"/>
        </w:rPr>
        <w:t xml:space="preserve">#co occurange figure</w:t>
      </w:r>
    </w:p>
    <w:p>
      <w:pPr>
        <w:pStyle w:val="FirstParagraph"/>
      </w:pPr>
      <w:r>
        <w:t xml:space="preserve">To further our understanding of contamination by stormwater pond, a random forest analysis was performed. Our outcome variable was the pond, and our predictors were all other variables excluding sampling site. This tree tells us if HF183 is greater than 3.9 log10 copies/100mL than the pond is McCall Lake. Based on our earlier analysis of how McCall Lake is the most conaminted sampling location by HF183, this is accurate. If HF183 is less than 3.9 log10 copies/100mL and E. coli is greater than or equal 0.87 CFU/100 mls than the pond is also contaminted with A. butzleri, otherwise the next predictor is the sampling date. If the sample has greater than 3.6 log10 copies/100mL of A. butzleri and Enterococcus levels higher than 2.5 log10 CCE/100ml than the sampling location is Country Hills. This is also reflective of the aforementioned data, as Country Hills is more contaminated than Inverness but less contaminated than McCall Lake. In addition, if A. butzleri is less than 3.6 log10 copies/100mL, than it may be contamined with seagull fecal material. This is also reflective of the aforementioned data, as we found A. butzleri to have a higher co-occurance with human fecal markers (i.e., HF183 and HumM2) than bird fecal markers (i.e., LeeSg or CG01). Following this point, our tree is further broken down by all the water quality indicators (i.e., Enterococcus, E. coli,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"../../results/pond_tree.png"</w:t>
      </w:r>
      <w:r>
        <w:rPr>
          <w:rStyle w:val="NormalTok"/>
        </w:rPr>
        <w:t xml:space="preserve">)</w:t>
      </w:r>
    </w:p>
    <w:p>
      <w:pPr>
        <w:pStyle w:val="CaptionedFigure"/>
      </w:pPr>
      <w:r>
        <w:drawing>
          <wp:inline>
            <wp:extent cx="5334000" cy="5334000"/>
            <wp:effectExtent b="0" l="0" r="0" t="0"/>
            <wp:docPr descr="Figure 22: Random forest based on the outcome of pond (i.e., McCall Lake, Inverness, Country Hills.)" title="" id="1" name="Picture"/>
            <a:graphic>
              <a:graphicData uri="http://schemas.openxmlformats.org/drawingml/2006/picture">
                <pic:pic>
                  <pic:nvPicPr>
                    <pic:cNvPr descr="../../results/pond_tree.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22: Random forest based on the outcome of pond (i.e., McCall Lake, Inverness, Country Hills.)</w:t>
      </w:r>
    </w:p>
    <w:p>
      <w:pPr>
        <w:pStyle w:val="BodyText"/>
      </w:pPr>
      <w:r>
        <w:t xml:space="preserve">#Univariate Analysis</w:t>
      </w:r>
      <w:r>
        <w:t xml:space="preserve"> </w:t>
      </w:r>
      <w:r>
        <w:rPr>
          <w:i/>
        </w:rPr>
        <w:t xml:space="preserve">Use a combination of text/tables/figures to explore and describe your data. You should produce plots or tables or other summary quantities for most of your variables. You definitely need to do it for the important variables, i.e. if you have main exposure or outcome variables, those need to be explored. Depending on the total number of variables in your dataset, explore all or some of the others.</w:t>
      </w:r>
    </w:p>
    <w:p>
      <w:pPr>
        <w:pStyle w:val="Heading2"/>
      </w:pPr>
      <w:bookmarkStart w:id="51" w:name="bivariate-analysis"/>
      <w:r>
        <w:t xml:space="preserve">Bivariate analysis</w:t>
      </w:r>
      <w:bookmarkEnd w:id="51"/>
    </w:p>
    <w:p>
      <w:pPr>
        <w:pStyle w:val="FirstParagraph"/>
      </w:pPr>
      <w:r>
        <w:rPr>
          <w:i/>
        </w:rPr>
        <w:t xml:space="preserve">Create plots or tables and compute simple statistics (e.g. t-tests, simple regression model with 1 predictor, etc.) to look for associations between your outcome(s) and each individual predictor variable</w:t>
      </w:r>
    </w:p>
    <w:p>
      <w:pPr>
        <w:pStyle w:val="Heading2"/>
      </w:pPr>
      <w:bookmarkStart w:id="52" w:name="full-analysis"/>
      <w:r>
        <w:t xml:space="preserve">Full analysis</w:t>
      </w:r>
      <w:bookmarkEnd w:id="52"/>
    </w:p>
    <w:p>
      <w:pPr>
        <w:pStyle w:val="FirstParagraph"/>
      </w:pPr>
      <w:r>
        <w:rPr>
          <w:i/>
        </w:rPr>
        <w:t xml:space="preserve">Use one or several suitable statistical/machine learning methods to analyze your data and to produce meaningful figures, tables, etc. This might again be code that is best placed in one or several separate R scripts that need to be well documented. You can then load the results produced by this code</w:t>
      </w:r>
    </w:p>
    <w:p>
      <w:pPr>
        <w:pStyle w:val="Heading1"/>
      </w:pPr>
      <w:bookmarkStart w:id="53" w:name="discussion"/>
      <w:r>
        <w:t xml:space="preserve">Discussion</w:t>
      </w:r>
      <w:bookmarkEnd w:id="53"/>
    </w:p>
    <w:p>
      <w:pPr>
        <w:pStyle w:val="Heading2"/>
      </w:pPr>
      <w:bookmarkStart w:id="54" w:name="summary-and-interpretation"/>
      <w:r>
        <w:t xml:space="preserve">Summary and Interpretation</w:t>
      </w:r>
      <w:bookmarkEnd w:id="54"/>
    </w:p>
    <w:p>
      <w:pPr>
        <w:pStyle w:val="FirstParagraph"/>
      </w:pPr>
      <w:r>
        <w:rPr>
          <w:i/>
        </w:rPr>
        <w:t xml:space="preserve">Summarize what you did, what you found and what it means.</w:t>
      </w:r>
    </w:p>
    <w:p>
      <w:pPr>
        <w:pStyle w:val="Heading2"/>
      </w:pPr>
      <w:bookmarkStart w:id="55" w:name="strengths-and-limitations"/>
      <w:r>
        <w:t xml:space="preserve">Strengths and Limitations</w:t>
      </w:r>
      <w:bookmarkEnd w:id="55"/>
    </w:p>
    <w:p>
      <w:pPr>
        <w:pStyle w:val="FirstParagraph"/>
      </w:pPr>
      <w:r>
        <w:rPr>
          <w:i/>
        </w:rPr>
        <w:t xml:space="preserve">Discuss what you perceive as strengths and limitations of your analysis.</w:t>
      </w:r>
    </w:p>
    <w:p>
      <w:pPr>
        <w:pStyle w:val="Heading2"/>
      </w:pPr>
      <w:bookmarkStart w:id="56" w:name="conclusions"/>
      <w:r>
        <w:t xml:space="preserve">Conclusions</w:t>
      </w:r>
      <w:bookmarkEnd w:id="56"/>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7" w:name="references"/>
      <w:r>
        <w:t xml:space="preserve">References</w:t>
      </w:r>
      <w:bookmarkEnd w:id="57"/>
    </w:p>
    <w:bookmarkStart w:id="74" w:name="refs"/>
    <w:bookmarkStart w:id="58"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58"/>
    <w:bookmarkStart w:id="59"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59"/>
    <w:bookmarkStart w:id="60"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60"/>
    <w:bookmarkStart w:id="61"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61"/>
    <w:bookmarkStart w:id="62"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62"/>
    <w:bookmarkStart w:id="63"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63"/>
    <w:bookmarkStart w:id="64"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64"/>
    <w:bookmarkStart w:id="65"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65"/>
    <w:bookmarkStart w:id="66"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66"/>
    <w:bookmarkStart w:id="67"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67"/>
    <w:bookmarkStart w:id="68"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68"/>
    <w:bookmarkStart w:id="69"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69"/>
    <w:bookmarkStart w:id="70"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70"/>
    <w:bookmarkStart w:id="71"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71"/>
    <w:bookmarkStart w:id="72"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72"/>
    <w:bookmarkStart w:id="73"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1"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2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2019-11-07T21:50:23Z</dcterms:created>
  <dcterms:modified xsi:type="dcterms:W3CDTF">2019-11-07T21:50:23Z</dcterms:modified>
</cp:coreProperties>
</file>