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33.png" ContentType="image/png"/>
  <Override PartName="/word/media/rId28.png" ContentType="image/png"/>
  <Override PartName="/word/media/rId34.png" ContentType="image/png"/>
  <Override PartName="/word/media/rId29.png" ContentType="image/png"/>
  <Override PartName="/word/media/rId35.png" ContentType="image/png"/>
  <Override PartName="/word/media/rId31.png" ContentType="image/png"/>
  <Override PartName="/word/media/rId26.png" ContentType="image/png"/>
  <Override PartName="/word/media/rId32.png" ContentType="image/png"/>
  <Override PartName="/word/media/rId37.png" ContentType="image/png"/>
  <Override PartName="/word/media/rId36.png" ContentType="image/png"/>
  <Override PartName="/word/media/rId39.png" ContentType="image/png"/>
  <Override PartName="/word/media/rId24.png" ContentType="image/png"/>
  <Override PartName="/word/media/rId25.png" ContentType="image/png"/>
  <Override PartName="/word/media/rId41.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2019-11-18</w:t>
      </w:r>
    </w:p>
    <w:p>
      <w:pPr>
        <w:pStyle w:val="Heading1"/>
      </w:pPr>
      <w:bookmarkStart w:id="20" w:name="introduction"/>
      <w:r>
        <w:t xml:space="preserve">Introduction</w:t>
      </w:r>
      <w:bookmarkEnd w:id="20"/>
    </w:p>
    <w:p>
      <w:pPr>
        <w:pStyle w:val="FirstParagraph"/>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 A. cryaerophilus, and 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w:t>
      </w:r>
      <w:r>
        <w:t xml:space="preserve"> </w:t>
      </w:r>
      <w:r>
        <w:rPr>
          <w:i/>
        </w:rPr>
        <w:t xml:space="preserve">Arcobacter</w:t>
      </w:r>
      <w:r>
        <w:t xml:space="preserve"> </w:t>
      </w:r>
      <w:r>
        <w:t xml:space="preserve">butzleri 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r>
        <w:t xml:space="preserve"> </w:t>
      </w:r>
      <w:r>
        <w:t xml:space="preserve">## Culture Methods for Bacterial Water Quality Indicators</w:t>
      </w:r>
      <w:r>
        <w:t xml:space="preserve"> </w:t>
      </w: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r>
        <w:t xml:space="preserve"> </w:t>
      </w:r>
      <w:r>
        <w:t xml:space="preserve">## 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w:t>
      </w:r>
      <w:r>
        <w:t xml:space="preserve"> </w:t>
      </w:r>
      <w:r>
        <w:rPr>
          <w:i/>
        </w:rPr>
        <w:t xml:space="preserve">Enterococcus</w:t>
      </w:r>
      <w:r>
        <w:t xml:space="preserve"> </w:t>
      </w:r>
      <w:r>
        <w:t xml:space="preserve">spp.), microbial source tracking markers (i.e., human, cattle, seagull, goose, dog, and muskrat), as well bacterial pathogen-related genes (i.e.,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w:t>
      </w:r>
      <w:r>
        <w:t xml:space="preserve"> </w:t>
      </w:r>
      <w:r>
        <w:rPr>
          <w:i/>
        </w:rPr>
        <w:t xml:space="preserve">A. butzleri</w:t>
      </w:r>
      <w:r>
        <w:t xml:space="preserve">).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 Statistical Methods</w:t>
      </w:r>
      <w:r>
        <w:t xml:space="preserve"> </w:t>
      </w:r>
      <w:r>
        <w:t xml:space="preserve">For further analysis, all CT values were entered into Microsoft Excel and volume corrected pior to data analysis using R statstical software.</w:t>
      </w:r>
      <w:r>
        <w:t xml:space="preserve"> </w:t>
      </w:r>
      <w:r>
        <w:rPr>
          <w:i/>
          <w:b/>
        </w:rPr>
        <w:t xml:space="preserve">ADD IN INFORMATION __ Your methods section should contain information explaining the different statistical/modeling approaches you take (e.g. for your tree, you should explain how it was created somewhere as part of the methods).__</w:t>
      </w:r>
      <w:r>
        <w:rPr>
          <w:i/>
          <w:b/>
        </w:rPr>
        <w:t xml:space="preserve"> </w:t>
      </w:r>
      <w:r>
        <w:t xml:space="preserve"> </w:t>
      </w:r>
      <w:r>
        <w:t xml:space="preserve">## Data import and cleaning</w:t>
      </w:r>
      <w:r>
        <w:t xml:space="preserve"> </w:t>
      </w: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3" w:name="water-quality"/>
      <w:r>
        <w:t xml:space="preserve">Water Quality</w:t>
      </w:r>
      <w:bookmarkEnd w:id="23"/>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by molecular methods (Environmental Protection Agency, 2012). Water quality was also evaluated against Alberta’s former recreational water quality standards based on thermotolerant coliform concentrations was also used to evaluated water quality (Supplemental Material, Figure 1). A number of observations are worth noting from this high-level analysis.</w:t>
      </w:r>
    </w:p>
    <w:p>
      <w:pPr>
        <w:pStyle w:val="CaptionedFigure"/>
      </w:pPr>
      <w:r>
        <w:drawing>
          <wp:inline>
            <wp:extent cx="5080000" cy="5080000"/>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ond_table.png" id="0" name="Picture"/>
                    <pic:cNvPicPr>
                      <a:picLocks noChangeArrowheads="1" noChangeAspect="1"/>
                    </pic:cNvPicPr>
                  </pic:nvPicPr>
                  <pic:blipFill>
                    <a:blip r:embed="rId2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w:t>
      </w:r>
    </w:p>
    <w:p>
      <w:pPr>
        <w:pStyle w:val="BodyText"/>
      </w:pPr>
      <w:r>
        <w:drawing>
          <wp:inline>
            <wp:extent cx="5080000" cy="5080000"/>
            <wp:effectExtent b="0" l="0" r="0" t="0"/>
            <wp:docPr descr="Figure 2: Frequency of occurrence of samples positive based on water quality indicator Enterococcus spp. broken down by sampling site in Calgary, Alberta." title="" id="1" name="Picture"/>
            <a:graphic>
              <a:graphicData uri="http://schemas.openxmlformats.org/drawingml/2006/picture">
                <pic:pic>
                  <pic:nvPicPr>
                    <pic:cNvPr descr="../../results/entero_y_n_site_table.png" id="0" name="Picture"/>
                    <pic:cNvPicPr>
                      <a:picLocks noChangeArrowheads="1" noChangeAspect="1"/>
                    </pic:cNvPicPr>
                  </pic:nvPicPr>
                  <pic:blipFill>
                    <a:blip r:embed="rId25"/>
                    <a:stretch>
                      <a:fillRect/>
                    </a:stretch>
                  </pic:blipFill>
                  <pic:spPr bwMode="auto">
                    <a:xfrm>
                      <a:off x="0" y="0"/>
                      <a:ext cx="5080000" cy="5080000"/>
                    </a:xfrm>
                    <a:prstGeom prst="rect">
                      <a:avLst/>
                    </a:prstGeom>
                    <a:noFill/>
                    <a:ln w="9525">
                      <a:noFill/>
                      <a:headEnd/>
                      <a:tailEnd/>
                    </a:ln>
                  </pic:spPr>
                </pic:pic>
              </a:graphicData>
            </a:graphic>
          </wp:inline>
        </w:drawing>
      </w:r>
      <w:r>
        <w:t xml:space="preserve"> </w:t>
      </w:r>
      <w:r>
        <w:t xml:space="preserve">This result was true regardless of the bacterial water quality indicator chosen for analysis (i.e.,</w:t>
      </w:r>
      <w:r>
        <w:t xml:space="preserve"> </w:t>
      </w:r>
      <w:r>
        <w:rPr>
          <w:i/>
        </w:rPr>
        <w:t xml:space="preserve">Enterococcus</w:t>
      </w:r>
      <w:r>
        <w:t xml:space="preserve"> </w:t>
      </w:r>
      <w:r>
        <w:t xml:space="preserve">or thermotolerant coliforms [see supplemental material, Figure 2]).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supplemental material, *___*), however due to the poor water quality at McCall Lake this assessment is included in the report.</w:t>
      </w:r>
    </w:p>
    <w:p>
      <w:pPr>
        <w:pStyle w:val="BodyText"/>
      </w:pPr>
      <w:r>
        <w:drawing>
          <wp:inline>
            <wp:extent cx="5334000" cy="3295031"/>
            <wp:effectExtent b="0" l="0" r="0" t="0"/>
            <wp:docPr descr="Figure 3: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26"/>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w:t>
      </w:r>
      <w:r>
        <w:t xml:space="preserve"> </w:t>
      </w:r>
      <w:r>
        <w:rPr>
          <w:i/>
        </w:rPr>
        <w:t xml:space="preserve">Enterococcus</w:t>
      </w:r>
      <w:r>
        <w:t xml:space="preserve"> </w:t>
      </w:r>
      <w:r>
        <w:t xml:space="preserve">during the study season (</w:t>
      </w:r>
      <w:r>
        <w:rPr>
          <w:i/>
        </w:rPr>
        <w:t xml:space="preserve">—</w:t>
      </w:r>
      <w:r>
        <w:t xml:space="preserve">). Concentrations of thermotolerant coliforms were also high at this site and followed a similar trend to that of</w:t>
      </w:r>
      <w:r>
        <w:t xml:space="preserve"> </w:t>
      </w:r>
      <w:r>
        <w:rPr>
          <w:i/>
        </w:rPr>
        <w:t xml:space="preserve">Enterococcus</w:t>
      </w:r>
      <w:r>
        <w:t xml:space="preserve"> </w:t>
      </w:r>
      <w:r>
        <w:t xml:space="preserve">(</w:t>
      </w:r>
      <w:r>
        <w:rPr>
          <w:i/>
        </w:rPr>
        <w:t xml:space="preserve">—</w:t>
      </w:r>
      <w:r>
        <w:t xml:space="preserve">).</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in southern Alberta, Canada, do not often meet existing guidelines or standards as laid out by USEPA and Alberta Environments and Parks in terms of recreational water quality, surface water quality and/or irrigation water quality (</w:t>
      </w:r>
      <w:r>
        <w:rPr>
          <w:i/>
        </w:rPr>
        <w:t xml:space="preserve">figure above</w:t>
      </w:r>
      <w:r>
        <w:t xml:space="preserve">, supplemental material). For this reason, we sought to determine the potentiasl sources of poor water quality using microbial source tracking assays for humans, ruminants, dogs, gull, geese and muskrat.</w:t>
      </w:r>
    </w:p>
    <w:p>
      <w:pPr>
        <w:pStyle w:val="Heading1"/>
      </w:pPr>
      <w:bookmarkStart w:id="27" w:name="microbial-source-tracking"/>
      <w:r>
        <w:t xml:space="preserve">Microbial Source Tracking</w:t>
      </w:r>
      <w:bookmarkEnd w:id="27"/>
    </w:p>
    <w:p>
      <w:pPr>
        <w:pStyle w:val="FirstParagraph"/>
      </w:pPr>
      <w:r>
        <w:t xml:space="preserve">Calgary stormwater ponds were mainly impacted by human and gull feces (</w:t>
      </w:r>
      <w:r>
        <w:rPr>
          <w:i/>
        </w:rPr>
        <w:t xml:space="preserve">below</w:t>
      </w:r>
      <w:r>
        <w:t xml:space="preserve">). The human specific markers, HF183 and HumM2, were detected at 42% and 16%, of samples, respectively in McCall Lake (</w:t>
      </w:r>
      <w:r>
        <w:rPr>
          <w:i/>
        </w:rPr>
        <w:t xml:space="preserve">below</w:t>
      </w:r>
      <w:r>
        <w:t xml:space="preserve">). On the lower end, they were dtected in 14% and 3% of samples at Inverness. The gull specific marker (i.e., LeeSg) was found in 15% of samples at McCall Lake (</w:t>
      </w:r>
      <w:r>
        <w:rPr>
          <w:i/>
        </w:rPr>
        <w:t xml:space="preserve">below</w:t>
      </w:r>
      <w:r>
        <w:t xml:space="preserve">). Of these, the more dominant source of fecal pollution was from humans (</w:t>
      </w:r>
      <w:r>
        <w:rPr>
          <w:i/>
        </w:rPr>
        <w:t xml:space="preserve">below</w:t>
      </w:r>
      <w:r>
        <w:t xml:space="preserve">). All other host-specific markers (i.e., dog, Canada geese, muskrat, and ruminants) were detected in &lt;5% of pond samples (supplemental material figures</w:t>
      </w:r>
      <w:r>
        <w:t xml:space="preserve"> </w:t>
      </w:r>
      <w:r>
        <w:rPr>
          <w:i/>
        </w:rPr>
        <w:t xml:space="preserve">—</w:t>
      </w:r>
      <w:r>
        <w:t xml:space="preserve">).</w:t>
      </w:r>
    </w:p>
    <w:p>
      <w:pPr>
        <w:pStyle w:val="CaptionedFigure"/>
      </w:pPr>
      <w:r>
        <w:drawing>
          <wp:inline>
            <wp:extent cx="5080000" cy="5080000"/>
            <wp:effectExtent b="0" l="0" r="0" t="0"/>
            <wp:docPr descr="Figure 4: Frequency of occurrence of samples positive based on MST marker HF183 for human fecal contamination broken down by sampling site in Calgary, Alberta." title="" id="1" name="Picture"/>
            <a:graphic>
              <a:graphicData uri="http://schemas.openxmlformats.org/drawingml/2006/picture">
                <pic:pic>
                  <pic:nvPicPr>
                    <pic:cNvPr descr="../../results/HF183_y_n_pond_table.png" id="0" name="Picture"/>
                    <pic:cNvPicPr>
                      <a:picLocks noChangeArrowheads="1" noChangeAspect="1"/>
                    </pic:cNvPicPr>
                  </pic:nvPicPr>
                  <pic:blipFill>
                    <a:blip r:embed="rId28"/>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4: Frequency of occurrence of samples positive based on MST marker HF183 for human fecal contamination broken down by sampling site in Calgary, Alberta.</w:t>
      </w:r>
    </w:p>
    <w:p>
      <w:pPr>
        <w:pStyle w:val="CaptionedFigure"/>
      </w:pPr>
      <w:r>
        <w:drawing>
          <wp:inline>
            <wp:extent cx="5080000" cy="5080000"/>
            <wp:effectExtent b="0" l="0" r="0" t="0"/>
            <wp:docPr descr="Figure 5: Frequency of occurrence of samples positive based on MST marker HuMm2 for human fecal contamination broken down by sampling site in Calgary, Alberta." title="" id="1" name="Picture"/>
            <a:graphic>
              <a:graphicData uri="http://schemas.openxmlformats.org/drawingml/2006/picture">
                <pic:pic>
                  <pic:nvPicPr>
                    <pic:cNvPr descr="../../results/HumM2_y_n_pond_table.png" id="0" name="Picture"/>
                    <pic:cNvPicPr>
                      <a:picLocks noChangeArrowheads="1" noChangeAspect="1"/>
                    </pic:cNvPicPr>
                  </pic:nvPicPr>
                  <pic:blipFill>
                    <a:blip r:embed="rId2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5: Frequency of occurrence of samples positive based on MST marker HuMm2 for human fecal contamination broken down by sampling site in Calgary, Alberta.</w:t>
      </w:r>
    </w:p>
    <w:p>
      <w:pPr>
        <w:pStyle w:val="CaptionedFigure"/>
      </w:pPr>
      <w:r>
        <w:drawing>
          <wp:inline>
            <wp:extent cx="5080000" cy="5080000"/>
            <wp:effectExtent b="0" l="0" r="0" t="0"/>
            <wp:docPr descr="Figure 6: Frequency of occurrence of samples positive based on MST marker CG01 for human fecal contamination broken down by sampling site in Calgary, Alberta." title="" id="1" name="Picture"/>
            <a:graphic>
              <a:graphicData uri="http://schemas.openxmlformats.org/drawingml/2006/picture">
                <pic:pic>
                  <pic:nvPicPr>
                    <pic:cNvPr descr="../../results/CG01_y_n_pond_table.png" id="0" name="Picture"/>
                    <pic:cNvPicPr>
                      <a:picLocks noChangeArrowheads="1" noChangeAspect="1"/>
                    </pic:cNvPicPr>
                  </pic:nvPicPr>
                  <pic:blipFill>
                    <a:blip r:embed="rId3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CG01 for human fecal contamination broken down by sampling site in Calgary, Alberta.</w:t>
      </w:r>
    </w:p>
    <w:p>
      <w:pPr>
        <w:pStyle w:val="CaptionedFigure"/>
      </w:pPr>
      <w:r>
        <w:drawing>
          <wp:inline>
            <wp:extent cx="5080000" cy="5080000"/>
            <wp:effectExtent b="0" l="0" r="0" t="0"/>
            <wp:docPr descr="Figure 7: Frequency of occurrence of samples positive based on MST marker LeeSg for human fecal contamination broken down by sampling site in Calgary, Alberta." title="" id="1" name="Picture"/>
            <a:graphic>
              <a:graphicData uri="http://schemas.openxmlformats.org/drawingml/2006/picture">
                <pic:pic>
                  <pic:nvPicPr>
                    <pic:cNvPr descr="../../results/LeeSg_y_n_pond_table.png" id="0" name="Picture"/>
                    <pic:cNvPicPr>
                      <a:picLocks noChangeArrowheads="1" noChangeAspect="1"/>
                    </pic:cNvPicPr>
                  </pic:nvPicPr>
                  <pic:blipFill>
                    <a:blip r:embed="rId31"/>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LeeSg for human fecal contamination broken down by sampling site in Calgary, Alberta.</w:t>
      </w:r>
    </w:p>
    <w:p>
      <w:pPr>
        <w:pStyle w:val="BodyText"/>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(supplemental material).</w:t>
      </w:r>
    </w:p>
    <w:p>
      <w:pPr>
        <w:pStyle w:val="CaptionedFigure"/>
      </w:pPr>
      <w:r>
        <w:drawing>
          <wp:inline>
            <wp:extent cx="5334000" cy="3295031"/>
            <wp:effectExtent b="0" l="0" r="0" t="0"/>
            <wp:docPr descr="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8: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CaptionedFigure"/>
      </w:pPr>
      <w:r>
        <w:drawing>
          <wp:inline>
            <wp:extent cx="5334000" cy="3295031"/>
            <wp:effectExtent b="0" l="0" r="0" t="0"/>
            <wp:docPr descr="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9: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031"/>
            <wp:effectExtent b="0" l="0" r="0" t="0"/>
            <wp:docPr descr="Figure 10: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10: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(supplemental material).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031"/>
            <wp:effectExtent b="0" l="0" r="0" t="0"/>
            <wp:docPr descr="Figure 11: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3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11: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descriptive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w:t>
      </w:r>
      <w:r>
        <w:rPr>
          <w:i/>
        </w:rPr>
        <w:t xml:space="preserve">—–</w:t>
      </w:r>
      <w:r>
        <w:t xml:space="preserve">).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w:t>
      </w:r>
      <w:r>
        <w:rPr>
          <w:i/>
        </w:rPr>
        <w:t xml:space="preserve">—–</w:t>
      </w:r>
      <w:r>
        <w:t xml:space="preserve">).</w:t>
      </w:r>
    </w:p>
    <w:p>
      <w:pPr>
        <w:pStyle w:val="CaptionedFigure"/>
      </w:pPr>
      <w:r>
        <w:drawing>
          <wp:inline>
            <wp:extent cx="5080000" cy="5080000"/>
            <wp:effectExtent b="0" l="0" r="0" t="0"/>
            <wp:docPr descr="Figure 12: The frequency of occurence of the enteric bacterial pathogen Campylobacter spp. in the Calgary, Alberta stormwater ponds." title="" id="1" name="Picture"/>
            <a:graphic>
              <a:graphicData uri="http://schemas.openxmlformats.org/drawingml/2006/picture">
                <pic:pic>
                  <pic:nvPicPr>
                    <pic:cNvPr descr="../../results/campy_pond_table.png" id="0" name="Picture"/>
                    <pic:cNvPicPr>
                      <a:picLocks noChangeArrowheads="1" noChangeAspect="1"/>
                    </pic:cNvPicPr>
                  </pic:nvPicPr>
                  <pic:blipFill>
                    <a:blip r:embed="rId36"/>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12: The frequency of occurence of the enteric bacterial pathogen</w:t>
      </w:r>
      <w:r>
        <w:t xml:space="preserve"> </w:t>
      </w:r>
      <w:r>
        <w:rPr>
          <w:i/>
        </w:rPr>
        <w:t xml:space="preserve">Campylobacter</w:t>
      </w:r>
      <w:r>
        <w:t xml:space="preserve"> </w:t>
      </w:r>
      <w:r>
        <w:t xml:space="preserve">spp. in the Calgary, Alberta stormwater ponds.</w:t>
      </w:r>
    </w:p>
    <w:p>
      <w:pPr>
        <w:pStyle w:val="CaptionedFigure"/>
      </w:pPr>
      <w:r>
        <w:drawing>
          <wp:inline>
            <wp:extent cx="5080000" cy="5080000"/>
            <wp:effectExtent b="0" l="0" r="0" t="0"/>
            <wp:docPr descr="Figure 13: The frequency of occurence of the enteric bacterial pathogen A. butzleri in the Calgary, Alberta stormwater ponds." title="" id="1" name="Picture"/>
            <a:graphic>
              <a:graphicData uri="http://schemas.openxmlformats.org/drawingml/2006/picture">
                <pic:pic>
                  <pic:nvPicPr>
                    <pic:cNvPr descr="../../results/Salmonella_pond_table.png" id="0" name="Picture"/>
                    <pic:cNvPicPr>
                      <a:picLocks noChangeArrowheads="1" noChangeAspect="1"/>
                    </pic:cNvPicPr>
                  </pic:nvPicPr>
                  <pic:blipFill>
                    <a:blip r:embed="rId3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13: The frequency of occurence of the enteric bacterial pathogen</w:t>
      </w:r>
      <w:r>
        <w:t xml:space="preserve"> </w:t>
      </w:r>
      <w:r>
        <w:rPr>
          <w:i/>
        </w:rPr>
        <w:t xml:space="preserve">A. butzleri</w:t>
      </w:r>
      <w:r>
        <w:t xml:space="preserve"> </w:t>
      </w:r>
      <w:r>
        <w:t xml:space="preserve">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w:t>
      </w:r>
    </w:p>
    <w:p>
      <w:pPr>
        <w:pStyle w:val="CaptionedFigure"/>
      </w:pPr>
      <w:r>
        <w:drawing>
          <wp:inline>
            <wp:extent cx="5334000" cy="3295031"/>
            <wp:effectExtent b="0" l="0" r="0" t="0"/>
            <wp:docPr descr="Figure 14: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14: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w:t>
      </w:r>
      <w:r>
        <w:rPr>
          <w:i/>
        </w:rPr>
        <w:t xml:space="preserve">figure</w:t>
      </w:r>
      <w:r>
        <w:t xml:space="preserve">). The second most dominant source of fecal pollution was seagull (i.e., LeeSg) (</w:t>
      </w:r>
      <w:r>
        <w:rPr>
          <w:i/>
        </w:rPr>
        <w:t xml:space="preserve">figure</w:t>
      </w:r>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_2.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The linear model for human fecal contamination (i.e., HF183 and HumM2), reflecte that based on the p-values rejecting the null hypothesis.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15: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15: Linear model for predicting A. butzleri, based on HF183 or HumM2 (i.e., humfan fecal contamination), LeeSg (i.e., seagull fecal contamination) and CG01 (i.e.,Canada Goose fecal contamination</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16: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Random forest based on the outcome of pond (i.e., McCall Lake, Inverness, Country Hills.)</w:t>
      </w:r>
    </w:p>
    <w:p>
      <w:pPr>
        <w:pStyle w:val="Heading1"/>
      </w:pPr>
      <w:bookmarkStart w:id="42" w:name="discussion"/>
      <w:r>
        <w:t xml:space="preserve">Discussion</w:t>
      </w:r>
      <w:bookmarkEnd w:id="42"/>
    </w:p>
    <w:p>
      <w:pPr>
        <w:pStyle w:val="Heading2"/>
      </w:pPr>
      <w:bookmarkStart w:id="43" w:name="summary-and-interpretation"/>
      <w:r>
        <w:t xml:space="preserve">Summary and Interpretation</w:t>
      </w:r>
      <w:bookmarkEnd w:id="43"/>
    </w:p>
    <w:p>
      <w:pPr>
        <w:pStyle w:val="FirstParagraph"/>
      </w:pPr>
      <w:r>
        <w:rPr>
          <w:i/>
        </w:rPr>
        <w:t xml:space="preserve">Summarize what you did, what you found and what it means.</w:t>
      </w:r>
      <w:r>
        <w:t xml:space="preserve"> </w:t>
      </w:r>
      <w:r>
        <w:t xml:space="preserve">To the best of our knowledge, this is the first report on the occurrence of</w:t>
      </w:r>
      <w:r>
        <w:t xml:space="preserve"> </w:t>
      </w:r>
      <w:r>
        <w:rPr>
          <w:i/>
        </w:rPr>
        <w:t xml:space="preserve">A. butzleri</w:t>
      </w:r>
      <w:r>
        <w:t xml:space="preserve"> </w:t>
      </w:r>
      <w:r>
        <w:t xml:space="preserve">in stormwater ponds. Based on direct molecular testing,</w:t>
      </w:r>
      <w:r>
        <w:t xml:space="preserve"> </w:t>
      </w:r>
      <w:r>
        <w:rPr>
          <w:i/>
        </w:rPr>
        <w:t xml:space="preserve">A. butzleri</w:t>
      </w:r>
      <w:r>
        <w:t xml:space="preserve"> </w:t>
      </w:r>
      <w:r>
        <w:t xml:space="preserve">was detected in 25% of all water samples. In addition,utilizing an integrated cell culture molecular method (i.e., MPN-qPCR assay utilizing hsp60 as our assay target) further validated our finding of</w:t>
      </w:r>
      <w:r>
        <w:t xml:space="preserve"> </w:t>
      </w:r>
      <w:r>
        <w:rPr>
          <w:i/>
        </w:rPr>
        <w:t xml:space="preserve">A. butzleri</w:t>
      </w:r>
      <w:r>
        <w:t xml:space="preserve"> </w:t>
      </w:r>
      <w:r>
        <w:t xml:space="preserve">in stormwater ponds.</w:t>
      </w:r>
      <w:r>
        <w:t xml:space="preserve"> </w:t>
      </w: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r>
        <w:t xml:space="preserve"> </w:t>
      </w: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r>
        <w:t xml:space="preserve"> </w:t>
      </w: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r>
        <w:t xml:space="preserve"> </w:t>
      </w: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r>
        <w:t xml:space="preserve"> </w:t>
      </w: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r>
        <w:t xml:space="preserve"> </w:t>
      </w:r>
      <w:r>
        <w:t xml:space="preserve">## Strengths and Limitations</w:t>
      </w:r>
      <w:r>
        <w:t xml:space="preserve"> </w:t>
      </w:r>
      <w:r>
        <w:rPr>
          <w:i/>
        </w:rPr>
        <w:t xml:space="preserve">Discuss what you perceive as strengths and limitations of your analysis.</w:t>
      </w:r>
      <w:r>
        <w:t xml:space="preserve"> </w:t>
      </w: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r>
        <w:t xml:space="preserve"> </w:t>
      </w: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44" w:name="conclusions"/>
      <w:r>
        <w:t xml:space="preserve">Conclusions</w:t>
      </w:r>
      <w:bookmarkEnd w:id="44"/>
    </w:p>
    <w:p>
      <w:pPr>
        <w:pStyle w:val="FirstParagraph"/>
      </w:pPr>
      <w:r>
        <w:rPr>
          <w:i/>
        </w:rPr>
        <w:t xml:space="preserve">What are the main take-home messages?</w:t>
      </w:r>
      <w:r>
        <w:t xml:space="preserve"> </w:t>
      </w: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45" w:name="references"/>
      <w:r>
        <w:t xml:space="preserve">References</w:t>
      </w:r>
      <w:bookmarkEnd w:id="45"/>
    </w:p>
    <w:bookmarkStart w:id="75" w:name="refs"/>
    <w:bookmarkStart w:id="46"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46"/>
    <w:bookmarkStart w:id="47"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47"/>
    <w:bookmarkStart w:id="48"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48"/>
    <w:bookmarkStart w:id="49"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49"/>
    <w:bookmarkStart w:id="50"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50"/>
    <w:bookmarkStart w:id="51"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51"/>
    <w:bookmarkStart w:id="52"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52"/>
    <w:bookmarkStart w:id="53"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53"/>
    <w:bookmarkStart w:id="54"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54"/>
    <w:bookmarkStart w:id="55"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55"/>
    <w:bookmarkStart w:id="56"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56"/>
    <w:bookmarkStart w:id="57"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57"/>
    <w:bookmarkStart w:id="58"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58"/>
    <w:bookmarkStart w:id="59"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59"/>
    <w:bookmarkStart w:id="60"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60"/>
    <w:bookmarkStart w:id="61"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61"/>
    <w:bookmarkStart w:id="62"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62"/>
    <w:bookmarkStart w:id="63"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63"/>
    <w:bookmarkStart w:id="64"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64"/>
    <w:bookmarkStart w:id="65"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65"/>
    <w:bookmarkStart w:id="66"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66"/>
    <w:bookmarkStart w:id="67"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67"/>
    <w:bookmarkStart w:id="68"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68"/>
    <w:bookmarkStart w:id="69"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69"/>
    <w:bookmarkStart w:id="70"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70"/>
    <w:bookmarkStart w:id="71"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71"/>
    <w:bookmarkStart w:id="72"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72"/>
    <w:bookmarkStart w:id="73"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73"/>
    <w:bookmarkStart w:id="74"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2019-11-18T21:59:56Z</dcterms:created>
  <dcterms:modified xsi:type="dcterms:W3CDTF">2019-11-18T21:59:56Z</dcterms:modified>
</cp:coreProperties>
</file>