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8.png" ContentType="image/png"/>
  <Override PartName="/word/media/rId39.png" ContentType="image/png"/>
  <Override PartName="/word/media/rId32.png" ContentType="image/png"/>
  <Override PartName="/word/media/rId40.png" ContentType="image/png"/>
  <Override PartName="/word/media/rId33.png" ContentType="image/png"/>
  <Override PartName="/word/media/rId37.png" ContentType="image/png"/>
  <Override PartName="/word/media/rId30.png" ContentType="image/png"/>
  <Override PartName="/word/media/rId41.png" ContentType="image/png"/>
  <Override PartName="/word/media/rId45.png" ContentType="image/png"/>
  <Override PartName="/word/media/rId36.png" ContentType="image/png"/>
  <Override PartName="/word/media/rId43.png" ContentType="image/png"/>
  <Override PartName="/word/media/rId29.png" ContentType="image/png"/>
  <Override PartName="/word/media/rId35.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2019-11-23</w:t>
      </w:r>
    </w:p>
    <w:p>
      <w:pPr>
        <w:pStyle w:val="Heading1"/>
      </w:pPr>
      <w:bookmarkStart w:id="20" w:name="introduction"/>
      <w:r>
        <w:t xml:space="preserve">Introduction</w:t>
      </w:r>
      <w:bookmarkEnd w:id="20"/>
    </w:p>
    <w:p>
      <w:pPr>
        <w:pStyle w:val="FirstParagraph"/>
      </w:pPr>
      <w:r>
        <w:t xml:space="preserve">Freshwater is a finite resource. Countries all over the world are struggling to meet the growing demands on freshwater resources. Several countries, (e.g., Australia, Israel, and the United States) are investigating ways to address freshwater shortages, including the reuse of wastewater and stormwater as alternative water resources. Harvesting stormwater provides cities with a strategy to address the growing demands on water resources due to climate change and projected population growth. However, stormwater reuse poses a variety of challenges due to the potential of this source to be of low water quality, and to be contaminated with human and animal feces, and thus enteric bacterial pathogens including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pathogenic</w:t>
      </w:r>
      <w:r>
        <w:t xml:space="preserve"> </w:t>
      </w:r>
      <w:r>
        <w:rPr>
          <w:i/>
        </w:rPr>
        <w:t xml:space="preserve">E. coli</w:t>
      </w:r>
      <w:r>
        <w:t xml:space="preserve">. In addition, storm events are correlated with an increased prevalence of disease, likely due to the mobilization of pathogens in the environment, leading to increased exposure and transmission risks. The contamination of water with human and/or animal excreta possesses significant risks to human health - albeit the risks associated with pathogens found in sewage are greater than those associated with animal wastes.</w:t>
      </w:r>
      <w:r>
        <w:t xml:space="preserve"> </w:t>
      </w:r>
      <w:r>
        <w:t xml:space="preserve">There are several factors to consider in assessing microbial contamination of stormwater, including the process by which stormwater becomes contaminated, the duration to which stormwater is exposed to contaminants, and the overall levels of contamination</w:t>
      </w:r>
      <w:r>
        <w:t xml:space="preserve"> </w:t>
      </w:r>
      <w:r>
        <w:t xml:space="preserve">(Fong, 2009)</w:t>
      </w:r>
      <w:r>
        <w:t xml:space="preserve">. Therefore, many governmental agencies or departments, as the United States Environmental Protection Agency (USEPA) or Health Canada recommend the use of microbial fecal indicator bacteria (FIB) (e.g.,</w:t>
      </w:r>
      <w:r>
        <w:t xml:space="preserve"> </w:t>
      </w:r>
      <w:r>
        <w:rPr>
          <w:i/>
        </w:rPr>
        <w:t xml:space="preserve">Enterococcus</w:t>
      </w:r>
      <w:r>
        <w:t xml:space="preserve"> </w:t>
      </w:r>
      <w:r>
        <w:t xml:space="preserve">spp., thermotolerant coliforms, and</w:t>
      </w:r>
      <w:r>
        <w:t xml:space="preserve"> </w:t>
      </w:r>
      <w:r>
        <w:rPr>
          <w:i/>
        </w:rPr>
        <w:t xml:space="preserve">E. coli</w:t>
      </w:r>
      <w:r>
        <w:t xml:space="preserve">) to help determine water quality. FIB are enteric bacteria found in the digestive tract of humans and animals and excreted in the feces, and therefore their presence in stormwater is indicative of fecal contamination. By association, the presence of FIB implies the potential presence of fecal- orally transmitted pathogens (e.g.,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w:t>
      </w:r>
      <w:r>
        <w:t xml:space="preserve"> </w:t>
      </w:r>
      <w:r>
        <w:rPr>
          <w:i/>
        </w:rPr>
        <w:t xml:space="preserve">Arcobacter butzleri</w:t>
      </w:r>
      <w:r>
        <w:t xml:space="preserve">).</w:t>
      </w:r>
    </w:p>
    <w:p>
      <w:pPr>
        <w:pStyle w:val="BodyText"/>
      </w:pPr>
      <w:r>
        <w:t xml:space="preserve">The field of microbial source tracking aims to identify the specific host sources of fecal pollution impacting water quality (e.g., human, cattle, bird, etc.). Microbial source tracking tools are focused on genotypic and phenotypic differences in microbial populations found in the gut of different animals</w:t>
      </w:r>
      <w:r>
        <w:t xml:space="preserve"> </w:t>
      </w:r>
      <w:r>
        <w:t xml:space="preserve">(Curtis, 2016)</w:t>
      </w:r>
      <w:r>
        <w:t xml:space="preserve">.Many molecular microbial source tracking techniques have emerged over the last two decades, many of which are based on Polymerase Chain Reaction (PCR) methods targeting DNA sequences unique to certain bacteria found in various animals. The Bacteroides-Prevotella group is a common target for microbial source tracking assays. Other targets include</w:t>
      </w:r>
      <w:r>
        <w:t xml:space="preserve"> </w:t>
      </w:r>
      <w:r>
        <w:rPr>
          <w:i/>
        </w:rPr>
        <w:t xml:space="preserve">Escherichia</w:t>
      </w:r>
      <w:r>
        <w:t xml:space="preserve">, the genera Catellicoccus, and members of the order Bacteroidales</w:t>
      </w:r>
      <w:r>
        <w:t xml:space="preserve"> </w:t>
      </w:r>
      <w:r>
        <w:t xml:space="preserve">(Wuertz, 2011)</w:t>
      </w:r>
      <w:r>
        <w:t xml:space="preserve">. The PCR-based methods provide a rapid means for identifying potential sources of fecal pollution in the environment. However, there is some uncertainty associated with the use of these types of tools, which are similar to that of FIB, as little is known about the persistence of these microbial signatures in the environment</w:t>
      </w:r>
      <w:r>
        <w:t xml:space="preserve"> </w:t>
      </w:r>
      <w:r>
        <w:t xml:space="preserve">(Wuertz, 2011)</w:t>
      </w:r>
      <w:r>
        <w:t xml:space="preserve"> </w:t>
      </w:r>
      <w:r>
        <w:t xml:space="preserve">(Harwood, 2014)</w:t>
      </w:r>
      <w:r>
        <w:t xml:space="preserve">. Bacteroidales are gram- negative, obligate anaerobes, non-spore forming, and rod-shaped bacteria, and within this order is the genus Bacteroides</w:t>
      </w:r>
      <w:r>
        <w:t xml:space="preserve"> </w:t>
      </w:r>
      <w:r>
        <w:t xml:space="preserve">(Harwood, 2014)</w:t>
      </w:r>
      <w:r>
        <w:t xml:space="preserve">. Bacteroides are bacteria that are commonly found in the intestine of warm-blooded animals and constitute a large portion of their gut microbiota (e.g., human, dog, etc.)</w:t>
      </w:r>
      <w:r>
        <w:t xml:space="preserve"> </w:t>
      </w:r>
      <w:r>
        <w:t xml:space="preserve">(Bower, 2005)</w:t>
      </w:r>
      <w:r>
        <w:t xml:space="preserve"> </w:t>
      </w:r>
      <w:r>
        <w:t xml:space="preserve">(Shanks, 2009)</w:t>
      </w:r>
      <w:r>
        <w:t xml:space="preserve">. Several</w:t>
      </w:r>
      <w:r>
        <w:t xml:space="preserve"> </w:t>
      </w:r>
      <w:r>
        <w:rPr>
          <w:i/>
        </w:rPr>
        <w:t xml:space="preserve">Bacteroides</w:t>
      </w:r>
      <w:r>
        <w:t xml:space="preserve"> </w:t>
      </w:r>
      <w:r>
        <w:t xml:space="preserve">spp. have strong host or group specificities as indicated by several studies</w:t>
      </w:r>
      <w:r>
        <w:t xml:space="preserve"> </w:t>
      </w:r>
      <w:r>
        <w:t xml:space="preserve">(Layton A., 2006)</w:t>
      </w:r>
      <w:r>
        <w:t xml:space="preserve"> </w:t>
      </w:r>
      <w:r>
        <w:t xml:space="preserve">(Shanks, 2009)</w:t>
      </w:r>
      <w:r>
        <w:t xml:space="preserve"> </w:t>
      </w:r>
      <w:r>
        <w:t xml:space="preserve">. Therefore, the 16S rRNA genes of host-specific</w:t>
      </w:r>
      <w:r>
        <w:t xml:space="preserve"> </w:t>
      </w:r>
      <w:r>
        <w:rPr>
          <w:i/>
        </w:rPr>
        <w:t xml:space="preserve">Bacteroides</w:t>
      </w:r>
      <w:r>
        <w:t xml:space="preserve"> </w:t>
      </w:r>
      <w:r>
        <w:t xml:space="preserve">spp. can be used as markers for ascertaining human or animal fecal sources of pollution in water</w:t>
      </w:r>
      <w:r>
        <w:t xml:space="preserve"> </w:t>
      </w:r>
      <w:r>
        <w:t xml:space="preserve">(Layton A., 2006)</w:t>
      </w:r>
      <w:r>
        <w:t xml:space="preserve">.</w:t>
      </w:r>
    </w:p>
    <w:p>
      <w:pPr>
        <w:pStyle w:val="BodyText"/>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p>
    <w:p>
      <w:pPr>
        <w:pStyle w:val="BodyText"/>
      </w:pP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 Meng et al., 2018 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p>
    <w:p>
      <w:pPr>
        <w:pStyle w:val="BodyText"/>
      </w:pP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w:t>
      </w:r>
      <w:r>
        <w:t xml:space="preserve"> </w:t>
      </w:r>
      <w:r>
        <w:rPr>
          <w:i/>
        </w:rPr>
        <w:t xml:space="preserve">A. cryaerophilus</w:t>
      </w:r>
      <w:r>
        <w:t xml:space="preserve">, and</w:t>
      </w:r>
      <w:r>
        <w:t xml:space="preserve"> </w:t>
      </w:r>
      <w:r>
        <w:rPr>
          <w:i/>
        </w:rPr>
        <w:t xml:space="preserve">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p>
    <w:p>
      <w:pPr>
        <w:pStyle w:val="BodyText"/>
      </w:pPr>
      <w:r>
        <w:t xml:space="preserve">The objective this study was to identify and determine the prevalence of the putative enteric bacterial pathogen</w:t>
      </w:r>
      <w:r>
        <w:t xml:space="preserve"> </w:t>
      </w:r>
      <w:r>
        <w:rPr>
          <w:i/>
        </w:rPr>
        <w:t xml:space="preserve">A. butzleri</w:t>
      </w:r>
      <w:r>
        <w:t xml:space="preserve"> </w:t>
      </w:r>
      <w:r>
        <w:t xml:space="preserve">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addressing overall water quality by assessing FIB contamination,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Heading2"/>
      </w:pPr>
      <w:bookmarkStart w:id="23" w:name="culture-methods-for-bacterial-water-quality-indicators"/>
      <w:r>
        <w:t xml:space="preserve">Culture Methods for Bacterial Water Quality Indicators</w:t>
      </w:r>
      <w:bookmarkEnd w:id="23"/>
    </w:p>
    <w:p>
      <w:pPr>
        <w:pStyle w:val="FirstParagraph"/>
      </w:pP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p>
    <w:p>
      <w:pPr>
        <w:pStyle w:val="BodyText"/>
      </w:pP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Heading2"/>
      </w:pPr>
      <w:bookmarkStart w:id="24" w:name="molecular-methods"/>
      <w:r>
        <w:t xml:space="preserve">Molecular Methods</w:t>
      </w:r>
      <w:bookmarkEnd w:id="24"/>
    </w:p>
    <w:p>
      <w:pPr>
        <w:pStyle w:val="FirstParagraph"/>
      </w:pP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p>
    <w:p>
      <w:pPr>
        <w:pStyle w:val="BodyText"/>
      </w:pPr>
      <w:r>
        <w:t xml:space="preserve">Controls. In order to ensure amplification, plasmids or positive samples were used as positive controls. IAC was used as a control. DNA free water was used as a negative control, prepared in the same manner as water samples to ensure no carryover.</w:t>
      </w:r>
    </w:p>
    <w:p>
      <w:pPr>
        <w:pStyle w:val="BodyText"/>
      </w:pPr>
      <w:r>
        <w:t xml:space="preserve">qPCR Assays. qPCR assays included targets for bacterial indicators (i.e.,</w:t>
      </w:r>
      <w:r>
        <w:t xml:space="preserve"> </w:t>
      </w:r>
      <w:r>
        <w:rPr>
          <w:i/>
        </w:rPr>
        <w:t xml:space="preserve">Enterococcus</w:t>
      </w:r>
      <w:r>
        <w:t xml:space="preserve"> </w:t>
      </w:r>
      <w:r>
        <w:t xml:space="preserve">spp.), microbial source tracking markers (i.e., human (HF183 and HumM2), cattle (Rum2Bac), seagull (LeeSg), Canada goose (CG01), dog (dog3), and muskrat (MuBac)), as well bacterial pathogen-related genes (i.e.,</w:t>
      </w:r>
      <w:r>
        <w:t xml:space="preserve"> </w:t>
      </w:r>
      <w:r>
        <w:rPr>
          <w:i/>
        </w:rPr>
        <w:t xml:space="preserve">Campylobacter</w:t>
      </w:r>
      <w:r>
        <w:t xml:space="preserve"> </w:t>
      </w:r>
      <w:r>
        <w:t xml:space="preserve">spp. (Van Dyke),</w:t>
      </w:r>
      <w:r>
        <w:t xml:space="preserve"> </w:t>
      </w:r>
      <w:r>
        <w:rPr>
          <w:i/>
        </w:rPr>
        <w:t xml:space="preserve">Salmonella</w:t>
      </w:r>
      <w:r>
        <w:t xml:space="preserve"> </w:t>
      </w:r>
      <w:r>
        <w:t xml:space="preserve">spp. (InvA), and</w:t>
      </w:r>
      <w:r>
        <w:t xml:space="preserve"> </w:t>
      </w:r>
      <w:r>
        <w:rPr>
          <w:i/>
        </w:rPr>
        <w:t xml:space="preserve">A. butzleri</w:t>
      </w:r>
      <w:r>
        <w:t xml:space="preserve"> </w:t>
      </w:r>
      <w:r>
        <w:t xml:space="preserve">(HSP60)).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p>
    <w:p>
      <w:pPr>
        <w:pStyle w:val="BodyText"/>
      </w:pP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p>
    <w:p>
      <w:pPr>
        <w:pStyle w:val="BodyText"/>
      </w:pP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p>
    <w:p>
      <w:pPr>
        <w:pStyle w:val="Heading2"/>
      </w:pPr>
      <w:bookmarkStart w:id="25" w:name="data-import-and-cleaning"/>
      <w:r>
        <w:t xml:space="preserve">Data import and cleaning</w:t>
      </w:r>
      <w:bookmarkEnd w:id="25"/>
    </w:p>
    <w:p>
      <w:pPr>
        <w:pStyle w:val="FirstParagraph"/>
      </w:pPr>
      <w:r>
        <w:t xml:space="preserve">The data was cleaned to format the variables (e.g., DNQ, not detects, &gt;2419.6) in order to deal with limits of detection and detection limits. In the raw data, detectable but not quantifiable (DNQ) had not been assigned a value. See supplementary material - cleaning.</w:t>
      </w:r>
    </w:p>
    <w:p>
      <w:pPr>
        <w:pStyle w:val="Heading2"/>
      </w:pPr>
      <w:bookmarkStart w:id="26" w:name="statistical-methods"/>
      <w:r>
        <w:t xml:space="preserve">Statistical Methods</w:t>
      </w:r>
      <w:bookmarkEnd w:id="26"/>
    </w:p>
    <w:p>
      <w:pPr>
        <w:pStyle w:val="FirstParagraph"/>
      </w:pPr>
      <w:r>
        <w:t xml:space="preserve">For further analysis, all CT values were entered into Microsoft Excel and volume corrected pior to data analysis using R statstical software. Data from</w:t>
      </w:r>
      <w:r>
        <w:t xml:space="preserve"> </w:t>
      </w:r>
      <w:r>
        <w:rPr>
          <w:i/>
        </w:rPr>
        <w:t xml:space="preserve">E. coli</w:t>
      </w:r>
      <w:r>
        <w:t xml:space="preserve">,</w:t>
      </w:r>
      <w:r>
        <w:t xml:space="preserve"> </w:t>
      </w:r>
      <w:r>
        <w:rPr>
          <w:i/>
        </w:rPr>
        <w:t xml:space="preserve">Enterococcus</w:t>
      </w:r>
      <w:r>
        <w:t xml:space="preserve">,</w:t>
      </w:r>
      <w:r>
        <w:t xml:space="preserve"> </w:t>
      </w:r>
      <w:r>
        <w:rPr>
          <w:i/>
        </w:rPr>
        <w:t xml:space="preserve">fecal coliforms</w:t>
      </w:r>
      <w:r>
        <w:t xml:space="preserve">, and all qPCR marker concentrations were log10 transformed prior to analysis because the Shapiro-Wilk test for normality indicated the data was non-normally distributed data. Water quality needed to be evaluateded based on a variety of parameters, but most importantly temporal and spatial variability, and violations of water quality standards. Violin plots were used as they allow us to see the overal trends in the data. In addition to line graphs, which had an emphasis on temporal trends on any seasonality. Bar graphs were also used to visualized overall marker concentrations as sampling locations and sampling site, putting a greater emphasis on spatial trends. All of the aforemention plots were created using the ggplot2 package in R. A correlation matrix was used to determine which of the abundant microbial source tracking markers were found to be related to</w:t>
      </w:r>
      <w:r>
        <w:t xml:space="preserve"> </w:t>
      </w:r>
      <w:r>
        <w:rPr>
          <w:i/>
        </w:rPr>
        <w:t xml:space="preserve">A. butzleri</w:t>
      </w:r>
      <w:r>
        <w:t xml:space="preserve"> </w:t>
      </w:r>
      <w:r>
        <w:t xml:space="preserve">contamination, and was created using the corrplot package in R. Furthermore, this plot showed relatedness between microbial source tracking markers. Several linear models were run in order to test the hypothesis that the source of fecal material in stormwater ponds would affect</w:t>
      </w:r>
      <w:r>
        <w:t xml:space="preserve"> </w:t>
      </w:r>
      <w:r>
        <w:rPr>
          <w:i/>
        </w:rPr>
        <w:t xml:space="preserve">A. butzleri</w:t>
      </w:r>
      <w:r>
        <w:t xml:space="preserve">. The same microbial source tracking markers that were found to be abundant sources of contamination had linear models run on them. In addition, a random forest tree was created using the caret packing in R. The tree was created using method repeated cv, and assessed by the measure accuracy. In addition, the tune length was adjusted to try to accomodate more variables.</w:t>
      </w:r>
    </w:p>
    <w:p>
      <w:pPr>
        <w:pStyle w:val="Heading1"/>
      </w:pPr>
      <w:bookmarkStart w:id="27" w:name="results"/>
      <w:r>
        <w:t xml:space="preserve">Results</w:t>
      </w:r>
      <w:bookmarkEnd w:id="27"/>
    </w:p>
    <w:p>
      <w:pPr>
        <w:pStyle w:val="Heading2"/>
      </w:pPr>
      <w:bookmarkStart w:id="28" w:name="water-quality"/>
      <w:r>
        <w:t xml:space="preserve">Water Quality</w:t>
      </w:r>
      <w:bookmarkEnd w:id="28"/>
    </w:p>
    <w:p>
      <w:pPr>
        <w:pStyle w:val="FirstParagraph"/>
      </w:pPr>
      <w:r>
        <w:t xml:space="preserve">A high-level descriptive overview of the bacteriological water quality in each of these ponds, and at each of the sites, is provided in Figure 1,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spp. by molecular methods (Environmental Protection Agency, 2012). Water quality was also evaluated against Alberta’s former recreational water quality standards based on thermotolerant coliform concentrations was also used to evaluated water quality (supplemental material Figure 1). A number of observations are worth noting from this high-level analysis.</w:t>
      </w:r>
    </w:p>
    <w:p>
      <w:pPr>
        <w:pStyle w:val="CaptionedFigure"/>
      </w:pPr>
      <w:r>
        <w:drawing>
          <wp:inline>
            <wp:extent cx="5334000" cy="3294076"/>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ercent_bar_2.png" id="0" name="Picture"/>
                    <pic:cNvPicPr>
                      <a:picLocks noChangeArrowheads="1" noChangeAspect="1"/>
                    </pic:cNvPicPr>
                  </pic:nvPicPr>
                  <pic:blipFill>
                    <a:blip r:embed="rId29"/>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w:t>
      </w:r>
      <w:r>
        <w:t xml:space="preserve"> </w:t>
      </w:r>
      <w:r>
        <w:rPr>
          <w:i/>
        </w:rPr>
        <w:t xml:space="preserve">Enterococcus</w:t>
      </w:r>
      <w:r>
        <w:t xml:space="preserve"> </w:t>
      </w:r>
      <w:r>
        <w:t xml:space="preserve">or thermotolerant coliforms [see supplemental material, Figure 2]).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Inverness stormpond had the fewest water quality violations among the three ponds, also based on all bacteriological indicators examined, and therefore was considered to have the best water quality overall.</w:t>
      </w:r>
    </w:p>
    <w:p>
      <w:pPr>
        <w:pStyle w:val="CaptionedFigure"/>
      </w:pPr>
      <w:r>
        <w:drawing>
          <wp:inline>
            <wp:extent cx="5334000" cy="3294076"/>
            <wp:effectExtent b="0" l="0" r="0" t="0"/>
            <wp:docPr descr="Figure 2: Frequency of occurrence of samples positive based on water quality indicator Enterococcus spp. broken down by sampling site at McCall Lake in Calgary, Alberta." title="" id="1" name="Picture"/>
            <a:graphic>
              <a:graphicData uri="http://schemas.openxmlformats.org/drawingml/2006/picture">
                <pic:pic>
                  <pic:nvPicPr>
                    <pic:cNvPr descr="../../results/McCall_entero_percent_bar_sampling_site.png" id="0" name="Picture"/>
                    <pic:cNvPicPr>
                      <a:picLocks noChangeArrowheads="1" noChangeAspect="1"/>
                    </pic:cNvPicPr>
                  </pic:nvPicPr>
                  <pic:blipFill>
                    <a:blip r:embed="rId30"/>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2: Frequency of occurrence of samples positive based on water quality indicator</w:t>
      </w:r>
      <w:r>
        <w:t xml:space="preserve"> </w:t>
      </w:r>
      <w:r>
        <w:rPr>
          <w:i/>
        </w:rPr>
        <w:t xml:space="preserve">Enterococcus</w:t>
      </w:r>
      <w:r>
        <w:t xml:space="preserve"> </w:t>
      </w:r>
      <w:r>
        <w:t xml:space="preserve">spp. broken down by sampling site at McCall Lake in Calgary, Alberta.</w:t>
      </w:r>
    </w:p>
    <w:p>
      <w:pPr>
        <w:pStyle w:val="CaptionedFigure"/>
      </w:pPr>
      <w:r>
        <w:drawing>
          <wp:inline>
            <wp:extent cx="5334000" cy="3294076"/>
            <wp:effectExtent b="0" l="0" r="0" t="0"/>
            <wp:docPr descr="Figure 3: Frequency of occurrence of samples positive based on water quality indicator Enterococcus spp. broken down by sampling site at Country Hills in Calgary, Alberta." title="" id="1" name="Picture"/>
            <a:graphic>
              <a:graphicData uri="http://schemas.openxmlformats.org/drawingml/2006/picture">
                <pic:pic>
                  <pic:nvPicPr>
                    <pic:cNvPr descr="../../results/Country_Hills_entero_percent_bar_sampling_site.png" id="0" name="Picture"/>
                    <pic:cNvPicPr>
                      <a:picLocks noChangeArrowheads="1" noChangeAspect="1"/>
                    </pic:cNvPicPr>
                  </pic:nvPicPr>
                  <pic:blipFill>
                    <a:blip r:embed="rId31"/>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3: Frequency of occurrence of samples positive based on water quality indicator</w:t>
      </w:r>
      <w:r>
        <w:t xml:space="preserve"> </w:t>
      </w:r>
      <w:r>
        <w:rPr>
          <w:i/>
        </w:rPr>
        <w:t xml:space="preserve">Enterococcus</w:t>
      </w:r>
      <w:r>
        <w:t xml:space="preserve"> </w:t>
      </w:r>
      <w:r>
        <w:t xml:space="preserve">spp. broken down by sampling site at Country Hills in Calgary, Alberta.</w:t>
      </w:r>
    </w:p>
    <w:p>
      <w:pPr>
        <w:pStyle w:val="CaptionedFigure"/>
      </w:pPr>
      <w:r>
        <w:drawing>
          <wp:inline>
            <wp:extent cx="5334000" cy="3294076"/>
            <wp:effectExtent b="0" l="0" r="0" t="0"/>
            <wp:docPr descr="Figure 4: Frequency of occurrence of samples positive based on water quality indicator Enterococcus spp. broken down by sampling site at Inverness in Calgary, Alberta." title="" id="1" name="Picture"/>
            <a:graphic>
              <a:graphicData uri="http://schemas.openxmlformats.org/drawingml/2006/picture">
                <pic:pic>
                  <pic:nvPicPr>
                    <pic:cNvPr descr="../../results/Inverness_entero_percent_bar_sampling_site.png" id="0" name="Picture"/>
                    <pic:cNvPicPr>
                      <a:picLocks noChangeArrowheads="1" noChangeAspect="1"/>
                    </pic:cNvPicPr>
                  </pic:nvPicPr>
                  <pic:blipFill>
                    <a:blip r:embed="rId32"/>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w:t>
      </w:r>
      <w:r>
        <w:t xml:space="preserve"> </w:t>
      </w:r>
      <w:r>
        <w:rPr>
          <w:i/>
        </w:rPr>
        <w:t xml:space="preserve">Enterococcus</w:t>
      </w:r>
      <w:r>
        <w:t xml:space="preserve"> </w:t>
      </w:r>
      <w:r>
        <w:t xml:space="preserve">spp. broken down by sampling site at Inverness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(Figure 2). This site had the poorest water quality irrespective of the bacterial indicator used in the analysis (supplemental material figure 3). It is important to note, however, that ML2 was an above-grade outfall,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supplemental material figures 1-4), however due to the poor water quality at McCall Lake this assessment is included in the report.</w:t>
      </w:r>
    </w:p>
    <w:p>
      <w:pPr>
        <w:pStyle w:val="BodyText"/>
      </w:pPr>
      <w:r>
        <w:drawing>
          <wp:inline>
            <wp:extent cx="5334000" cy="3295334"/>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3"/>
                    <a:stretch>
                      <a:fillRect/>
                    </a:stretch>
                  </pic:blipFill>
                  <pic:spPr bwMode="auto">
                    <a:xfrm>
                      <a:off x="0" y="0"/>
                      <a:ext cx="5334000" cy="3295334"/>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(Figure 5). Incidentally, ML2 also had the largest overall interquartile variation in the concentration of</w:t>
      </w:r>
      <w:r>
        <w:t xml:space="preserve"> </w:t>
      </w:r>
      <w:r>
        <w:rPr>
          <w:i/>
        </w:rPr>
        <w:t xml:space="preserve">Enterococcus</w:t>
      </w:r>
      <w:r>
        <w:t xml:space="preserve"> </w:t>
      </w:r>
      <w:r>
        <w:t xml:space="preserve">during the study season (Figure 5). Concentrations of thermotolerant coliforms were also high at this site and followed a similar trend to that of</w:t>
      </w:r>
      <w:r>
        <w:t xml:space="preserve"> </w:t>
      </w:r>
      <w:r>
        <w:rPr>
          <w:i/>
        </w:rPr>
        <w:t xml:space="preserve">Enterococcus</w:t>
      </w:r>
      <w:r>
        <w:t xml:space="preserve"> </w:t>
      </w:r>
      <w:r>
        <w:t xml:space="preserve">(supplemental material).</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(Figure 5).Although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in southern Alberta, Canada, do not often meet existing guidelines or standards as laid out by USEPA and Alberta Environments and Parks in terms of recreational water quality, surface water quality and/or irrigation water quality (Figure 5). For this reason, we sought to determine the potentiasl sources of poor water quality using microbial source tracking assays for humans, ruminants, dogs, gull, geese and muskrat.</w:t>
      </w:r>
    </w:p>
    <w:p>
      <w:pPr>
        <w:pStyle w:val="Heading2"/>
      </w:pPr>
      <w:bookmarkStart w:id="34" w:name="microbial-source-tracking"/>
      <w:r>
        <w:t xml:space="preserve">Microbial Source Tracking</w:t>
      </w:r>
      <w:bookmarkEnd w:id="34"/>
    </w:p>
    <w:p>
      <w:pPr>
        <w:pStyle w:val="FirstParagraph"/>
      </w:pPr>
      <w:r>
        <w:t xml:space="preserve">Calgary stormwater ponds were mainly impacted by human and gull feces (Figure 6-7, see supplemental material for exact numbers). The human specific markers, HF183 and HumM2, were detected at 42% and 16%, of samples, respectively in McCall Lake (Figure 6, see supplemental material for exact numbers). On the lower end, they were dtected in 14% and 3% of samples at Inverness. The gull specific marker (i.e., LeeSg) was found in 15% of samples at McCall Lake (Figure 7, see supplemental material for exact numbers). Of these, the more dominant source of fecal pollution was from humans (Figure 6, see supplemental material for exact numbers). All other host-specific markers (i.e., dog, Canada geese, muskrat, and ruminants) were detected in &lt;5% of pond samples (supplemental material figures 9-11).</w:t>
      </w:r>
    </w:p>
    <w:p>
      <w:pPr>
        <w:pStyle w:val="CaptionedFigure"/>
      </w:pPr>
      <w:r>
        <w:drawing>
          <wp:inline>
            <wp:extent cx="5334000" cy="3294076"/>
            <wp:effectExtent b="0" l="0" r="0" t="0"/>
            <wp:docPr descr="Figure 6: Frequency of occurrence of samples positive based on MST marker HF183 and HumM2 for human fecal contamination broken down by sampling site in Calgary, Alberta." title="" id="1" name="Picture"/>
            <a:graphic>
              <a:graphicData uri="http://schemas.openxmlformats.org/drawingml/2006/picture">
                <pic:pic>
                  <pic:nvPicPr>
                    <pic:cNvPr descr="../../results/human_percent_bar_2.png" id="0" name="Picture"/>
                    <pic:cNvPicPr>
                      <a:picLocks noChangeArrowheads="1" noChangeAspect="1"/>
                    </pic:cNvPicPr>
                  </pic:nvPicPr>
                  <pic:blipFill>
                    <a:blip r:embed="rId35"/>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and HumM2 for human fecal contamination broken down by sampling site in Calgary, Alberta.</w:t>
      </w:r>
    </w:p>
    <w:p>
      <w:pPr>
        <w:pStyle w:val="CaptionedFigure"/>
      </w:pPr>
      <w:r>
        <w:drawing>
          <wp:inline>
            <wp:extent cx="5334000" cy="3294076"/>
            <wp:effectExtent b="0" l="0" r="0" t="0"/>
            <wp:docPr descr="Figure 7: Frequency of occurrence of samples positive based on MST marker CG01 and LeeSg for human fecal contamination broken down by sampling site in Calgary, Alberta." title="" id="1" name="Picture"/>
            <a:graphic>
              <a:graphicData uri="http://schemas.openxmlformats.org/drawingml/2006/picture">
                <pic:pic>
                  <pic:nvPicPr>
                    <pic:cNvPr descr="../../results/bird_percent_bar.png" id="0" name="Picture"/>
                    <pic:cNvPicPr>
                      <a:picLocks noChangeArrowheads="1" noChangeAspect="1"/>
                    </pic:cNvPicPr>
                  </pic:nvPicPr>
                  <pic:blipFill>
                    <a:blip r:embed="rId36"/>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CG01 and LeeSg for human fecal contamination broken down by sampling site in Calgary, Alberta.</w:t>
      </w:r>
    </w:p>
    <w:p>
      <w:pPr>
        <w:pStyle w:val="BodyText"/>
      </w:pPr>
      <w:r>
        <w:t xml:space="preserve">In congruence with finding that ML2 at McCall Lake was the most frequently contaminated site with human feces (Figure 6), this site also had the greatest median concentration of the human fecal marker HF183 (i.e., 4.2 log10 copies/100 mL) observed across all three stormwater ponds and sampling sites in these ponds (Figure 8). In comparison, all other McCall Lake sampling sites had a median concentration of HF183 at ~3.4 log10 copies/100 mL (i.e., close to the quantification limit of the assay (red dotted line)) (Figure 8). Specifically, at ML2, there was a single outlier in the data set for HF183, represented by a value of 6.0 log10 copies/100 mL (Figure 8). However, although ML2 represented the most consistently contaminated sampling site with human fecal contamination at McCall Lake, all other sites in this thesis appeared to be at risk for human fecal contamination (supplemental material).</w:t>
      </w:r>
    </w:p>
    <w:p>
      <w:pPr>
        <w:pStyle w:val="CaptionedFigure"/>
      </w:pPr>
      <w:r>
        <w:drawing>
          <wp:inline>
            <wp:extent cx="5334000" cy="3295334"/>
            <wp:effectExtent b="0" l="0" r="0" t="0"/>
            <wp:docPr descr="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7"/>
                    <a:stretch>
                      <a:fillRect/>
                    </a:stretch>
                  </pic:blipFill>
                  <pic:spPr bwMode="auto">
                    <a:xfrm>
                      <a:off x="0" y="0"/>
                      <a:ext cx="5334000" cy="3295334"/>
                    </a:xfrm>
                    <a:prstGeom prst="rect">
                      <a:avLst/>
                    </a:prstGeom>
                    <a:noFill/>
                    <a:ln w="9525">
                      <a:noFill/>
                      <a:headEnd/>
                      <a:tailEnd/>
                    </a:ln>
                  </pic:spPr>
                </pic:pic>
              </a:graphicData>
            </a:graphic>
          </wp:inline>
        </w:drawing>
      </w:r>
    </w:p>
    <w:p>
      <w:pPr>
        <w:pStyle w:val="ImageCaption"/>
      </w:pPr>
      <w:r>
        <w:t xml:space="preserve">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(Figure 9).</w:t>
      </w:r>
    </w:p>
    <w:p>
      <w:pPr>
        <w:pStyle w:val="CaptionedFigure"/>
      </w:pPr>
      <w:r>
        <w:drawing>
          <wp:inline>
            <wp:extent cx="5334000" cy="3294076"/>
            <wp:effectExtent b="0" l="0" r="0" t="0"/>
            <wp:docPr descr="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8"/>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(Figure 9).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4076"/>
            <wp:effectExtent b="0" l="0" r="0" t="0"/>
            <wp:docPr descr="Figure 10: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9"/>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10: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(supplemental material). ML2 had the highest occurrence of HumM2 detections of all McCall Lake sampling sites, which corresponded with the findings with the human fecal contamination marker HF183 (Figure 10).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(Figure 11). For example, at ML2, seagull fecal contamination was detected on July 12th and at a level of 4.1 log10 copies/100 mL, and then it was not detected at quantifiable levels again until August 8th (i.e., 3.7 log10 copies/100 mL) (Figure 11).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4076"/>
            <wp:effectExtent b="0" l="0" r="0" t="0"/>
            <wp:docPr descr="Figure 11: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0"/>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11: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 Figure 12.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(Figure 12, see supplemental materials for exact percents).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(Figure 12).</w:t>
      </w:r>
    </w:p>
    <w:p>
      <w:pPr>
        <w:pStyle w:val="CaptionedFigure"/>
      </w:pPr>
      <w:r>
        <w:drawing>
          <wp:inline>
            <wp:extent cx="5334000" cy="3294076"/>
            <wp:effectExtent b="0" l="0" r="0" t="0"/>
            <wp:docPr descr="Figure 12: The frequency of occurence of the enteric bacterial pathogen A. butzleri Campylobacter spp., Salmonella spp., in the Calgary, Alberta stormwater ponds." title="" id="1" name="Picture"/>
            <a:graphic>
              <a:graphicData uri="http://schemas.openxmlformats.org/drawingml/2006/picture">
                <pic:pic>
                  <pic:nvPicPr>
                    <pic:cNvPr descr="../../results/arco_percent_bar.png" id="0" name="Picture"/>
                    <pic:cNvPicPr>
                      <a:picLocks noChangeArrowheads="1" noChangeAspect="1"/>
                    </pic:cNvPicPr>
                  </pic:nvPicPr>
                  <pic:blipFill>
                    <a:blip r:embed="rId41"/>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12: The frequency of occurence of the enteric bacterial pathogen</w:t>
      </w:r>
      <w:r>
        <w:t xml:space="preserve"> </w:t>
      </w:r>
      <w:r>
        <w:rPr>
          <w:i/>
        </w:rPr>
        <w:t xml:space="preserve">A. butzleri</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 (Figure 13).</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 (Figure 13).</w:t>
      </w:r>
    </w:p>
    <w:p>
      <w:pPr>
        <w:pStyle w:val="CaptionedFigure"/>
      </w:pPr>
      <w:r>
        <w:drawing>
          <wp:inline>
            <wp:extent cx="5334000" cy="3294076"/>
            <wp:effectExtent b="0" l="0" r="0" t="0"/>
            <wp:docPr descr="Figure 13: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2"/>
                    <a:stretch>
                      <a:fillRect/>
                    </a:stretch>
                  </pic:blipFill>
                  <pic:spPr bwMode="auto">
                    <a:xfrm>
                      <a:off x="0" y="0"/>
                      <a:ext cx="5334000" cy="3294076"/>
                    </a:xfrm>
                    <a:prstGeom prst="rect">
                      <a:avLst/>
                    </a:prstGeom>
                    <a:noFill/>
                    <a:ln w="9525">
                      <a:noFill/>
                      <a:headEnd/>
                      <a:tailEnd/>
                    </a:ln>
                  </pic:spPr>
                </pic:pic>
              </a:graphicData>
            </a:graphic>
          </wp:inline>
        </w:drawing>
      </w:r>
    </w:p>
    <w:p>
      <w:pPr>
        <w:pStyle w:val="ImageCaption"/>
      </w:pPr>
      <w:r>
        <w:t xml:space="preserve">Figure 13: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(Figure 14). The second most dominant source of fecal pollution was seagull (i.e., LeeSg) (Figure 14).</w:t>
      </w:r>
    </w:p>
    <w:p>
      <w:pPr>
        <w:pStyle w:val="BodyText"/>
      </w:pPr>
      <w:r>
        <w:drawing>
          <wp:inline>
            <wp:extent cx="5334000" cy="5334000"/>
            <wp:effectExtent b="0" l="0" r="0" t="0"/>
            <wp:docPr descr=""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(Figure 15). The linear model for human fecal contamination (i.e., HF183 and HumM2), rejects the null hypotheses based on p-value.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which be discussed later 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14: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4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14: Linear model for predicting A. butzleri, based on HF183 or HumM2 (i.e., humfan fecal contamination), LeeSg (i.e., seagull fecal contamination) and CG01 (i.e.,Canada Goose fecal contamination</w:t>
      </w:r>
    </w:p>
    <w:p>
      <w:pPr>
        <w:pStyle w:val="BodyText"/>
      </w:pPr>
      <w:r>
        <w:t xml:space="preserve">For this paper, two random forest analyses were performed. The first of which aims to predict the outcome</w:t>
      </w:r>
      <w:r>
        <w:t xml:space="preserve"> </w:t>
      </w:r>
      <w:r>
        <w:rPr>
          <w:i/>
        </w:rPr>
        <w:t xml:space="preserve">A. butzleri</w:t>
      </w:r>
      <w:r>
        <w:t xml:space="preserve"> </w:t>
      </w:r>
      <w:r>
        <w:t xml:space="preserve">(Figure 16). For this tree, we will treat week 0 as a null value, as if the pond is always contaminted with</w:t>
      </w:r>
      <w:r>
        <w:t xml:space="preserve"> </w:t>
      </w:r>
      <w:r>
        <w:rPr>
          <w:i/>
        </w:rPr>
        <w:t xml:space="preserve">A. butlzeri</w:t>
      </w:r>
      <w:r>
        <w:t xml:space="preserve"> </w:t>
      </w:r>
      <w:r>
        <w:t xml:space="preserve">we would not need to look any further. If</w:t>
      </w:r>
      <w:r>
        <w:t xml:space="preserve"> </w:t>
      </w:r>
      <w:r>
        <w:rPr>
          <w:i/>
        </w:rPr>
        <w:t xml:space="preserve">Enterococcus</w:t>
      </w:r>
      <w:r>
        <w:t xml:space="preserve"> </w:t>
      </w:r>
      <w:r>
        <w:t xml:space="preserve">spp. is less than 3.2 than we</w:t>
      </w:r>
      <w:r>
        <w:t xml:space="preserve"> </w:t>
      </w:r>
      <w:r>
        <w:rPr>
          <w:i/>
        </w:rPr>
        <w:t xml:space="preserve">A. butlzeri</w:t>
      </w:r>
      <w:r>
        <w:t xml:space="preserve"> </w:t>
      </w:r>
      <w:r>
        <w:t xml:space="preserve">is no. However if it is greater than 3.2 log10 CCE/100mL, rainfall is more 1 mm and also has</w:t>
      </w:r>
      <w:r>
        <w:t xml:space="preserve"> </w:t>
      </w:r>
      <w:r>
        <w:rPr>
          <w:i/>
        </w:rPr>
        <w:t xml:space="preserve">E. coli</w:t>
      </w:r>
      <w:r>
        <w:t xml:space="preserve"> </w:t>
      </w:r>
      <w:r>
        <w:t xml:space="preserve">greater than 1.7 log10 CFU/100mL than</w:t>
      </w:r>
      <w:r>
        <w:t xml:space="preserve"> </w:t>
      </w:r>
      <w:r>
        <w:rPr>
          <w:i/>
        </w:rPr>
        <w:t xml:space="preserve">A. butlzeri</w:t>
      </w:r>
      <w:r>
        <w:t xml:space="preserve"> </w:t>
      </w:r>
      <w:r>
        <w:t xml:space="preserve">may be positive. This is reflective of what FIB (i.e.,</w:t>
      </w:r>
      <w:r>
        <w:t xml:space="preserve"> </w:t>
      </w:r>
      <w:r>
        <w:rPr>
          <w:i/>
        </w:rPr>
        <w:t xml:space="preserve">E. coli</w:t>
      </w:r>
      <w:r>
        <w:t xml:space="preserve">,</w:t>
      </w:r>
      <w:r>
        <w:t xml:space="preserve"> </w:t>
      </w:r>
      <w:r>
        <w:rPr>
          <w:i/>
        </w:rPr>
        <w:t xml:space="preserve">Enterococcus</w:t>
      </w:r>
      <w:r>
        <w:t xml:space="preserve"> </w:t>
      </w:r>
      <w:r>
        <w:t xml:space="preserve">spp.) should be doing, is being in greater numbers when the pathogen is present (i.e.,</w:t>
      </w:r>
      <w:r>
        <w:t xml:space="preserve"> </w:t>
      </w:r>
      <w:r>
        <w:rPr>
          <w:i/>
        </w:rPr>
        <w:t xml:space="preserve">A. butlzeri</w:t>
      </w:r>
      <w:r>
        <w:t xml:space="preserve">). However, this tree has been influenced by the number of samples in this study (~700) as majority of random forest based on water quality data encompass ~10,000 samples</w:t>
      </w:r>
      <w:r>
        <w:t xml:space="preserve"> </w:t>
      </w:r>
      <w:r>
        <w:t xml:space="preserve">(Tesorieo, 2017)</w:t>
      </w:r>
      <w:r>
        <w:t xml:space="preserve">.</w:t>
      </w:r>
    </w:p>
    <w:p>
      <w:pPr>
        <w:pStyle w:val="CaptionedFigure"/>
      </w:pPr>
      <w:r>
        <w:drawing>
          <wp:inline>
            <wp:extent cx="5334000" cy="5334000"/>
            <wp:effectExtent b="0" l="0" r="0" t="0"/>
            <wp:docPr descr="Figure 15: Random forest based on the outcome of A. butlzeri." title="" id="1" name="Picture"/>
            <a:graphic>
              <a:graphicData uri="http://schemas.openxmlformats.org/drawingml/2006/picture">
                <pic:pic>
                  <pic:nvPicPr>
                    <pic:cNvPr descr="../../results/arco_tree_21_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Random forest based on the outcome of</w:t>
      </w:r>
      <w:r>
        <w:t xml:space="preserve"> </w:t>
      </w:r>
      <w:r>
        <w:rPr>
          <w:i/>
        </w:rPr>
        <w:t xml:space="preserve">A. butlzeri</w:t>
      </w:r>
      <w:r>
        <w:t xml:space="preserve">.</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is helpful in that other scientists can use it to help assess the water quality of their study sites, based off of this tree (Figure 17). Furthermore, it allows us to gain a greater understanding of the sources of conatimantion effecting each stormwater pond we tested.</w:t>
      </w:r>
      <w:r>
        <w:t xml:space="preserve"> </w:t>
      </w:r>
      <w:r>
        <w:t xml:space="preserve">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16: Random forest based on the outcome of pond (i.e., McCall Lake, Inverness, Country Hills.)" title="" id="1" name="Picture"/>
            <a:graphic>
              <a:graphicData uri="http://schemas.openxmlformats.org/drawingml/2006/picture">
                <pic:pic>
                  <pic:nvPicPr>
                    <pic:cNvPr descr="../../results/pond_tree_1a.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Random forest based on the outcome of pond (i.e., McCall Lake, Inverness, Country Hills.)</w:t>
      </w:r>
    </w:p>
    <w:p>
      <w:pPr>
        <w:pStyle w:val="Heading1"/>
      </w:pPr>
      <w:bookmarkStart w:id="47" w:name="discussion"/>
      <w:r>
        <w:t xml:space="preserve">Discussion</w:t>
      </w:r>
      <w:bookmarkEnd w:id="47"/>
    </w:p>
    <w:p>
      <w:pPr>
        <w:pStyle w:val="Heading2"/>
      </w:pPr>
      <w:bookmarkStart w:id="48" w:name="summary-and-interpretation"/>
      <w:r>
        <w:t xml:space="preserve">Summary and Interpretation</w:t>
      </w:r>
      <w:bookmarkEnd w:id="48"/>
    </w:p>
    <w:p>
      <w:pPr>
        <w:pStyle w:val="FirstParagraph"/>
      </w:pPr>
      <w:r>
        <w:t xml:space="preserve">To the best of our knowledge, this is the first report on the occurrence of</w:t>
      </w:r>
      <w:r>
        <w:t xml:space="preserve"> </w:t>
      </w:r>
      <w:r>
        <w:rPr>
          <w:i/>
        </w:rPr>
        <w:t xml:space="preserve">A. butzleri</w:t>
      </w:r>
      <w:r>
        <w:t xml:space="preserve"> </w:t>
      </w:r>
      <w:r>
        <w:t xml:space="preserve">in stormwater ponds. A select group of stormwater ponds were sampled in Calgary, Alberta, Canada, based on their opportunities for water reuse. Based on direct molecular testing,</w:t>
      </w:r>
      <w:r>
        <w:t xml:space="preserve"> </w:t>
      </w:r>
      <w:r>
        <w:rPr>
          <w:i/>
        </w:rPr>
        <w:t xml:space="preserve">A. butzleri</w:t>
      </w:r>
      <w:r>
        <w:t xml:space="preserve"> </w:t>
      </w:r>
      <w:r>
        <w:t xml:space="preserve">was detected in 25% of all water samples. In addition, microbial sources of fecal pollution, other select enteric bacterial pathogens, and FIB were assessed through molecular methods and analyzed.</w:t>
      </w:r>
    </w:p>
    <w:p>
      <w:pPr>
        <w:pStyle w:val="BodyText"/>
      </w:pP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p>
    <w:p>
      <w:pPr>
        <w:pStyle w:val="BodyText"/>
      </w:pP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p>
    <w:p>
      <w:pPr>
        <w:pStyle w:val="BodyText"/>
      </w:pP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p>
    <w:p>
      <w:pPr>
        <w:pStyle w:val="BodyText"/>
      </w:pP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p>
    <w:p>
      <w:pPr>
        <w:pStyle w:val="BodyText"/>
      </w:pP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p>
    <w:p>
      <w:pPr>
        <w:pStyle w:val="Heading2"/>
      </w:pPr>
      <w:bookmarkStart w:id="49" w:name="strengths-and-limitations"/>
      <w:r>
        <w:t xml:space="preserve">Strengths and Limitations</w:t>
      </w:r>
      <w:bookmarkEnd w:id="49"/>
    </w:p>
    <w:p>
      <w:pPr>
        <w:pStyle w:val="FirstParagraph"/>
      </w:pPr>
      <w:r>
        <w:t xml:space="preserve">The analytitical methods used in this analysis were similar to those use in speciality specific journal in the field of water and health (e.g., Journal of Water and Health, Frontiers in Water, Water Quality Research, Water and Environment). This is a strength of this research study, as it makes it less complicated for scientists in the field to compare the fecal indicator bacteria (FIB), enteric bacterial pathogens, and microbials sources of fecal pollution with their findigs, which is a common practice in assessing water quality. Additionally, the analysis used to evaluate the aforementioned variables allow scientists to gain a better understanding of the variables beyond just frequency of occurance. For example, for FIB jitter plots and violin plots were made that reflect outliers, medians, and how these relate to US EPA or Alberta Environment water quality standards. Another important aspect in water quality is temporal vararation, and how environmental variables may affect any temporal fluctuations we see. Temporal variability was assessed for our main pathogen of concern (i.e.,</w:t>
      </w:r>
      <w:r>
        <w:t xml:space="preserve"> </w:t>
      </w:r>
      <w:r>
        <w:rPr>
          <w:i/>
        </w:rPr>
        <w:t xml:space="preserve">A. butzleri</w:t>
      </w:r>
      <w:r>
        <w:t xml:space="preserve">), in addition to any other variables that may affect</w:t>
      </w:r>
      <w:r>
        <w:t xml:space="preserve"> </w:t>
      </w:r>
      <w:r>
        <w:rPr>
          <w:i/>
        </w:rPr>
        <w:t xml:space="preserve">A. butzleri</w:t>
      </w:r>
      <w:r>
        <w:t xml:space="preserve"> </w:t>
      </w:r>
      <w:r>
        <w:t xml:space="preserve">contamination (e.g., microbial source tracking markers), while overlaying environmental variables (i.e., rainfall). The analysis enabled us to overlay all sampling locations and ponds, which is important when determing in-study comparisons. Moreover, the analysis in this study was taken one step further than majority of studies in the field by providing a comprehensive supplemental material section that provides all analyses for all ponds and sampling sites.</w:t>
      </w:r>
    </w:p>
    <w:p>
      <w:pPr>
        <w:pStyle w:val="BodyText"/>
      </w:pPr>
      <w:r>
        <w:t xml:space="preserve">There are several alternative ways this data may have been analyzed. For example, when analyzing FIB we could have also provided temporal trends, however, as that was not the focus of this study. Furthermore, FIB may also have been analzyed by box and whisker plots instead of violin plots, as these two plot types are very similar. In this study temporal trends were analyzed using line graphs, however an alternative would have been to use bar charts. A lot of data has been presented in this paper in both in both table formats (in the supplemental material) and figure format in the publication, in order to provide the most information.</w:t>
      </w:r>
    </w:p>
    <w:p>
      <w:pPr>
        <w:pStyle w:val="BodyText"/>
      </w:pPr>
      <w:r>
        <w:t xml:space="preserve">Models are not often used when assessing water quality data through molecular methods, and when they are far more complicated than the scope of this class</w:t>
      </w:r>
      <w:r>
        <w:t xml:space="preserve"> </w:t>
      </w:r>
      <w:r>
        <w:t xml:space="preserve">(Tesorieo, 2017)</w:t>
      </w:r>
      <w:r>
        <w:t xml:space="preserve"> </w:t>
      </w:r>
      <w:r>
        <w:t xml:space="preserve">(Smith, 2010)</w:t>
      </w:r>
      <w:r>
        <w:t xml:space="preserve"> </w:t>
      </w:r>
      <w:r>
        <w:t xml:space="preserve">(Casanovas-Massana, 2015)</w:t>
      </w:r>
      <w:r>
        <w:t xml:space="preserve">. In addition, majority of random forest studies in the water microbiology encompass over 10,000 samples and this study had ~700 samples. However, as modeling was a key component of this class, several models have been included in the publication. A linear model was used to predict</w:t>
      </w:r>
      <w:r>
        <w:t xml:space="preserve"> </w:t>
      </w:r>
      <w:r>
        <w:rPr>
          <w:i/>
        </w:rPr>
        <w:t xml:space="preserve">A. butzleri</w:t>
      </w:r>
      <w:r>
        <w:t xml:space="preserve"> </w:t>
      </w:r>
      <w:r>
        <w:t xml:space="preserve">contamination based on several microbial source tracking markers that were present in the stormwater ponds we sampled.</w:t>
      </w:r>
    </w:p>
    <w:p>
      <w:pPr>
        <w:pStyle w:val="BodyText"/>
      </w:pP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p>
    <w:p>
      <w:pPr>
        <w:pStyle w:val="BodyText"/>
      </w:pP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50" w:name="conclusions"/>
      <w:r>
        <w:t xml:space="preserve">Conclusions</w:t>
      </w:r>
      <w:bookmarkEnd w:id="50"/>
    </w:p>
    <w:p>
      <w:pPr>
        <w:pStyle w:val="FirstParagraph"/>
      </w:pP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51" w:name="references"/>
      <w:r>
        <w:t xml:space="preserve">References</w:t>
      </w:r>
      <w:bookmarkEnd w:id="51"/>
    </w:p>
    <w:bookmarkStart w:id="90" w:name="refs"/>
    <w:bookmarkStart w:id="52"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2"/>
    <w:bookmarkStart w:id="53"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53"/>
    <w:bookmarkStart w:id="54"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54"/>
    <w:bookmarkStart w:id="55" w:name="ref-Bower2005"/>
    <w:p>
      <w:pPr>
        <w:pStyle w:val="Bibliography"/>
      </w:pPr>
      <w:r>
        <w:t xml:space="preserve">Bower, S., P. A. (2005). Detection of genetic markers of fecal indicator bacteria in lake michigan and determination of their relationship to escherichia coli densities using standard microbiological methods.</w:t>
      </w:r>
      <w:r>
        <w:t xml:space="preserve"> </w:t>
      </w:r>
      <w:r>
        <w:rPr>
          <w:i/>
        </w:rPr>
        <w:t xml:space="preserve">Applied and Environmental Microbiology</w:t>
      </w:r>
      <w:r>
        <w:t xml:space="preserve">,</w:t>
      </w:r>
      <w:r>
        <w:t xml:space="preserve"> </w:t>
      </w:r>
      <w:r>
        <w:rPr>
          <w:i/>
        </w:rPr>
        <w:t xml:space="preserve">7</w:t>
      </w:r>
      <w:r>
        <w:t xml:space="preserve">, 8305–8313.</w:t>
      </w:r>
    </w:p>
    <w:bookmarkEnd w:id="55"/>
    <w:bookmarkStart w:id="56" w:name="ref-Cassanovas_Massana2015"/>
    <w:p>
      <w:pPr>
        <w:pStyle w:val="Bibliography"/>
      </w:pPr>
      <w:r>
        <w:t xml:space="preserve">Casanovas-Massana, G.-D., A. (2015). Predicting fecal sources in waters with diverse pollution loads using general and molecular host-specific indicators and applying machine learning methods.</w:t>
      </w:r>
      <w:r>
        <w:t xml:space="preserve"> </w:t>
      </w:r>
      <w:r>
        <w:rPr>
          <w:i/>
        </w:rPr>
        <w:t xml:space="preserve">Jounral of Environmental Management</w:t>
      </w:r>
      <w:r>
        <w:t xml:space="preserve">,</w:t>
      </w:r>
      <w:r>
        <w:t xml:space="preserve"> </w:t>
      </w:r>
      <w:r>
        <w:rPr>
          <w:i/>
        </w:rPr>
        <w:t xml:space="preserve">51</w:t>
      </w:r>
      <w:r>
        <w:t xml:space="preserve">, 317–325.</w:t>
      </w:r>
    </w:p>
    <w:bookmarkEnd w:id="56"/>
    <w:bookmarkStart w:id="57"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57"/>
    <w:bookmarkStart w:id="58"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58"/>
    <w:bookmarkStart w:id="59"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59"/>
    <w:bookmarkStart w:id="60" w:name="ref-Curtis&amp;Trapp2016"/>
    <w:p>
      <w:pPr>
        <w:pStyle w:val="Bibliography"/>
      </w:pPr>
      <w:r>
        <w:t xml:space="preserve">Curtis, &amp;. T., K. (2016). Examining the colonization and survival of e. Coli from varying host sources in rainage basin sediments and stormwater.</w:t>
      </w:r>
      <w:r>
        <w:t xml:space="preserve"> </w:t>
      </w:r>
      <w:r>
        <w:rPr>
          <w:i/>
        </w:rPr>
        <w:t xml:space="preserve">Environmental Contamination Toxicology</w:t>
      </w:r>
      <w:r>
        <w:t xml:space="preserve">,</w:t>
      </w:r>
      <w:r>
        <w:t xml:space="preserve"> </w:t>
      </w:r>
      <w:r>
        <w:rPr>
          <w:i/>
        </w:rPr>
        <w:t xml:space="preserve">71</w:t>
      </w:r>
      <w:r>
        <w:t xml:space="preserve">, 183–187.</w:t>
      </w:r>
    </w:p>
    <w:bookmarkEnd w:id="60"/>
    <w:bookmarkStart w:id="61"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61"/>
    <w:bookmarkStart w:id="62"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62"/>
    <w:bookmarkStart w:id="63"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63"/>
    <w:bookmarkStart w:id="64"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4"/>
    <w:bookmarkStart w:id="65"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65"/>
    <w:bookmarkStart w:id="66" w:name="ref-Harwood2014"/>
    <w:p>
      <w:pPr>
        <w:pStyle w:val="Bibliography"/>
      </w:pPr>
      <w:r>
        <w:t xml:space="preserve">Harwood, S., V. J. (2014). Microbial source tracking markers for detection of fecal contamination in environmental waters: Relationships between pathogens and human health outcomes.</w:t>
      </w:r>
      <w:r>
        <w:t xml:space="preserve"> </w:t>
      </w:r>
      <w:r>
        <w:rPr>
          <w:i/>
        </w:rPr>
        <w:t xml:space="preserve">Federation of European Microboligical Societies Microbiology Reviews</w:t>
      </w:r>
      <w:r>
        <w:t xml:space="preserve">,</w:t>
      </w:r>
      <w:r>
        <w:t xml:space="preserve"> </w:t>
      </w:r>
      <w:r>
        <w:rPr>
          <w:i/>
        </w:rPr>
        <w:t xml:space="preserve">38</w:t>
      </w:r>
      <w:r>
        <w:t xml:space="preserve">, 1–40.</w:t>
      </w:r>
    </w:p>
    <w:bookmarkEnd w:id="66"/>
    <w:bookmarkStart w:id="67"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7"/>
    <w:bookmarkStart w:id="68"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68"/>
    <w:bookmarkStart w:id="69"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69"/>
    <w:bookmarkStart w:id="70" w:name="ref-Layton2006"/>
    <w:p>
      <w:pPr>
        <w:pStyle w:val="Bibliography"/>
      </w:pPr>
      <w:r>
        <w:t xml:space="preserve">Layton A., W. D., McKay L. (2006). Development of bacteroides 16S rRNA gene taqman-based real-time pcr assays for estimation of total, human, and bovine fecal pollution in water.</w:t>
      </w:r>
      <w:r>
        <w:t xml:space="preserve"> </w:t>
      </w:r>
      <w:r>
        <w:rPr>
          <w:i/>
        </w:rPr>
        <w:t xml:space="preserve">Applied and Environmental Microbiology</w:t>
      </w:r>
      <w:r>
        <w:t xml:space="preserve">,</w:t>
      </w:r>
      <w:r>
        <w:t xml:space="preserve"> </w:t>
      </w:r>
      <w:r>
        <w:rPr>
          <w:i/>
        </w:rPr>
        <w:t xml:space="preserve">72</w:t>
      </w:r>
      <w:r>
        <w:t xml:space="preserve">, 4214–4224.</w:t>
      </w:r>
    </w:p>
    <w:bookmarkEnd w:id="70"/>
    <w:bookmarkStart w:id="71"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71"/>
    <w:bookmarkStart w:id="72"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72"/>
    <w:bookmarkStart w:id="73"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73"/>
    <w:bookmarkStart w:id="74"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74"/>
    <w:bookmarkStart w:id="75"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75"/>
    <w:bookmarkStart w:id="76"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76"/>
    <w:bookmarkStart w:id="77"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77"/>
    <w:bookmarkStart w:id="78"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78"/>
    <w:bookmarkStart w:id="79" w:name="ref-Shanks2009"/>
    <w:p>
      <w:pPr>
        <w:pStyle w:val="Bibliography"/>
      </w:pPr>
      <w:r>
        <w:t xml:space="preserve">Shanks, K., O. (2009). Quantitative pcr for genetic markers of human fecal pollution.</w:t>
      </w:r>
      <w:r>
        <w:t xml:space="preserve"> </w:t>
      </w:r>
      <w:r>
        <w:rPr>
          <w:i/>
        </w:rPr>
        <w:t xml:space="preserve">Applied Environmental Microbiology</w:t>
      </w:r>
      <w:r>
        <w:t xml:space="preserve">,</w:t>
      </w:r>
      <w:r>
        <w:t xml:space="preserve"> </w:t>
      </w:r>
      <w:r>
        <w:rPr>
          <w:i/>
        </w:rPr>
        <w:t xml:space="preserve">75</w:t>
      </w:r>
      <w:r>
        <w:t xml:space="preserve">, 5507–5513.</w:t>
      </w:r>
    </w:p>
    <w:bookmarkEnd w:id="79"/>
    <w:bookmarkStart w:id="80" w:name="ref-Smith2010"/>
    <w:p>
      <w:pPr>
        <w:pStyle w:val="Bibliography"/>
      </w:pPr>
      <w:r>
        <w:t xml:space="preserve">Smith, S.-B., A. (2010). Novel application of a statistical technique, random forests, in a bacterial source tracking study.</w:t>
      </w:r>
      <w:r>
        <w:t xml:space="preserve"> </w:t>
      </w:r>
      <w:r>
        <w:rPr>
          <w:i/>
        </w:rPr>
        <w:t xml:space="preserve">Water Resources Research</w:t>
      </w:r>
      <w:r>
        <w:t xml:space="preserve">,</w:t>
      </w:r>
      <w:r>
        <w:t xml:space="preserve"> </w:t>
      </w:r>
      <w:r>
        <w:rPr>
          <w:i/>
        </w:rPr>
        <w:t xml:space="preserve">44</w:t>
      </w:r>
      <w:r>
        <w:t xml:space="preserve">, 4067–4076.</w:t>
      </w:r>
    </w:p>
    <w:bookmarkEnd w:id="80"/>
    <w:bookmarkStart w:id="81"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81"/>
    <w:bookmarkStart w:id="82"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82"/>
    <w:bookmarkStart w:id="83"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83"/>
    <w:bookmarkStart w:id="84" w:name="ref-Tesoriero2017"/>
    <w:p>
      <w:pPr>
        <w:pStyle w:val="Bibliography"/>
      </w:pPr>
      <w:r>
        <w:t xml:space="preserve">Tesorieo, G., A. (2017). Predicting redox-snestive contamnat concentrationsin groudnwater using random forest classification.</w:t>
      </w:r>
      <w:r>
        <w:t xml:space="preserve"> </w:t>
      </w:r>
      <w:r>
        <w:rPr>
          <w:i/>
        </w:rPr>
        <w:t xml:space="preserve">Water Resources Research</w:t>
      </w:r>
      <w:r>
        <w:t xml:space="preserve">,</w:t>
      </w:r>
      <w:r>
        <w:t xml:space="preserve"> </w:t>
      </w:r>
      <w:r>
        <w:rPr>
          <w:i/>
        </w:rPr>
        <w:t xml:space="preserve">53</w:t>
      </w:r>
      <w:r>
        <w:t xml:space="preserve">, 25–32.</w:t>
      </w:r>
    </w:p>
    <w:bookmarkEnd w:id="84"/>
    <w:bookmarkStart w:id="85"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85"/>
    <w:bookmarkStart w:id="86"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86"/>
    <w:bookmarkStart w:id="87"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87"/>
    <w:bookmarkStart w:id="88"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88"/>
    <w:bookmarkStart w:id="89" w:name="ref-Wuertz2011"/>
    <w:p>
      <w:pPr>
        <w:pStyle w:val="Bibliography"/>
      </w:pPr>
      <w:r>
        <w:t xml:space="preserve">Wuertz, W., S. (2011). Library-independent bacterial source tracking methods.</w:t>
      </w:r>
      <w:r>
        <w:t xml:space="preserve"> </w:t>
      </w:r>
      <w:r>
        <w:rPr>
          <w:i/>
        </w:rPr>
        <w:t xml:space="preserve">Microbial Source Tracking: Methods, Applications, and Case Studies</w:t>
      </w:r>
      <w:r>
        <w:t xml:space="preserve">.</w:t>
      </w:r>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2019-11-23T20:57:17Z</dcterms:created>
  <dcterms:modified xsi:type="dcterms:W3CDTF">2019-11-23T20:57:17Z</dcterms:modified>
</cp:coreProperties>
</file>