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40" w:lineRule="auto"/>
        <w:jc w:val="center"/>
      </w:pPr>
      <w:r>
        <w:rPr>
          <w:rFonts w:ascii="Calibri" w:hAnsi="Calibri" w:eastAsia="Calibri"/>
          <w:b/>
          <w:i w:val="0"/>
          <w:color w:val="C4A035"/>
          <w:sz w:val="20"/>
        </w:rPr>
        <w:t>UNIVERSIDAD AUTÓNOMA DE BUCARAMANGA</w:t>
      </w:r>
    </w:p>
    <w:p>
      <w:pPr>
        <w:spacing w:after="200" w:before="0" w:line="240" w:lineRule="auto"/>
        <w:jc w:val="center"/>
      </w:pPr>
      <w:r>
        <w:rPr>
          <w:rFonts w:ascii="Calibri" w:hAnsi="Calibri" w:eastAsia="Calibri"/>
          <w:b w:val="0"/>
          <w:i/>
          <w:color w:val="4A5568"/>
          <w:sz w:val="22"/>
        </w:rPr>
        <w:t>Dirección de Tecnologías de la Información y las Comunicaciones</w:t>
      </w:r>
    </w:p>
    <w:p>
      <w:pPr>
        <w:spacing w:after="80" w:before="0" w:line="240" w:lineRule="auto"/>
        <w:jc w:val="center"/>
      </w:pPr>
      <w:r>
        <w:rPr>
          <w:rFonts w:ascii="Calibri" w:hAnsi="Calibri" w:eastAsia="Calibri"/>
          <w:b/>
          <w:i w:val="0"/>
          <w:color w:val="1B3A5C"/>
          <w:sz w:val="44"/>
        </w:rPr>
        <w:t>Manual de operación</w:t>
      </w:r>
    </w:p>
    <w:p>
      <w:pPr>
        <w:spacing w:after="80" w:before="0" w:line="240" w:lineRule="auto"/>
        <w:jc w:val="center"/>
      </w:pPr>
      <w:r>
        <w:rPr>
          <w:rFonts w:ascii="Calibri" w:hAnsi="Calibri" w:eastAsia="Calibri"/>
          <w:b w:val="0"/>
          <w:i/>
          <w:color w:val="4A5568"/>
          <w:sz w:val="28"/>
        </w:rPr>
        <w:t>Portal de gestión de cuentas Gmail institucionales</w:t>
      </w:r>
    </w:p>
    <w:p>
      <w:pPr>
        <w:spacing w:after="80" w:before="0" w:line="240" w:lineRule="auto"/>
        <w:jc w:val="center"/>
      </w:pPr>
      <w:r>
        <w:rPr>
          <w:rFonts w:ascii="Calibri" w:hAnsi="Calibri" w:eastAsia="Calibri"/>
          <w:b w:val="0"/>
          <w:i w:val="0"/>
          <w:color w:val="1A202C"/>
          <w:sz w:val="22"/>
        </w:rPr>
        <w:t>Depuración de cuentas · Campaña 2FA · Seguimiento en SharePoint</w:t>
      </w:r>
    </w:p>
    <w:p>
      <w:pPr>
        <w:spacing w:after="320" w:before="0" w:line="240" w:lineRule="auto"/>
        <w:jc w:val="center"/>
      </w:pPr>
      <w:r>
        <w:rPr>
          <w:rFonts w:ascii="Calibri" w:hAnsi="Calibri" w:eastAsia="Calibri"/>
          <w:b w:val="0"/>
          <w:i/>
          <w:color w:val="4A5568"/>
          <w:sz w:val="20"/>
        </w:rPr>
        <w:t>Versión septiembre 2026  ·  Documento para uso general del área</w:t>
      </w:r>
    </w:p>
    <w:p>
      <w:pPr>
        <w:pStyle w:val="Heading1"/>
        <w:spacing w:before="320" w:after="160"/>
      </w:pPr>
      <w:r>
        <w:rPr>
          <w:rFonts w:ascii="Calibri" w:hAnsi="Calibri" w:eastAsia="Calibri"/>
          <w:b/>
          <w:i w:val="0"/>
          <w:color w:val="1B3A5C"/>
          <w:sz w:val="32"/>
        </w:rPr>
        <w:t>1. Propósito</w:t>
      </w:r>
    </w:p>
    <w:p>
      <w:pPr>
        <w:spacing w:after="160" w:before="0" w:line="240" w:lineRule="auto"/>
        <w:jc w:val="both"/>
      </w:pPr>
      <w:r>
        <w:rPr>
          <w:rFonts w:ascii="Calibri" w:hAnsi="Calibri" w:eastAsia="Calibri"/>
          <w:b w:val="0"/>
          <w:i w:val="0"/>
          <w:color w:val="1A202C"/>
          <w:sz w:val="22"/>
        </w:rPr>
        <w:t>Este portal reúne en un solo enlace el seguimiento de cuentas Gmail institucionales: depuración de cuentas (inventario, bloqueos, inactividad); campaña de autenticación en dos pasos (2FA) de estudiantes vigentes; y registro de la meta del proyecto y de las acciones realizadas. No es necesario saber programar para consultar el portal ni para la actualización periódica de archivos.</w:t>
      </w:r>
    </w:p>
    <w:p>
      <w:pPr>
        <w:spacing w:after="40" w:before="0" w:line="240" w:lineRule="auto"/>
      </w:pPr>
      <w:r>
        <w:rPr>
          <w:rFonts w:ascii="Calibri" w:hAnsi="Calibri" w:eastAsia="Calibri"/>
          <w:b/>
          <w:i w:val="0"/>
          <w:color w:val="1A202C"/>
          <w:sz w:val="22"/>
        </w:rPr>
        <w:t>Dirección del portal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color w:val="1B3A5C"/>
          <w:sz w:val="20"/>
        </w:rPr>
        <w:t>https://unabedu.sharepoint.com/sites/ProyectoDepuracinGmail/SitePages/CollabHome.aspx</w:t>
      </w:r>
    </w:p>
    <w:p>
      <w:pPr>
        <w:spacing w:after="160" w:before="0" w:line="240" w:lineRule="auto"/>
        <w:jc w:val="both"/>
      </w:pPr>
      <w:r>
        <w:rPr>
          <w:rFonts w:ascii="Calibri" w:hAnsi="Calibri" w:eastAsia="Calibri"/>
          <w:b w:val="0"/>
          <w:i w:val="0"/>
          <w:color w:val="1A202C"/>
          <w:sz w:val="22"/>
        </w:rPr>
        <w:t>El sitio SharePoint se llama Proyecto Depuración Gmail. Es un grupo privado: solo entra quien tenga permiso explícito.</w:t>
      </w:r>
    </w:p>
    <w:p>
      <w:pPr>
        <w:pStyle w:val="Heading1"/>
        <w:spacing w:before="320" w:after="160"/>
      </w:pPr>
      <w:r>
        <w:rPr>
          <w:rFonts w:ascii="Calibri" w:hAnsi="Calibri" w:eastAsia="Calibri"/>
          <w:b/>
          <w:i w:val="0"/>
          <w:color w:val="1B3A5C"/>
          <w:sz w:val="32"/>
        </w:rPr>
        <w:t>2. Qué hay en el portal (tres piezas)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381"/>
            <w:shd w:fill="1B3A5C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Pieza</w:t>
            </w:r>
          </w:p>
        </w:tc>
        <w:tc>
          <w:tcPr>
            <w:tcW w:type="dxa" w:w="3118"/>
            <w:shd w:fill="1B3A5C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Qué se ve</w:t>
            </w:r>
          </w:p>
        </w:tc>
        <w:tc>
          <w:tcPr>
            <w:tcW w:type="dxa" w:w="3685"/>
            <w:shd w:fill="1B3A5C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Cómo se mantiene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18"/>
              </w:rPr>
              <w:t>Tablero Power BI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18"/>
              </w:rPr>
              <w:t>Totales, estados de cuenta, avance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18"/>
              </w:rPr>
              <w:t>Tres CSV en etl/output y listas. Power BI se actualiza cada hora.</w:t>
            </w:r>
          </w:p>
        </w:tc>
      </w:tr>
      <w:tr>
        <w:tc>
          <w:tcPr>
            <w:tcW w:type="dxa" w:w="2381"/>
            <w:shd w:fill="F7FAF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18"/>
              </w:rPr>
              <w:t>Resumen 2FA</w:t>
            </w:r>
          </w:p>
        </w:tc>
        <w:tc>
          <w:tcPr>
            <w:tcW w:type="dxa" w:w="3118"/>
            <w:shd w:fill="F7FAF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18"/>
              </w:rPr>
              <w:t>Cobertura por facultad y pendientes</w:t>
            </w:r>
          </w:p>
        </w:tc>
        <w:tc>
          <w:tcPr>
            <w:tcW w:type="dxa" w:w="3685"/>
            <w:shd w:fill="F7FAF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18"/>
              </w:rPr>
              <w:t>Informe HTML y un CSV de pendientes en etl/output.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18"/>
              </w:rPr>
              <w:t>Listas SharePoint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18"/>
              </w:rPr>
              <w:t>Meta del proyecto y bitácora de acciones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18"/>
              </w:rPr>
              <w:t>Se editan en el sitio, a mano. No las genera el actualizador.</w:t>
            </w:r>
          </w:p>
        </w:tc>
      </w:tr>
    </w:tbl>
    <w:p/>
    <w:p>
      <w:pPr>
        <w:spacing w:after="160" w:before="0" w:line="240" w:lineRule="auto"/>
        <w:jc w:val="both"/>
      </w:pPr>
      <w:r>
        <w:rPr>
          <w:rFonts w:ascii="Calibri" w:hAnsi="Calibri" w:eastAsia="Calibri"/>
          <w:b w:val="0"/>
          <w:i w:val="0"/>
          <w:color w:val="1A202C"/>
          <w:sz w:val="22"/>
        </w:rPr>
        <w:t>Las listas no son archivos. No se «suben». Se abren en el menú izquierdo (MetaProyecto, Acciones) y se editan como una tabla. Los números del inventario no salen de las listas Cuentas / Dependencias / capacidad. Salen de los CSV cuentas_powerbi.csv, dependencias_powerbi.csv y capacidad_powerbi.csv.</w:t>
      </w:r>
    </w:p>
    <w:p>
      <w:pPr>
        <w:pStyle w:val="Heading1"/>
        <w:spacing w:before="320" w:after="160"/>
      </w:pPr>
      <w:r>
        <w:rPr>
          <w:rFonts w:ascii="Calibri" w:hAnsi="Calibri" w:eastAsia="Calibri"/>
          <w:b/>
          <w:i w:val="0"/>
          <w:color w:val="1B3A5C"/>
          <w:sz w:val="32"/>
        </w:rPr>
        <w:t>3. Quién hace qué y cómo se da acceso</w:t>
      </w:r>
    </w:p>
    <w:p>
      <w:pPr>
        <w:spacing w:after="160" w:before="0" w:line="240" w:lineRule="auto"/>
        <w:jc w:val="both"/>
      </w:pPr>
      <w:r>
        <w:rPr>
          <w:rFonts w:ascii="Calibri" w:hAnsi="Calibri" w:eastAsia="Calibri"/>
          <w:b w:val="0"/>
          <w:i w:val="0"/>
          <w:color w:val="1A202C"/>
          <w:sz w:val="22"/>
        </w:rPr>
        <w:t>Hay dos perfiles. Se asignan en SharePoint. Si el informe está incrustado en el sitio, en muchos casos basta el permiso del sitio; si el tablero pide licencia, se da acceso también en Power BI (apartado 3.3).</w:t>
      </w:r>
    </w:p>
    <w:p>
      <w:pPr>
        <w:pStyle w:val="Heading2"/>
        <w:spacing w:before="240" w:after="160"/>
      </w:pPr>
      <w:r>
        <w:rPr>
          <w:rFonts w:ascii="Calibri" w:hAnsi="Calibri" w:eastAsia="Calibri"/>
          <w:b/>
          <w:i w:val="0"/>
          <w:color w:val="1B3A5C"/>
          <w:sz w:val="26"/>
        </w:rPr>
        <w:t>3.1 Consulta (revisar)</w:t>
      </w:r>
    </w:p>
    <w:p>
      <w:pPr>
        <w:spacing w:after="160" w:before="0" w:line="240" w:lineRule="auto"/>
        <w:jc w:val="both"/>
      </w:pPr>
      <w:r>
        <w:rPr>
          <w:rFonts w:ascii="Calibri" w:hAnsi="Calibri" w:eastAsia="Calibri"/>
          <w:b w:val="0"/>
          <w:i w:val="0"/>
          <w:color w:val="1A202C"/>
          <w:sz w:val="22"/>
        </w:rPr>
        <w:t>Puede abrir el portal, ver el tablero, el Resumen 2FA y las listas. No reemplaza archivos en etl/output.</w:t>
      </w:r>
    </w:p>
    <w:p>
      <w:pPr>
        <w:spacing w:after="80" w:before="0" w:line="240" w:lineRule="auto"/>
      </w:pPr>
      <w:r>
        <w:rPr>
          <w:rFonts w:ascii="Calibri" w:hAnsi="Calibri" w:eastAsia="Calibri"/>
          <w:b/>
          <w:i w:val="0"/>
          <w:color w:val="1A202C"/>
          <w:sz w:val="22"/>
        </w:rPr>
        <w:t>Cómo dar este acceso</w:t>
      </w:r>
    </w:p>
    <w:p>
      <w:pPr>
        <w:spacing w:after="60" w:before="0" w:line="240" w:lineRule="auto"/>
      </w:pPr>
      <w:r>
        <w:rPr>
          <w:rFonts w:ascii="Calibri" w:hAnsi="Calibri" w:eastAsia="Calibri"/>
          <w:b w:val="0"/>
          <w:i w:val="0"/>
          <w:color w:val="1A202C"/>
          <w:sz w:val="22"/>
        </w:rPr>
        <w:t>1. Entre al sitio Proyecto Depuración Gmail.</w:t>
      </w:r>
    </w:p>
    <w:p>
      <w:pPr>
        <w:spacing w:after="60" w:before="0" w:line="240" w:lineRule="auto"/>
      </w:pPr>
      <w:r>
        <w:rPr>
          <w:rFonts w:ascii="Calibri" w:hAnsi="Calibri" w:eastAsia="Calibri"/>
          <w:b w:val="0"/>
          <w:i w:val="0"/>
          <w:color w:val="1A202C"/>
          <w:sz w:val="22"/>
        </w:rPr>
        <w:t>2. Arriba a la derecha: engranaje → Permisos del sitio (o Información del sitio → Permisos).</w:t>
      </w:r>
    </w:p>
    <w:p>
      <w:pPr>
        <w:spacing w:after="60" w:before="0" w:line="240" w:lineRule="auto"/>
      </w:pPr>
      <w:r>
        <w:rPr>
          <w:rFonts w:ascii="Calibri" w:hAnsi="Calibri" w:eastAsia="Calibri"/>
          <w:b w:val="0"/>
          <w:i w:val="0"/>
          <w:color w:val="1A202C"/>
          <w:sz w:val="22"/>
        </w:rPr>
        <w:t>3. Compartir sitio (o Invitar a personas).</w:t>
      </w:r>
    </w:p>
    <w:p>
      <w:pPr>
        <w:spacing w:after="60" w:before="0" w:line="240" w:lineRule="auto"/>
      </w:pPr>
      <w:r>
        <w:rPr>
          <w:rFonts w:ascii="Calibri" w:hAnsi="Calibri" w:eastAsia="Calibri"/>
          <w:b w:val="0"/>
          <w:i w:val="0"/>
          <w:color w:val="1A202C"/>
          <w:sz w:val="22"/>
        </w:rPr>
        <w:t>4. Escriba el correo institucional de la persona.</w:t>
      </w:r>
    </w:p>
    <w:p>
      <w:pPr>
        <w:spacing w:after="60" w:before="0" w:line="240" w:lineRule="auto"/>
      </w:pPr>
      <w:r>
        <w:rPr>
          <w:rFonts w:ascii="Calibri" w:hAnsi="Calibri" w:eastAsia="Calibri"/>
          <w:b w:val="0"/>
          <w:i w:val="0"/>
          <w:color w:val="1A202C"/>
          <w:sz w:val="22"/>
        </w:rPr>
        <w:t>5. Nivel: Lectura (o grupo Visitantes).</w:t>
      </w:r>
    </w:p>
    <w:p>
      <w:pPr>
        <w:spacing w:after="60" w:before="0" w:line="240" w:lineRule="auto"/>
      </w:pPr>
      <w:r>
        <w:rPr>
          <w:rFonts w:ascii="Calibri" w:hAnsi="Calibri" w:eastAsia="Calibri"/>
          <w:b w:val="0"/>
          <w:i w:val="0"/>
          <w:color w:val="1A202C"/>
          <w:sz w:val="22"/>
        </w:rPr>
        <w:t>6. Confirme. La persona recibe correo o verá el sitio en SharePoint.</w:t>
      </w:r>
    </w:p>
    <w:p>
      <w:pPr>
        <w:spacing w:after="160" w:before="0" w:line="240" w:lineRule="auto"/>
        <w:jc w:val="both"/>
      </w:pPr>
      <w:r>
        <w:rPr>
          <w:rFonts w:ascii="Calibri" w:hAnsi="Calibri" w:eastAsia="Calibri"/>
          <w:b w:val="0"/>
          <w:i w:val="0"/>
          <w:color w:val="1A202C"/>
          <w:sz w:val="22"/>
        </w:rPr>
        <w:t>También puede usar Compartir en la página de inicio y elegir «Puede ver».</w:t>
      </w:r>
    </w:p>
    <w:p>
      <w:pPr>
        <w:pStyle w:val="Heading2"/>
        <w:spacing w:before="240" w:after="160"/>
      </w:pPr>
      <w:r>
        <w:rPr>
          <w:rFonts w:ascii="Calibri" w:hAnsi="Calibri" w:eastAsia="Calibri"/>
          <w:b/>
          <w:i w:val="0"/>
          <w:color w:val="1B3A5C"/>
          <w:sz w:val="26"/>
        </w:rPr>
        <w:t>3.2 Operación (cargar archivos y editar listas)</w:t>
      </w:r>
    </w:p>
    <w:p>
      <w:pPr>
        <w:spacing w:after="160" w:before="0" w:line="240" w:lineRule="auto"/>
        <w:jc w:val="both"/>
      </w:pPr>
      <w:r>
        <w:rPr>
          <w:rFonts w:ascii="Calibri" w:hAnsi="Calibri" w:eastAsia="Calibri"/>
          <w:b w:val="0"/>
          <w:i w:val="0"/>
          <w:color w:val="1A202C"/>
          <w:sz w:val="22"/>
        </w:rPr>
        <w:t>Puede subir los seis archivos a etl/output, editar MetaProyecto y Acciones, y usar actualizar.bat en el equipo del área.</w:t>
      </w:r>
    </w:p>
    <w:p>
      <w:pPr>
        <w:spacing w:after="160" w:before="0" w:line="240" w:lineRule="auto"/>
        <w:jc w:val="both"/>
      </w:pPr>
      <w:r>
        <w:rPr>
          <w:rFonts w:ascii="Calibri" w:hAnsi="Calibri" w:eastAsia="Calibri"/>
          <w:b w:val="0"/>
          <w:i w:val="0"/>
          <w:color w:val="1A202C"/>
          <w:sz w:val="22"/>
        </w:rPr>
        <w:t>Cómo dar este acceso: mismos pasos 1 a 4 de consulta, con nivel Edición (grupo Miembros).</w:t>
      </w:r>
    </w:p>
    <w:p>
      <w:pPr>
        <w:spacing w:after="160" w:before="0" w:line="240" w:lineRule="auto"/>
        <w:jc w:val="both"/>
      </w:pPr>
      <w:r>
        <w:rPr>
          <w:rFonts w:ascii="Calibri" w:hAnsi="Calibri" w:eastAsia="Calibri"/>
          <w:b w:val="0"/>
          <w:i w:val="0"/>
          <w:color w:val="1A202C"/>
          <w:sz w:val="22"/>
        </w:rPr>
        <w:t>Quien opera no debe dejar etl/input abierto a todo el sitio: esa carpeta guarda CSV de origen. En la carpeta input: … → Administrar acceso → dejar solo al personal de operación.</w:t>
      </w:r>
    </w:p>
    <w:p>
      <w:pPr>
        <w:pStyle w:val="Heading2"/>
        <w:spacing w:before="240" w:after="160"/>
      </w:pPr>
      <w:r>
        <w:rPr>
          <w:rFonts w:ascii="Calibri" w:hAnsi="Calibri" w:eastAsia="Calibri"/>
          <w:b/>
          <w:i w:val="0"/>
          <w:color w:val="1B3A5C"/>
          <w:sz w:val="26"/>
        </w:rPr>
        <w:t>3.3 Power BI</w:t>
      </w:r>
    </w:p>
    <w:p>
      <w:pPr>
        <w:spacing w:after="80" w:before="0" w:line="240" w:lineRule="auto"/>
        <w:jc w:val="both"/>
      </w:pPr>
      <w:r>
        <w:rPr>
          <w:rFonts w:ascii="Calibri" w:hAnsi="Calibri" w:eastAsia="Calibri"/>
          <w:b w:val="0"/>
          <w:i w:val="0"/>
          <w:color w:val="1A202C"/>
          <w:sz w:val="22"/>
        </w:rPr>
        <w:t>Si al abrir el tablero pide licencia o «no tiene permiso»:</w:t>
      </w:r>
    </w:p>
    <w:p>
      <w:pPr>
        <w:spacing w:after="60" w:before="0" w:line="240" w:lineRule="auto"/>
      </w:pPr>
      <w:r>
        <w:rPr>
          <w:rFonts w:ascii="Calibri" w:hAnsi="Calibri" w:eastAsia="Calibri"/>
          <w:b w:val="0"/>
          <w:i w:val="0"/>
          <w:color w:val="1A202C"/>
          <w:sz w:val="22"/>
        </w:rPr>
        <w:t>1. En app.powerbi.com abra el área de trabajo del informe.</w:t>
      </w:r>
    </w:p>
    <w:p>
      <w:pPr>
        <w:spacing w:after="60" w:before="0" w:line="240" w:lineRule="auto"/>
      </w:pPr>
      <w:r>
        <w:rPr>
          <w:rFonts w:ascii="Calibri" w:hAnsi="Calibri" w:eastAsia="Calibri"/>
          <w:b w:val="0"/>
          <w:i w:val="0"/>
          <w:color w:val="1A202C"/>
          <w:sz w:val="22"/>
        </w:rPr>
        <w:t>2. Acceso (o Compartir informe).</w:t>
      </w:r>
    </w:p>
    <w:p>
      <w:pPr>
        <w:spacing w:after="60" w:before="0" w:line="240" w:lineRule="auto"/>
      </w:pPr>
      <w:r>
        <w:rPr>
          <w:rFonts w:ascii="Calibri" w:hAnsi="Calibri" w:eastAsia="Calibri"/>
          <w:b w:val="0"/>
          <w:i w:val="0"/>
          <w:color w:val="1A202C"/>
          <w:sz w:val="22"/>
        </w:rPr>
        <w:t>3. Agregue el mismo correo, rol Visor (consulta) o Colaborador (si debe refrescar el conjunto de datos).</w:t>
      </w:r>
    </w:p>
    <w:p>
      <w:pPr>
        <w:pStyle w:val="Heading1"/>
        <w:spacing w:before="320" w:after="160"/>
      </w:pPr>
      <w:r>
        <w:rPr>
          <w:rFonts w:ascii="Calibri" w:hAnsi="Calibri" w:eastAsia="Calibri"/>
          <w:b/>
          <w:i w:val="0"/>
          <w:color w:val="1B3A5C"/>
          <w:sz w:val="32"/>
        </w:rPr>
        <w:t>4. Cómo consultar (uso diario)</w:t>
      </w:r>
    </w:p>
    <w:p>
      <w:pPr>
        <w:spacing w:after="60" w:before="0" w:line="240" w:lineRule="auto"/>
      </w:pPr>
      <w:r>
        <w:rPr>
          <w:rFonts w:ascii="Calibri" w:hAnsi="Calibri" w:eastAsia="Calibri"/>
          <w:b w:val="0"/>
          <w:i w:val="0"/>
          <w:color w:val="1A202C"/>
          <w:sz w:val="22"/>
        </w:rPr>
        <w:t>1. Abra el enlace del portal (sección 1). Inicie sesión con la cuenta UNAB.</w:t>
      </w:r>
    </w:p>
    <w:p>
      <w:pPr>
        <w:spacing w:after="60" w:before="0" w:line="240" w:lineRule="auto"/>
      </w:pPr>
      <w:r>
        <w:rPr>
          <w:rFonts w:ascii="Calibri" w:hAnsi="Calibri" w:eastAsia="Calibri"/>
          <w:b w:val="0"/>
          <w:i w:val="0"/>
          <w:color w:val="1A202C"/>
          <w:sz w:val="22"/>
        </w:rPr>
        <w:t>2. En la portada verá el tablero de depuración.</w:t>
      </w:r>
    </w:p>
    <w:p>
      <w:pPr>
        <w:spacing w:after="60" w:before="0" w:line="240" w:lineRule="auto"/>
      </w:pPr>
      <w:r>
        <w:rPr>
          <w:rFonts w:ascii="Calibri" w:hAnsi="Calibri" w:eastAsia="Calibri"/>
          <w:b w:val="0"/>
          <w:i w:val="0"/>
          <w:color w:val="1A202C"/>
          <w:sz w:val="22"/>
        </w:rPr>
        <w:t>3. Resumen 2FA: abre el informe de estudiantes vigentes sin 2FA. Use facultad y programa. Descargar CSV pendientes abre un Excel; filtre la columna facultad.</w:t>
      </w:r>
    </w:p>
    <w:p>
      <w:pPr>
        <w:spacing w:after="60" w:before="0" w:line="240" w:lineRule="auto"/>
      </w:pPr>
      <w:r>
        <w:rPr>
          <w:rFonts w:ascii="Calibri" w:hAnsi="Calibri" w:eastAsia="Calibri"/>
          <w:b w:val="0"/>
          <w:i w:val="0"/>
          <w:color w:val="1A202C"/>
          <w:sz w:val="22"/>
        </w:rPr>
        <w:t>4. MetaProyecto: consulte o ajuste la meta (solo con permiso de edición).</w:t>
      </w:r>
    </w:p>
    <w:p>
      <w:pPr>
        <w:spacing w:after="60" w:before="0" w:line="240" w:lineRule="auto"/>
      </w:pPr>
      <w:r>
        <w:rPr>
          <w:rFonts w:ascii="Calibri" w:hAnsi="Calibri" w:eastAsia="Calibri"/>
          <w:b w:val="0"/>
          <w:i w:val="0"/>
          <w:color w:val="1A202C"/>
          <w:sz w:val="22"/>
        </w:rPr>
        <w:t>5. Acciones: consulte o registre lo ejecutado (bloqueos, comunicados, cierres de lote).</w:t>
      </w:r>
    </w:p>
    <w:p>
      <w:pPr>
        <w:spacing w:after="160" w:before="0" w:line="240" w:lineRule="auto"/>
        <w:jc w:val="both"/>
      </w:pPr>
      <w:r>
        <w:rPr>
          <w:rFonts w:ascii="Calibri" w:hAnsi="Calibri" w:eastAsia="Calibri"/>
          <w:b w:val="0"/>
          <w:i w:val="0"/>
          <w:color w:val="1A202C"/>
          <w:sz w:val="22"/>
        </w:rPr>
        <w:t>Si el tablero se ve desactualizado, espere el refresco horario o pida a quien opera «Actualizar ahora» en Power BI.</w:t>
      </w:r>
    </w:p>
    <w:p>
      <w:pPr>
        <w:pStyle w:val="Heading1"/>
        <w:spacing w:before="320" w:after="160"/>
      </w:pPr>
      <w:r>
        <w:rPr>
          <w:rFonts w:ascii="Calibri" w:hAnsi="Calibri" w:eastAsia="Calibri"/>
          <w:b/>
          <w:i w:val="0"/>
          <w:color w:val="1B3A5C"/>
          <w:sz w:val="32"/>
        </w:rPr>
        <w:t>5. Actualización periódica de datos (quien opera)</w:t>
      </w:r>
    </w:p>
    <w:p>
      <w:pPr>
        <w:spacing w:after="160" w:before="0" w:line="240" w:lineRule="auto"/>
        <w:jc w:val="both"/>
      </w:pPr>
      <w:r>
        <w:rPr>
          <w:rFonts w:ascii="Calibri" w:hAnsi="Calibri" w:eastAsia="Calibri"/>
          <w:b w:val="0"/>
          <w:i w:val="0"/>
          <w:color w:val="1A202C"/>
          <w:sz w:val="22"/>
        </w:rPr>
        <w:t>Frecuencia sugerida: cada vez que haya un corte nuevo de Google Admin (típicamente mensual).</w:t>
      </w:r>
    </w:p>
    <w:p>
      <w:pPr>
        <w:pStyle w:val="Heading2"/>
        <w:spacing w:before="240" w:after="160"/>
      </w:pPr>
      <w:r>
        <w:rPr>
          <w:rFonts w:ascii="Calibri" w:hAnsi="Calibri" w:eastAsia="Calibri"/>
          <w:b/>
          <w:i w:val="0"/>
          <w:color w:val="1B3A5C"/>
          <w:sz w:val="26"/>
        </w:rPr>
        <w:t>5.1 Qué reunir en UNA carpeta del PC (entrada)</w:t>
      </w:r>
    </w:p>
    <w:p>
      <w:pPr>
        <w:spacing w:after="160" w:before="0" w:line="240" w:lineRule="auto"/>
        <w:jc w:val="both"/>
      </w:pPr>
      <w:r>
        <w:rPr>
          <w:rFonts w:ascii="Calibri" w:hAnsi="Calibri" w:eastAsia="Calibri"/>
          <w:b w:val="0"/>
          <w:i w:val="0"/>
          <w:color w:val="1A202C"/>
          <w:sz w:val="22"/>
        </w:rPr>
        <w:t>Solo insumos de sistemas. No mezcle aquí los HTML ni los CSV *_powerbi.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fill="1B3A5C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Archivo</w:t>
            </w:r>
          </w:p>
        </w:tc>
        <w:tc>
          <w:tcPr>
            <w:tcW w:type="dxa" w:w="1814"/>
            <w:shd w:fill="1B3A5C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Obligatorio</w:t>
            </w:r>
          </w:p>
        </w:tc>
        <w:tc>
          <w:tcPr>
            <w:tcW w:type="dxa" w:w="4535"/>
            <w:shd w:fill="1B3A5C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Origen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18"/>
              </w:rPr>
              <w:t>User_Download_….csv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18"/>
              </w:rPr>
              <w:t>Sí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18"/>
              </w:rPr>
              <w:t>Google Admin Console → informe de usuarios (todas las cuentas del dominio).</w:t>
            </w:r>
          </w:p>
        </w:tc>
      </w:tr>
      <w:tr>
        <w:tc>
          <w:tcPr>
            <w:tcW w:type="dxa" w:w="2835"/>
            <w:shd w:fill="F7FAF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18"/>
              </w:rPr>
              <w:t>CSV de inscritos o prematriculados (uno o varios)</w:t>
            </w:r>
          </w:p>
        </w:tc>
        <w:tc>
          <w:tcPr>
            <w:tcW w:type="dxa" w:w="1814"/>
            <w:shd w:fill="F7FAF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18"/>
              </w:rPr>
              <w:t>Sí (para 2FA)</w:t>
            </w:r>
          </w:p>
        </w:tc>
        <w:tc>
          <w:tcPr>
            <w:tcW w:type="dxa" w:w="4535"/>
            <w:shd w:fill="F7FAF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18"/>
              </w:rPr>
              <w:t>Extracto académico del periodo.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18"/>
              </w:rPr>
              <w:t>VISTA DE CURRICULO.xlsx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18"/>
              </w:rPr>
              <w:t>No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18"/>
              </w:rPr>
              <w:t>Catálogo de planes.</w:t>
            </w:r>
          </w:p>
        </w:tc>
      </w:tr>
    </w:tbl>
    <w:p/>
    <w:p>
      <w:pPr>
        <w:spacing w:after="160" w:before="0" w:line="240" w:lineRule="auto"/>
        <w:jc w:val="both"/>
      </w:pPr>
      <w:r>
        <w:rPr>
          <w:rFonts w:ascii="Calibri" w:hAnsi="Calibri" w:eastAsia="Calibri"/>
          <w:b w:val="0"/>
          <w:i w:val="0"/>
          <w:color w:val="1A202C"/>
          <w:sz w:val="22"/>
        </w:rPr>
        <w:t>El mismo User_Download sirve para el tablero de depuración y para el cruce 2FA.</w:t>
      </w:r>
    </w:p>
    <w:p>
      <w:pPr>
        <w:pStyle w:val="Heading2"/>
        <w:spacing w:before="240" w:after="160"/>
      </w:pPr>
      <w:r>
        <w:rPr>
          <w:rFonts w:ascii="Calibri" w:hAnsi="Calibri" w:eastAsia="Calibri"/>
          <w:b/>
          <w:i w:val="0"/>
          <w:color w:val="1B3A5C"/>
          <w:sz w:val="26"/>
        </w:rPr>
        <w:t>5.2 Ejecutar el actualizador</w:t>
      </w:r>
    </w:p>
    <w:p>
      <w:pPr>
        <w:spacing w:after="60" w:before="0" w:line="240" w:lineRule="auto"/>
      </w:pPr>
      <w:r>
        <w:rPr>
          <w:rFonts w:ascii="Calibri" w:hAnsi="Calibri" w:eastAsia="Calibri"/>
          <w:b w:val="0"/>
          <w:i w:val="0"/>
          <w:color w:val="1A202C"/>
          <w:sz w:val="22"/>
        </w:rPr>
        <w:t>1. En el equipo del área: doble clic en Python-Prep\cruce_cuentas\actualizar.bat.</w:t>
      </w:r>
    </w:p>
    <w:p>
      <w:pPr>
        <w:spacing w:after="60" w:before="0" w:line="240" w:lineRule="auto"/>
      </w:pPr>
      <w:r>
        <w:rPr>
          <w:rFonts w:ascii="Calibri" w:hAnsi="Calibri" w:eastAsia="Calibri"/>
          <w:b w:val="0"/>
          <w:i w:val="0"/>
          <w:color w:val="1A202C"/>
          <w:sz w:val="22"/>
        </w:rPr>
        <w:t>2. Cuando pida la ruta: en el Explorador abra la carpeta del 5.1, clic en la barra de dirección, copie (Ctrl+C) y pegue en la ventana azul. Enter.</w:t>
      </w:r>
    </w:p>
    <w:p>
      <w:pPr>
        <w:spacing w:after="60" w:before="0" w:line="240" w:lineRule="auto"/>
      </w:pPr>
      <w:r>
        <w:rPr>
          <w:rFonts w:ascii="Calibri" w:hAnsi="Calibri" w:eastAsia="Calibri"/>
          <w:b w:val="0"/>
          <w:i w:val="0"/>
          <w:color w:val="1A202C"/>
          <w:sz w:val="22"/>
        </w:rPr>
        <w:t>3. Espere 1 a 3 minutos. Debe aparecer LISTO.</w:t>
      </w:r>
    </w:p>
    <w:p>
      <w:pPr>
        <w:spacing w:after="60" w:before="0" w:line="240" w:lineRule="auto"/>
      </w:pPr>
      <w:r>
        <w:rPr>
          <w:rFonts w:ascii="Calibri" w:hAnsi="Calibri" w:eastAsia="Calibri"/>
          <w:b w:val="0"/>
          <w:i w:val="0"/>
          <w:color w:val="1A202C"/>
          <w:sz w:val="22"/>
        </w:rPr>
        <w:t>4. Se abre una carpeta en el escritorio: Archivos_SharePoint_AAAA-MM-DD (la fecha del día evita mezclar cortes).</w:t>
      </w:r>
    </w:p>
    <w:p>
      <w:pPr>
        <w:pStyle w:val="Heading2"/>
        <w:spacing w:before="240" w:after="160"/>
      </w:pPr>
      <w:r>
        <w:rPr>
          <w:rFonts w:ascii="Calibri" w:hAnsi="Calibri" w:eastAsia="Calibri"/>
          <w:b/>
          <w:i w:val="0"/>
          <w:color w:val="1B3A5C"/>
          <w:sz w:val="26"/>
        </w:rPr>
        <w:t>5.3 Qué hay que cargar en SharePoint (solo seis archivos)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969"/>
            <w:shd w:fill="1B3A5C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Archivo</w:t>
            </w:r>
          </w:p>
        </w:tc>
        <w:tc>
          <w:tcPr>
            <w:tcW w:type="dxa" w:w="5216"/>
            <w:shd w:fill="1B3A5C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Función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18"/>
              </w:rPr>
              <w:t>cuentas_powerbi.csv</w:t>
            </w:r>
          </w:p>
        </w:tc>
        <w:tc>
          <w:tcPr>
            <w:tcW w:type="dxa" w:w="521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18"/>
              </w:rPr>
              <w:t>Tablero: detalle de cuentas</w:t>
            </w:r>
          </w:p>
        </w:tc>
      </w:tr>
      <w:tr>
        <w:tc>
          <w:tcPr>
            <w:tcW w:type="dxa" w:w="3969"/>
            <w:shd w:fill="F7FAF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18"/>
              </w:rPr>
              <w:t>dependencias_powerbi.csv</w:t>
            </w:r>
          </w:p>
        </w:tc>
        <w:tc>
          <w:tcPr>
            <w:tcW w:type="dxa" w:w="5216"/>
            <w:shd w:fill="F7FAF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18"/>
              </w:rPr>
              <w:t>Tablero: resumen por dependencia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18"/>
              </w:rPr>
              <w:t>capacidad_powerbi.csv</w:t>
            </w:r>
          </w:p>
        </w:tc>
        <w:tc>
          <w:tcPr>
            <w:tcW w:type="dxa" w:w="521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18"/>
              </w:rPr>
              <w:t>Tablero: licencias e inventario</w:t>
            </w:r>
          </w:p>
        </w:tc>
      </w:tr>
      <w:tr>
        <w:tc>
          <w:tcPr>
            <w:tcW w:type="dxa" w:w="3969"/>
            <w:shd w:fill="F7FAF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18"/>
              </w:rPr>
              <w:t>resumen.html</w:t>
            </w:r>
          </w:p>
        </w:tc>
        <w:tc>
          <w:tcPr>
            <w:tcW w:type="dxa" w:w="5216"/>
            <w:shd w:fill="F7FAF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18"/>
              </w:rPr>
              <w:t>Informe 2FA para consulta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18"/>
              </w:rPr>
              <w:t>listado_sin_2fa.html</w:t>
            </w:r>
          </w:p>
        </w:tc>
        <w:tc>
          <w:tcPr>
            <w:tcW w:type="dxa" w:w="521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18"/>
              </w:rPr>
              <w:t>Listado 2FA de trabajo</w:t>
            </w:r>
          </w:p>
        </w:tc>
      </w:tr>
      <w:tr>
        <w:tc>
          <w:tcPr>
            <w:tcW w:type="dxa" w:w="3969"/>
            <w:shd w:fill="F7FAF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18"/>
              </w:rPr>
              <w:t>02_estudiantes_sin_2fa.csv</w:t>
            </w:r>
          </w:p>
        </w:tc>
        <w:tc>
          <w:tcPr>
            <w:tcW w:type="dxa" w:w="5216"/>
            <w:shd w:fill="F7FAF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18"/>
              </w:rPr>
              <w:t>Descarga de pendientes (filtrar facultad en Excel)</w:t>
            </w:r>
          </w:p>
        </w:tc>
      </w:tr>
    </w:tbl>
    <w:p/>
    <w:p>
      <w:pPr>
        <w:spacing w:after="160" w:before="0" w:line="240" w:lineRule="auto"/>
        <w:jc w:val="both"/>
      </w:pPr>
      <w:r>
        <w:rPr>
          <w:rFonts w:ascii="Calibri" w:hAnsi="Calibri" w:eastAsia="Calibri"/>
          <w:b w:val="0"/>
          <w:i w:val="0"/>
          <w:color w:val="1A202C"/>
          <w:sz w:val="22"/>
        </w:rPr>
        <w:t>No suba el archivo LEAME, ni los sin_2fa_….csv por facultad, ni 00_universo.csv. Esos quedan en el PC, en cruce_cuentas\salida\.</w:t>
      </w:r>
    </w:p>
    <w:p>
      <w:pPr>
        <w:pStyle w:val="Heading2"/>
        <w:spacing w:before="240" w:after="160"/>
      </w:pPr>
      <w:r>
        <w:rPr>
          <w:rFonts w:ascii="Calibri" w:hAnsi="Calibri" w:eastAsia="Calibri"/>
          <w:b/>
          <w:i w:val="0"/>
          <w:color w:val="1B3A5C"/>
          <w:sz w:val="26"/>
        </w:rPr>
        <w:t>5.4 Cómo cargar</w:t>
      </w:r>
    </w:p>
    <w:p>
      <w:pPr>
        <w:spacing w:after="60" w:before="0" w:line="240" w:lineRule="auto"/>
      </w:pPr>
      <w:r>
        <w:rPr>
          <w:rFonts w:ascii="Calibri" w:hAnsi="Calibri" w:eastAsia="Calibri"/>
          <w:b w:val="0"/>
          <w:i w:val="0"/>
          <w:color w:val="1A202C"/>
          <w:sz w:val="22"/>
        </w:rPr>
        <w:t>1. En el sitio: Documentos → carpeta etl → output.</w:t>
      </w:r>
    </w:p>
    <w:p>
      <w:pPr>
        <w:spacing w:after="60" w:before="0" w:line="240" w:lineRule="auto"/>
      </w:pPr>
      <w:r>
        <w:rPr>
          <w:rFonts w:ascii="Calibri" w:hAnsi="Calibri" w:eastAsia="Calibri"/>
          <w:b w:val="0"/>
          <w:i w:val="0"/>
          <w:color w:val="1A202C"/>
          <w:sz w:val="22"/>
        </w:rPr>
        <w:t>2. Seleccione los seis archivos de la carpeta del escritorio.</w:t>
      </w:r>
    </w:p>
    <w:p>
      <w:pPr>
        <w:spacing w:after="60" w:before="0" w:line="240" w:lineRule="auto"/>
      </w:pPr>
      <w:r>
        <w:rPr>
          <w:rFonts w:ascii="Calibri" w:hAnsi="Calibri" w:eastAsia="Calibri"/>
          <w:b w:val="0"/>
          <w:i w:val="0"/>
          <w:color w:val="1A202C"/>
          <w:sz w:val="22"/>
        </w:rPr>
        <w:t>3. Arrástrelos a output.</w:t>
      </w:r>
    </w:p>
    <w:p>
      <w:pPr>
        <w:spacing w:after="60" w:before="0" w:line="240" w:lineRule="auto"/>
      </w:pPr>
      <w:r>
        <w:rPr>
          <w:rFonts w:ascii="Calibri" w:hAnsi="Calibri" w:eastAsia="Calibri"/>
          <w:b w:val="0"/>
          <w:i w:val="0"/>
          <w:color w:val="1A202C"/>
          <w:sz w:val="22"/>
        </w:rPr>
        <w:t>4. Si pregunta ¿Reemplazar?, elija Reemplazar.</w:t>
      </w:r>
    </w:p>
    <w:p>
      <w:pPr>
        <w:spacing w:after="60" w:before="0" w:line="240" w:lineRule="auto"/>
      </w:pPr>
      <w:r>
        <w:rPr>
          <w:rFonts w:ascii="Calibri" w:hAnsi="Calibri" w:eastAsia="Calibri"/>
          <w:b w:val="0"/>
          <w:i w:val="0"/>
          <w:color w:val="1A202C"/>
          <w:sz w:val="22"/>
        </w:rPr>
        <w:t>5. Abra el portal y compruebe el Resumen 2FA (fecha del corte).</w:t>
      </w:r>
    </w:p>
    <w:p>
      <w:pPr>
        <w:spacing w:after="60" w:before="0" w:line="240" w:lineRule="auto"/>
      </w:pPr>
      <w:r>
        <w:rPr>
          <w:rFonts w:ascii="Calibri" w:hAnsi="Calibri" w:eastAsia="Calibri"/>
          <w:b w:val="0"/>
          <w:i w:val="0"/>
          <w:color w:val="1A202C"/>
          <w:sz w:val="22"/>
        </w:rPr>
        <w:t>6. Power BI: se verá el corte en la próxima hora, o Actualizar ahora en el conjunto de datos (app.powerbi.com).</w:t>
      </w:r>
    </w:p>
    <w:p>
      <w:pPr>
        <w:pStyle w:val="Heading2"/>
        <w:spacing w:before="240" w:after="160"/>
      </w:pPr>
      <w:r>
        <w:rPr>
          <w:rFonts w:ascii="Calibri" w:hAnsi="Calibri" w:eastAsia="Calibri"/>
          <w:b/>
          <w:i w:val="0"/>
          <w:color w:val="1B3A5C"/>
          <w:sz w:val="26"/>
        </w:rPr>
        <w:t>5.5 Power BI — programación cada hora (una sola vez)</w:t>
      </w:r>
    </w:p>
    <w:p>
      <w:pPr>
        <w:spacing w:after="60" w:before="0" w:line="240" w:lineRule="auto"/>
      </w:pPr>
      <w:r>
        <w:rPr>
          <w:rFonts w:ascii="Calibri" w:hAnsi="Calibri" w:eastAsia="Calibri"/>
          <w:b w:val="0"/>
          <w:i w:val="0"/>
          <w:color w:val="1A202C"/>
          <w:sz w:val="22"/>
        </w:rPr>
        <w:t>1. Entre a https://app.powerbi.com con cuenta UNAB.</w:t>
      </w:r>
    </w:p>
    <w:p>
      <w:pPr>
        <w:spacing w:after="60" w:before="0" w:line="240" w:lineRule="auto"/>
      </w:pPr>
      <w:r>
        <w:rPr>
          <w:rFonts w:ascii="Calibri" w:hAnsi="Calibri" w:eastAsia="Calibri"/>
          <w:b w:val="0"/>
          <w:i w:val="0"/>
          <w:color w:val="1A202C"/>
          <w:sz w:val="22"/>
        </w:rPr>
        <w:t>2. Área de trabajo del proyecto → el conjunto de datos (no el informe).</w:t>
      </w:r>
    </w:p>
    <w:p>
      <w:pPr>
        <w:spacing w:after="60" w:before="0" w:line="240" w:lineRule="auto"/>
      </w:pPr>
      <w:r>
        <w:rPr>
          <w:rFonts w:ascii="Calibri" w:hAnsi="Calibri" w:eastAsia="Calibri"/>
          <w:b w:val="0"/>
          <w:i w:val="0"/>
          <w:color w:val="1A202C"/>
          <w:sz w:val="22"/>
        </w:rPr>
        <w:t>3. … → Configuración → Actualización programada.</w:t>
      </w:r>
    </w:p>
    <w:p>
      <w:pPr>
        <w:spacing w:after="60" w:before="0" w:line="240" w:lineRule="auto"/>
      </w:pPr>
      <w:r>
        <w:rPr>
          <w:rFonts w:ascii="Calibri" w:hAnsi="Calibri" w:eastAsia="Calibri"/>
          <w:b w:val="0"/>
          <w:i w:val="0"/>
          <w:color w:val="1A202C"/>
          <w:sz w:val="22"/>
        </w:rPr>
        <w:t>4. Activar. Frecuencia: Cada hora. Zona: Bogotá.</w:t>
      </w:r>
    </w:p>
    <w:p>
      <w:pPr>
        <w:spacing w:after="60" w:before="0" w:line="240" w:lineRule="auto"/>
      </w:pPr>
      <w:r>
        <w:rPr>
          <w:rFonts w:ascii="Calibri" w:hAnsi="Calibri" w:eastAsia="Calibri"/>
          <w:b w:val="0"/>
          <w:i w:val="0"/>
          <w:color w:val="1A202C"/>
          <w:sz w:val="22"/>
        </w:rPr>
        <w:t>5. Guardar.</w:t>
      </w:r>
    </w:p>
    <w:p>
      <w:pPr>
        <w:spacing w:after="160" w:before="0" w:line="240" w:lineRule="auto"/>
        <w:jc w:val="both"/>
      </w:pPr>
      <w:r>
        <w:rPr>
          <w:rFonts w:ascii="Calibri" w:hAnsi="Calibri" w:eastAsia="Calibri"/>
          <w:b w:val="0"/>
          <w:i w:val="0"/>
          <w:color w:val="1A202C"/>
          <w:sz w:val="22"/>
        </w:rPr>
        <w:t>No es necesario volver a publicar el archivo .pbix si las fuentes ya apuntan a SharePoint.</w:t>
      </w:r>
    </w:p>
    <w:p>
      <w:pPr>
        <w:pStyle w:val="Heading2"/>
        <w:spacing w:before="240" w:after="160"/>
      </w:pPr>
      <w:r>
        <w:rPr>
          <w:rFonts w:ascii="Calibri" w:hAnsi="Calibri" w:eastAsia="Calibri"/>
          <w:b/>
          <w:i w:val="0"/>
          <w:color w:val="1B3A5C"/>
          <w:sz w:val="26"/>
        </w:rPr>
        <w:t>5.6 Error Premium_ASWL_Error / Workspace Identity (el tablero no refresca)</w:t>
      </w:r>
    </w:p>
    <w:p>
      <w:pPr>
        <w:spacing w:after="160" w:before="0" w:line="240" w:lineRule="auto"/>
        <w:jc w:val="both"/>
      </w:pPr>
      <w:r>
        <w:rPr>
          <w:rFonts w:ascii="Calibri" w:hAnsi="Calibri" w:eastAsia="Calibri"/>
          <w:b w:val="0"/>
          <w:i w:val="0"/>
          <w:color w:val="1A202C"/>
          <w:sz w:val="22"/>
        </w:rPr>
        <w:t>Este error no se debe a los CSV. El conjunto de datos está autenticado con «identidad del área de trabajo» (Workspace Identity) y esa identidad no existe, o quien publica el modelo no tiene permiso de Colaborador (o superior) en el área de trabajo de Power BI.</w:t>
      </w:r>
    </w:p>
    <w:p>
      <w:pPr>
        <w:spacing w:after="160" w:before="0" w:line="240" w:lineRule="auto"/>
      </w:pPr>
      <w:r>
        <w:rPr>
          <w:rFonts w:ascii="Calibri" w:hAnsi="Calibri" w:eastAsia="Calibri"/>
          <w:b/>
          <w:i w:val="0"/>
          <w:color w:val="1A202C"/>
          <w:sz w:val="22"/>
        </w:rPr>
        <w:t>Camino rápido (recomendado para este portal): cuenta organizacional, no identidad del área.</w:t>
      </w:r>
    </w:p>
    <w:p>
      <w:pPr>
        <w:spacing w:after="60" w:before="0" w:line="240" w:lineRule="auto"/>
      </w:pPr>
      <w:r>
        <w:rPr>
          <w:rFonts w:ascii="Calibri" w:hAnsi="Calibri" w:eastAsia="Calibri"/>
          <w:b w:val="0"/>
          <w:i w:val="0"/>
          <w:color w:val="1A202C"/>
          <w:sz w:val="22"/>
        </w:rPr>
        <w:t>1. Entre a https://app.powerbi.com</w:t>
      </w:r>
    </w:p>
    <w:p>
      <w:pPr>
        <w:spacing w:after="60" w:before="0" w:line="240" w:lineRule="auto"/>
      </w:pPr>
      <w:r>
        <w:rPr>
          <w:rFonts w:ascii="Calibri" w:hAnsi="Calibri" w:eastAsia="Calibri"/>
          <w:b w:val="0"/>
          <w:i w:val="0"/>
          <w:color w:val="1A202C"/>
          <w:sz w:val="22"/>
        </w:rPr>
        <w:t>2. Área de trabajo del informe → el conjunto de datos (modelo semántico) → … → Configuración.</w:t>
      </w:r>
    </w:p>
    <w:p>
      <w:pPr>
        <w:spacing w:after="60" w:before="0" w:line="240" w:lineRule="auto"/>
      </w:pPr>
      <w:r>
        <w:rPr>
          <w:rFonts w:ascii="Calibri" w:hAnsi="Calibri" w:eastAsia="Calibri"/>
          <w:b w:val="0"/>
          <w:i w:val="0"/>
          <w:color w:val="1A202C"/>
          <w:sz w:val="22"/>
        </w:rPr>
        <w:t>3. Abra Credenciales del origen de datos.</w:t>
      </w:r>
    </w:p>
    <w:p>
      <w:pPr>
        <w:spacing w:after="60" w:before="0" w:line="240" w:lineRule="auto"/>
      </w:pPr>
      <w:r>
        <w:rPr>
          <w:rFonts w:ascii="Calibri" w:hAnsi="Calibri" w:eastAsia="Calibri"/>
          <w:b w:val="0"/>
          <w:i w:val="0"/>
          <w:color w:val="1A202C"/>
          <w:sz w:val="22"/>
        </w:rPr>
        <w:t>4. En cada origen SharePoint (carpeta etl/output y listas): Editar credenciales.</w:t>
      </w:r>
    </w:p>
    <w:p>
      <w:pPr>
        <w:spacing w:after="60" w:before="0" w:line="240" w:lineRule="auto"/>
      </w:pPr>
      <w:r>
        <w:rPr>
          <w:rFonts w:ascii="Calibri" w:hAnsi="Calibri" w:eastAsia="Calibri"/>
          <w:b w:val="0"/>
          <w:i w:val="0"/>
          <w:color w:val="1A202C"/>
          <w:sz w:val="22"/>
        </w:rPr>
        <w:t>5. Método de autenticación: OAuth2 o Cuenta organizacional (no «Identidad del área de trabajo»).</w:t>
      </w:r>
    </w:p>
    <w:p>
      <w:pPr>
        <w:spacing w:after="60" w:before="0" w:line="240" w:lineRule="auto"/>
      </w:pPr>
      <w:r>
        <w:rPr>
          <w:rFonts w:ascii="Calibri" w:hAnsi="Calibri" w:eastAsia="Calibri"/>
          <w:b w:val="0"/>
          <w:i w:val="0"/>
          <w:color w:val="1A202C"/>
          <w:sz w:val="22"/>
        </w:rPr>
        <w:t>6. Inicie sesión con una cuenta institucional que sí tenga acceso al sitio Proyecto Depuración Gmail.</w:t>
      </w:r>
    </w:p>
    <w:p>
      <w:pPr>
        <w:spacing w:after="60" w:before="0" w:line="240" w:lineRule="auto"/>
      </w:pPr>
      <w:r>
        <w:rPr>
          <w:rFonts w:ascii="Calibri" w:hAnsi="Calibri" w:eastAsia="Calibri"/>
          <w:b w:val="0"/>
          <w:i w:val="0"/>
          <w:color w:val="1A202C"/>
          <w:sz w:val="22"/>
        </w:rPr>
        <w:t>7. Nivel de privacidad: Organizacional.</w:t>
      </w:r>
    </w:p>
    <w:p>
      <w:pPr>
        <w:spacing w:after="60" w:before="0" w:line="240" w:lineRule="auto"/>
      </w:pPr>
      <w:r>
        <w:rPr>
          <w:rFonts w:ascii="Calibri" w:hAnsi="Calibri" w:eastAsia="Calibri"/>
          <w:b w:val="0"/>
          <w:i w:val="0"/>
          <w:color w:val="1A202C"/>
          <w:sz w:val="22"/>
        </w:rPr>
        <w:t>8. Guardar → Actualizar ahora.</w:t>
      </w:r>
    </w:p>
    <w:p>
      <w:pPr>
        <w:spacing w:after="160" w:before="0" w:line="240" w:lineRule="auto"/>
      </w:pPr>
      <w:r>
        <w:rPr>
          <w:rFonts w:ascii="Calibri" w:hAnsi="Calibri" w:eastAsia="Calibri"/>
          <w:b/>
          <w:i w:val="0"/>
          <w:color w:val="1A202C"/>
          <w:sz w:val="22"/>
        </w:rPr>
        <w:t>Camino alternativo: crear la identidad del área de trabajo.</w:t>
      </w:r>
    </w:p>
    <w:p>
      <w:pPr>
        <w:spacing w:after="60" w:before="0" w:line="240" w:lineRule="auto"/>
      </w:pPr>
      <w:r>
        <w:rPr>
          <w:rFonts w:ascii="Calibri" w:hAnsi="Calibri" w:eastAsia="Calibri"/>
          <w:b w:val="0"/>
          <w:i w:val="0"/>
          <w:color w:val="1A202C"/>
          <w:sz w:val="22"/>
        </w:rPr>
        <w:t>1. Área de trabajo → Configuración del área de trabajo → Identidad del área de trabajo → Crear.</w:t>
      </w:r>
    </w:p>
    <w:p>
      <w:pPr>
        <w:spacing w:after="60" w:before="0" w:line="240" w:lineRule="auto"/>
      </w:pPr>
      <w:r>
        <w:rPr>
          <w:rFonts w:ascii="Calibri" w:hAnsi="Calibri" w:eastAsia="Calibri"/>
          <w:b w:val="0"/>
          <w:i w:val="0"/>
          <w:color w:val="1A202C"/>
          <w:sz w:val="22"/>
        </w:rPr>
        <w:t>2. Dé a esa identidad acceso al sitio SharePoint (al menos lectura en etl/output y listas).</w:t>
      </w:r>
    </w:p>
    <w:p>
      <w:pPr>
        <w:spacing w:after="60" w:before="0" w:line="240" w:lineRule="auto"/>
      </w:pPr>
      <w:r>
        <w:rPr>
          <w:rFonts w:ascii="Calibri" w:hAnsi="Calibri" w:eastAsia="Calibri"/>
          <w:b w:val="0"/>
          <w:i w:val="0"/>
          <w:color w:val="1A202C"/>
          <w:sz w:val="22"/>
        </w:rPr>
        <w:t>3. Quien es propietario del modelo debe ser Colaborador o superior en el área de trabajo de Power BI.</w:t>
      </w:r>
    </w:p>
    <w:p>
      <w:pPr>
        <w:spacing w:after="60" w:before="0" w:line="240" w:lineRule="auto"/>
      </w:pPr>
      <w:r>
        <w:rPr>
          <w:rFonts w:ascii="Calibri" w:hAnsi="Calibri" w:eastAsia="Calibri"/>
          <w:b w:val="0"/>
          <w:i w:val="0"/>
          <w:color w:val="1A202C"/>
          <w:sz w:val="22"/>
        </w:rPr>
        <w:t>4. Actualizar ahora.</w:t>
      </w:r>
    </w:p>
    <w:p>
      <w:pPr>
        <w:spacing w:after="160" w:before="0" w:line="240" w:lineRule="auto"/>
        <w:jc w:val="both"/>
      </w:pPr>
      <w:r>
        <w:rPr>
          <w:rFonts w:ascii="Calibri" w:hAnsi="Calibri" w:eastAsia="Calibri"/>
          <w:b w:val="0"/>
          <w:i w:val="0"/>
          <w:color w:val="1A202C"/>
          <w:sz w:val="22"/>
        </w:rPr>
        <w:t>Si el área de trabajo no es de capacidad Fabric/Premium, use el primer camino (OAuth2).</w:t>
      </w:r>
    </w:p>
    <w:p>
      <w:pPr>
        <w:pStyle w:val="Heading1"/>
        <w:spacing w:before="320" w:after="160"/>
      </w:pPr>
      <w:r>
        <w:rPr>
          <w:rFonts w:ascii="Calibri" w:hAnsi="Calibri" w:eastAsia="Calibri"/>
          <w:b/>
          <w:i w:val="0"/>
          <w:color w:val="1B3A5C"/>
          <w:sz w:val="32"/>
        </w:rPr>
        <w:t>6. Listas: MetaProyecto y Acciones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fill="1B3A5C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Lista</w:t>
            </w:r>
          </w:p>
        </w:tc>
        <w:tc>
          <w:tcPr>
            <w:tcW w:type="dxa" w:w="3685"/>
            <w:shd w:fill="1B3A5C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Para qué</w:t>
            </w:r>
          </w:p>
        </w:tc>
        <w:tc>
          <w:tcPr>
            <w:tcW w:type="dxa" w:w="3231"/>
            <w:shd w:fill="1B3A5C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Quién la cambia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18"/>
              </w:rPr>
              <w:t>MetaProyecto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18"/>
              </w:rPr>
              <w:t>Meta de depuración, fechas, proyección</w:t>
            </w:r>
          </w:p>
        </w:tc>
        <w:tc>
          <w:tcPr>
            <w:tcW w:type="dxa" w:w="3231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18"/>
              </w:rPr>
              <w:t>Quien define la meta del periodo</w:t>
            </w:r>
          </w:p>
        </w:tc>
      </w:tr>
      <w:tr>
        <w:tc>
          <w:tcPr>
            <w:tcW w:type="dxa" w:w="2268"/>
            <w:shd w:fill="F7FAF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18"/>
              </w:rPr>
              <w:t>Acciones</w:t>
            </w:r>
          </w:p>
        </w:tc>
        <w:tc>
          <w:tcPr>
            <w:tcW w:type="dxa" w:w="3685"/>
            <w:shd w:fill="F7FAF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18"/>
              </w:rPr>
              <w:t>Bitácora (qué se hizo, cuándo)</w:t>
            </w:r>
          </w:p>
        </w:tc>
        <w:tc>
          <w:tcPr>
            <w:tcW w:type="dxa" w:w="3231"/>
            <w:shd w:fill="F7FAF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18"/>
              </w:rPr>
              <w:t>Quien ejecuta la operación</w:t>
            </w:r>
          </w:p>
        </w:tc>
      </w:tr>
    </w:tbl>
    <w:p/>
    <w:p>
      <w:pPr>
        <w:spacing w:after="160" w:before="0" w:line="240" w:lineRule="auto"/>
        <w:jc w:val="both"/>
      </w:pPr>
      <w:r>
        <w:rPr>
          <w:rFonts w:ascii="Calibri" w:hAnsi="Calibri" w:eastAsia="Calibri"/>
          <w:b w:val="0"/>
          <w:i w:val="0"/>
          <w:color w:val="1A202C"/>
          <w:sz w:val="22"/>
        </w:rPr>
        <w:t>Para editar: menú izquierdo → nombre de la lista → Editar o + Nuevo. En minutos u hora, Power BI lo toma. Si cambia la meta y el tablero no se mueve, no regenere CSV: edite la lista y refresque Power BI.</w:t>
      </w:r>
    </w:p>
    <w:p>
      <w:pPr>
        <w:pStyle w:val="Heading1"/>
        <w:spacing w:before="320" w:after="160"/>
      </w:pPr>
      <w:r>
        <w:rPr>
          <w:rFonts w:ascii="Calibri" w:hAnsi="Calibri" w:eastAsia="Calibri"/>
          <w:b/>
          <w:i w:val="0"/>
          <w:color w:val="1B3A5C"/>
          <w:sz w:val="32"/>
        </w:rPr>
        <w:t>7. Flujo resumido</w:t>
      </w:r>
    </w:p>
    <w:p>
      <w:pPr>
        <w:spacing w:after="160" w:before="0" w:line="240" w:lineRule="auto"/>
        <w:jc w:val="both"/>
      </w:pPr>
      <w:r>
        <w:rPr>
          <w:rFonts w:ascii="Calibri" w:hAnsi="Calibri" w:eastAsia="Calibri"/>
          <w:b w:val="0"/>
          <w:i w:val="0"/>
          <w:color w:val="1A202C"/>
          <w:sz w:val="22"/>
        </w:rPr>
        <w:t>Carpeta del corte (Google Admin + inscritos) → doble clic en actualizar.bat → Escritorio\Archivos_SharePoint_fecha (6 archivos) → arrastrar a SharePoint etl/output → tablero (cada hora) y botón Resumen 2FA. Listas MetaProyecto / Acciones se editan en el sitio y entran en el mismo refresco horario.</w:t>
      </w:r>
    </w:p>
    <w:p>
      <w:pPr>
        <w:pStyle w:val="Heading1"/>
        <w:spacing w:before="320" w:after="160"/>
      </w:pPr>
      <w:r>
        <w:rPr>
          <w:rFonts w:ascii="Calibri" w:hAnsi="Calibri" w:eastAsia="Calibri"/>
          <w:b/>
          <w:i w:val="0"/>
          <w:color w:val="1B3A5C"/>
          <w:sz w:val="32"/>
        </w:rPr>
        <w:t>8. Incidencias frecuentes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288"/>
            <w:shd w:fill="1B3A5C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Qué ocurre</w:t>
            </w:r>
          </w:p>
        </w:tc>
        <w:tc>
          <w:tcPr>
            <w:tcW w:type="dxa" w:w="5896"/>
            <w:shd w:fill="1B3A5C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Qué hacer</w:t>
            </w:r>
          </w:p>
        </w:tc>
      </w:tr>
      <w:tr>
        <w:tc>
          <w:tcPr>
            <w:tcW w:type="dxa" w:w="328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18"/>
              </w:rPr>
              <w:t>No se encontró Python</w:t>
            </w:r>
          </w:p>
        </w:tc>
        <w:tc>
          <w:tcPr>
            <w:tcW w:type="dxa" w:w="589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18"/>
              </w:rPr>
              <w:t>Instalar Python desde python.org y marcar Add Python to PATH.</w:t>
            </w:r>
          </w:p>
        </w:tc>
      </w:tr>
      <w:tr>
        <w:tc>
          <w:tcPr>
            <w:tcW w:type="dxa" w:w="3288"/>
            <w:shd w:fill="F7FAF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18"/>
              </w:rPr>
              <w:t>No hallé export Google</w:t>
            </w:r>
          </w:p>
        </w:tc>
        <w:tc>
          <w:tcPr>
            <w:tcW w:type="dxa" w:w="5896"/>
            <w:shd w:fill="F7FAF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18"/>
              </w:rPr>
              <w:t>El archivo debe ser User_Download… y estar en la carpeta que pegó.</w:t>
            </w:r>
          </w:p>
        </w:tc>
      </w:tr>
      <w:tr>
        <w:tc>
          <w:tcPr>
            <w:tcW w:type="dxa" w:w="328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18"/>
              </w:rPr>
              <w:t>No hallé CSV de inscritos</w:t>
            </w:r>
          </w:p>
        </w:tc>
        <w:tc>
          <w:tcPr>
            <w:tcW w:type="dxa" w:w="589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18"/>
              </w:rPr>
              <w:t>Faltan los archivos académicos en esa misma carpeta.</w:t>
            </w:r>
          </w:p>
        </w:tc>
      </w:tr>
      <w:tr>
        <w:tc>
          <w:tcPr>
            <w:tcW w:type="dxa" w:w="3288"/>
            <w:shd w:fill="F7FAF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18"/>
              </w:rPr>
              <w:t>El tablero no cambia</w:t>
            </w:r>
          </w:p>
        </w:tc>
        <w:tc>
          <w:tcPr>
            <w:tcW w:type="dxa" w:w="5896"/>
            <w:shd w:fill="F7FAF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18"/>
              </w:rPr>
              <w:t>Confirme que reemplazó los tres *_powerbi.csv. Pulse Actualizar ahora.</w:t>
            </w:r>
          </w:p>
        </w:tc>
      </w:tr>
      <w:tr>
        <w:tc>
          <w:tcPr>
            <w:tcW w:type="dxa" w:w="328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18"/>
              </w:rPr>
              <w:t>Error Premium_ASWL / Workspace Identity</w:t>
            </w:r>
          </w:p>
        </w:tc>
        <w:tc>
          <w:tcPr>
            <w:tcW w:type="dxa" w:w="589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18"/>
              </w:rPr>
              <w:t>Apartado 5.6: cambiar credenciales a cuenta organizacional (OAuth2).</w:t>
            </w:r>
          </w:p>
        </w:tc>
      </w:tr>
      <w:tr>
        <w:tc>
          <w:tcPr>
            <w:tcW w:type="dxa" w:w="3288"/>
            <w:shd w:fill="F7FAF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18"/>
              </w:rPr>
              <w:t>La meta no cambia</w:t>
            </w:r>
          </w:p>
        </w:tc>
        <w:tc>
          <w:tcPr>
            <w:tcW w:type="dxa" w:w="5896"/>
            <w:shd w:fill="F7FAF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18"/>
              </w:rPr>
              <w:t>Edite MetaProyecto, no un CSV.</w:t>
            </w:r>
          </w:p>
        </w:tc>
      </w:tr>
      <w:tr>
        <w:tc>
          <w:tcPr>
            <w:tcW w:type="dxa" w:w="328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18"/>
              </w:rPr>
              <w:t>404 al descargar pendientes</w:t>
            </w:r>
          </w:p>
        </w:tc>
        <w:tc>
          <w:tcPr>
            <w:tcW w:type="dxa" w:w="589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18"/>
              </w:rPr>
              <w:t>Falta 02_estudiantes_sin_2fa.csv en etl/output, junto al HTML.</w:t>
            </w:r>
          </w:p>
        </w:tc>
      </w:tr>
      <w:tr>
        <w:tc>
          <w:tcPr>
            <w:tcW w:type="dxa" w:w="3288"/>
            <w:shd w:fill="F7FAF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18"/>
              </w:rPr>
              <w:t>No aparece la carpeta en el escritorio</w:t>
            </w:r>
          </w:p>
        </w:tc>
        <w:tc>
          <w:tcPr>
            <w:tcW w:type="dxa" w:w="5896"/>
            <w:shd w:fill="F7FAF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18"/>
              </w:rPr>
              <w:t>Busque Escritorio o Desktop. El actualizador la abre al terminar.</w:t>
            </w:r>
          </w:p>
        </w:tc>
      </w:tr>
      <w:tr>
        <w:tc>
          <w:tcPr>
            <w:tcW w:type="dxa" w:w="328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18"/>
              </w:rPr>
              <w:t>No tiene acceso al sitio</w:t>
            </w:r>
          </w:p>
        </w:tc>
        <w:tc>
          <w:tcPr>
            <w:tcW w:type="dxa" w:w="589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18"/>
              </w:rPr>
              <w:t>Pedir inclusión con lectura o edición (sección 3).</w:t>
            </w:r>
          </w:p>
        </w:tc>
      </w:tr>
      <w:tr>
        <w:tc>
          <w:tcPr>
            <w:tcW w:type="dxa" w:w="3288"/>
            <w:shd w:fill="F7FAF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18"/>
              </w:rPr>
              <w:t>El HTML 2FA se ve raro</w:t>
            </w:r>
          </w:p>
        </w:tc>
        <w:tc>
          <w:tcPr>
            <w:tcW w:type="dxa" w:w="5896"/>
            <w:shd w:fill="F7FAFC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202C"/>
                <w:sz w:val="18"/>
              </w:rPr>
              <w:t>Ábralo en pestaña nueva, no solo en la vista previa de SharePoint.</w:t>
            </w:r>
          </w:p>
        </w:tc>
      </w:tr>
    </w:tbl>
    <w:p/>
    <w:p>
      <w:pPr>
        <w:pStyle w:val="Heading1"/>
        <w:spacing w:before="320" w:after="160"/>
      </w:pPr>
      <w:r>
        <w:rPr>
          <w:rFonts w:ascii="Calibri" w:hAnsi="Calibri" w:eastAsia="Calibri"/>
          <w:b/>
          <w:i w:val="0"/>
          <w:color w:val="1B3A5C"/>
          <w:sz w:val="32"/>
        </w:rPr>
        <w:t>9. Datos personales</w:t>
      </w:r>
    </w:p>
    <w:p>
      <w:pPr>
        <w:spacing w:after="160" w:before="0" w:line="240" w:lineRule="auto"/>
        <w:jc w:val="both"/>
      </w:pPr>
      <w:r>
        <w:rPr>
          <w:rFonts w:ascii="Calibri" w:hAnsi="Calibri" w:eastAsia="Calibri"/>
          <w:b w:val="0"/>
          <w:i w:val="0"/>
          <w:color w:val="1A202C"/>
          <w:sz w:val="22"/>
        </w:rPr>
        <w:t>Los CSV de origen y el universo de cuentas contienen información sensible. Trabaje en el equipo del área. No publique etl/input ni 00_universo.csv en el portal de consulta. No envíe listados de correos por canales no institucionales.</w:t>
      </w:r>
    </w:p>
    <w:p>
      <w:pPr>
        <w:pStyle w:val="Heading1"/>
        <w:spacing w:before="320" w:after="160"/>
      </w:pPr>
      <w:r>
        <w:rPr>
          <w:rFonts w:ascii="Calibri" w:hAnsi="Calibri" w:eastAsia="Calibri"/>
          <w:b/>
          <w:i w:val="0"/>
          <w:color w:val="1B3A5C"/>
          <w:sz w:val="32"/>
        </w:rPr>
        <w:t>10. Soporte</w:t>
      </w:r>
    </w:p>
    <w:p>
      <w:pPr>
        <w:spacing w:after="40" w:before="0" w:line="240" w:lineRule="auto"/>
      </w:pPr>
      <w:r>
        <w:rPr>
          <w:rFonts w:ascii="Calibri" w:hAnsi="Calibri" w:eastAsia="Calibri"/>
          <w:b/>
          <w:i w:val="0"/>
          <w:color w:val="1A202C"/>
          <w:sz w:val="22"/>
        </w:rPr>
        <w:t>Estadísticas TIC — Dirección de TIC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color w:val="1A202C"/>
          <w:sz w:val="22"/>
        </w:rPr>
        <w:t>Universidad Autónoma de Bucaramanga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/>
        <w:color w:val="4A5568"/>
        <w:sz w:val="16"/>
      </w:rPr>
      <w:t>Uso interno del área  ·  No publicar CSV de origen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Calibri" w:hAnsi="Calibri" w:eastAsia="Calibri"/>
        <w:b w:val="0"/>
        <w:i w:val="0"/>
        <w:color w:val="1B3A5C"/>
        <w:sz w:val="18"/>
      </w:rPr>
      <w:t>UNAB  ·  Dirección de TIC  ·  Estadísticas TIC  ·  Portal de cuentas Gmail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