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A5CF0"/>
          <w:sz w:val="20"/>
          <w:szCs w:val="20"/>
        </w:rPr>
        <w:t xml:space="preserve">GREEK LIFE — ALL-IN-ONE APP</w:t>
      </w:r>
    </w:p>
    <w:p>
      <w:pPr>
        <w:spacing w:after="80"/>
      </w:pPr>
      <w:r>
        <w:rPr>
          <w:b/>
          <w:bCs/>
          <w:sz w:val="44"/>
          <w:szCs w:val="44"/>
        </w:rPr>
        <w:t xml:space="preserve">Launch Plan &amp; Monetization Strategy</w:t>
      </w:r>
    </w:p>
    <w:p>
      <w:pPr>
        <w:pBdr>
          <w:bottom w:val="single" w:color="5A5CF0" w:sz="6" w:space="4"/>
        </w:pBdr>
        <w:spacing w:after="240"/>
      </w:pPr>
      <w:r>
        <w:rPr>
          <w:color w:val="666666"/>
          <w:sz w:val="20"/>
          <w:szCs w:val="20"/>
        </w:rPr>
        <w:t xml:space="preserve">Cooper Parrish · Ceejay Raut   |   Plan date 07/08/2026   |   Launch target 08/31/2026</w:t>
      </w:r>
    </w:p>
    <w:p>
      <w:pPr>
        <w:pStyle w:val="Heading1"/>
      </w:pPr>
      <w:r>
        <w:t xml:space="preserve">1. Where We Are vs. the Original Gantt</w:t>
      </w:r>
    </w:p>
    <w:p>
      <w:pPr>
        <w:spacing w:after="120"/>
      </w:pPr>
      <w:r>
        <w:t xml:space="preserve">The original development schedule had the calendar engine finishing the week of 07/13/26. As of 07/08 the repository held planning documents but no application code, so this plan re-baselines Phase 2 while holding the 08/31 launch date. Working in our favor: the v7 database schema, complete row-level-security policy set, and the full five-screen navigation shell (Home, Map, Chats, Calendar, Feed) now exist in the repo, recovering roughly three weeks of slip in a single step.</w:t>
      </w:r>
    </w:p>
    <w:p>
      <w:pPr>
        <w:pStyle w:val="Heading2"/>
      </w:pPr>
      <w:r>
        <w:t xml:space="preserve">Re-baselined schedule (07/08 → 08/31)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100"/>
        <w:gridCol w:w="1100"/>
        <w:gridCol w:w="4260"/>
      </w:tblGrid>
      <w:tr>
        <w:tc>
          <w:tcPr>
            <w:tcW w:type="dxa" w:w="2900"/>
            <w:tcBorders>
              <w:top w:val="single" w:color="CCCCCC" w:sz="1"/>
              <w:left w:val="single" w:color="CCCCCC" w:sz="1"/>
              <w:bottom w:val="single" w:color="CCCCCC" w:sz="1"/>
              <w:right w:val="single" w:color="CCCCCC" w:sz="1"/>
            </w:tcBorders>
            <w:shd w:fill="EDEDFB" w:val="clear"/>
            <w:tcMar>
              <w:top w:type="dxa" w:w="80"/>
              <w:left w:type="dxa" w:w="120"/>
              <w:bottom w:type="dxa" w:w="80"/>
              <w:right w:type="dxa" w:w="120"/>
            </w:tcMar>
          </w:tcPr>
          <w:p>
            <w:r>
              <w:rPr>
                <w:b/>
                <w:bCs/>
                <w:sz w:val="20"/>
                <w:szCs w:val="20"/>
              </w:rPr>
              <w:t xml:space="preserve">Milestone</w:t>
            </w:r>
          </w:p>
        </w:tc>
        <w:tc>
          <w:tcPr>
            <w:tcW w:type="dxa" w:w="1100"/>
            <w:tcBorders>
              <w:top w:val="single" w:color="CCCCCC" w:sz="1"/>
              <w:left w:val="single" w:color="CCCCCC" w:sz="1"/>
              <w:bottom w:val="single" w:color="CCCCCC" w:sz="1"/>
              <w:right w:val="single" w:color="CCCCCC" w:sz="1"/>
            </w:tcBorders>
            <w:shd w:fill="EDEDFB" w:val="clear"/>
            <w:tcMar>
              <w:top w:type="dxa" w:w="80"/>
              <w:left w:type="dxa" w:w="120"/>
              <w:bottom w:type="dxa" w:w="80"/>
              <w:right w:type="dxa" w:w="120"/>
            </w:tcMar>
          </w:tcPr>
          <w:p>
            <w:r>
              <w:rPr>
                <w:b/>
                <w:bCs/>
                <w:sz w:val="20"/>
                <w:szCs w:val="20"/>
              </w:rPr>
              <w:t xml:space="preserve">Start</w:t>
            </w:r>
          </w:p>
        </w:tc>
        <w:tc>
          <w:tcPr>
            <w:tcW w:type="dxa" w:w="1100"/>
            <w:tcBorders>
              <w:top w:val="single" w:color="CCCCCC" w:sz="1"/>
              <w:left w:val="single" w:color="CCCCCC" w:sz="1"/>
              <w:bottom w:val="single" w:color="CCCCCC" w:sz="1"/>
              <w:right w:val="single" w:color="CCCCCC" w:sz="1"/>
            </w:tcBorders>
            <w:shd w:fill="EDEDFB" w:val="clear"/>
            <w:tcMar>
              <w:top w:type="dxa" w:w="80"/>
              <w:left w:type="dxa" w:w="120"/>
              <w:bottom w:type="dxa" w:w="80"/>
              <w:right w:type="dxa" w:w="120"/>
            </w:tcMar>
          </w:tcPr>
          <w:p>
            <w:r>
              <w:rPr>
                <w:b/>
                <w:bCs/>
                <w:sz w:val="20"/>
                <w:szCs w:val="20"/>
              </w:rPr>
              <w:t xml:space="preserve">End</w:t>
            </w:r>
          </w:p>
        </w:tc>
        <w:tc>
          <w:tcPr>
            <w:tcW w:type="dxa" w:w="4260"/>
            <w:tcBorders>
              <w:top w:val="single" w:color="CCCCCC" w:sz="1"/>
              <w:left w:val="single" w:color="CCCCCC" w:sz="1"/>
              <w:bottom w:val="single" w:color="CCCCCC" w:sz="1"/>
              <w:right w:val="single" w:color="CCCCCC" w:sz="1"/>
            </w:tcBorders>
            <w:shd w:fill="EDEDFB" w:val="clear"/>
            <w:tcMar>
              <w:top w:type="dxa" w:w="80"/>
              <w:left w:type="dxa" w:w="120"/>
              <w:bottom w:type="dxa" w:w="80"/>
              <w:right w:type="dxa" w:w="120"/>
            </w:tcMar>
          </w:tcPr>
          <w:p>
            <w:r>
              <w:rPr>
                <w:b/>
                <w:bCs/>
                <w:sz w:val="20"/>
                <w:szCs w:val="20"/>
              </w:rPr>
              <w:t xml:space="preserve">Exit criteria</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 · Supabase project live (migrations, seed, email OTP)</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07/08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07/12</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Sign-up with .edu OTP creates profile + affiliation</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 · Auth flows in app; student/alumni gating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07/10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07/17</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Fresh install → verified session → tabs</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 · Calendar engine (CRUD, RSVP, RRULE, ICS export)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07/13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07/24</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Org calendar round-trips; feed subscribes in Apple Calendar</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 · Realtime chat + push notifications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07/20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07/31</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Two devices converse under 1 s; background push received</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5 · Feed + moderation (report/block — App Review req.)</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07/27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08/07</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Report → content hidden pending review</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6 · Live map (opt-in location, ghost mode)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08/03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08/12</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Sharing visible to chapter only</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7 · Media (avatars, chat attachments)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08/05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08/12</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Signed-URL upload/download</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8 · TestFlight via EAS Build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08/10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08/14</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Build on 10 internal devices</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 · Closed beta with one pilot chapter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08/14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08/26</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≥60% weekly active; crash-free &gt; 99%</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 · App Review submission + launch readiness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08/24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08/31</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Approved; launch checklist complete</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Post-launch · Dues &amp; payments (Stripe Connect)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09/01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10/15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First real dues cycle collected</w:t>
            </w:r>
          </w:p>
        </w:tc>
      </w:tr>
    </w:tbl>
    <w:p>
      <w:pPr>
        <w:spacing w:after="120"/>
      </w:pPr>
    </w:p>
    <w:p>
      <w:pPr>
        <w:spacing w:after="120"/>
      </w:pPr>
      <w:r>
        <w:t xml:space="preserve">Deliberate call: payments ship after launch. The ledger schema is finished (v7), but Stripe onboarding, KYC, and App Review financial scrutiny would put 08/31 at risk — and the free feature set (calendar, chat, map, feed) is what drives adoption. Dues monetization needs chapters already living in the app.</w:t>
      </w:r>
    </w:p>
    <w:p>
      <w:pPr>
        <w:pStyle w:val="Heading2"/>
      </w:pPr>
      <w:r>
        <w:t xml:space="preserve">Critical path &amp;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c>
          <w:tcPr>
            <w:tcW w:type="dxa" w:w="3600"/>
            <w:tcBorders>
              <w:top w:val="single" w:color="CCCCCC" w:sz="1"/>
              <w:left w:val="single" w:color="CCCCCC" w:sz="1"/>
              <w:bottom w:val="single" w:color="CCCCCC" w:sz="1"/>
              <w:right w:val="single" w:color="CCCCCC" w:sz="1"/>
            </w:tcBorders>
            <w:shd w:fill="EDEDFB" w:val="clear"/>
            <w:tcMar>
              <w:top w:type="dxa" w:w="80"/>
              <w:left w:type="dxa" w:w="120"/>
              <w:bottom w:type="dxa" w:w="80"/>
              <w:right w:type="dxa" w:w="120"/>
            </w:tcMar>
          </w:tcPr>
          <w:p>
            <w:r>
              <w:rPr>
                <w:b/>
                <w:bCs/>
                <w:sz w:val="20"/>
                <w:szCs w:val="20"/>
              </w:rPr>
              <w:t xml:space="preserve">Risk</w:t>
            </w:r>
          </w:p>
        </w:tc>
        <w:tc>
          <w:tcPr>
            <w:tcW w:type="dxa" w:w="1400"/>
            <w:tcBorders>
              <w:top w:val="single" w:color="CCCCCC" w:sz="1"/>
              <w:left w:val="single" w:color="CCCCCC" w:sz="1"/>
              <w:bottom w:val="single" w:color="CCCCCC" w:sz="1"/>
              <w:right w:val="single" w:color="CCCCCC" w:sz="1"/>
            </w:tcBorders>
            <w:shd w:fill="EDEDFB" w:val="clear"/>
            <w:tcMar>
              <w:top w:type="dxa" w:w="80"/>
              <w:left w:type="dxa" w:w="120"/>
              <w:bottom w:type="dxa" w:w="80"/>
              <w:right w:type="dxa" w:w="120"/>
            </w:tcMar>
          </w:tcPr>
          <w:p>
            <w:r>
              <w:rPr>
                <w:b/>
                <w:bCs/>
                <w:sz w:val="20"/>
                <w:szCs w:val="20"/>
              </w:rPr>
              <w:t xml:space="preserve">Likelihood</w:t>
            </w:r>
          </w:p>
        </w:tc>
        <w:tc>
          <w:tcPr>
            <w:tcW w:type="dxa" w:w="4360"/>
            <w:tcBorders>
              <w:top w:val="single" w:color="CCCCCC" w:sz="1"/>
              <w:left w:val="single" w:color="CCCCCC" w:sz="1"/>
              <w:bottom w:val="single" w:color="CCCCCC" w:sz="1"/>
              <w:right w:val="single" w:color="CCCCCC" w:sz="1"/>
            </w:tcBorders>
            <w:shd w:fill="EDEDFB" w:val="clear"/>
            <w:tcMar>
              <w:top w:type="dxa" w:w="80"/>
              <w:left w:type="dxa" w:w="120"/>
              <w:bottom w:type="dxa" w:w="80"/>
              <w:right w:type="dxa" w:w="120"/>
            </w:tcMar>
          </w:tcPr>
          <w:p>
            <w:r>
              <w:rPr>
                <w:b/>
                <w:bCs/>
                <w:sz w:val="20"/>
                <w:szCs w:val="20"/>
              </w:rPr>
              <w:t xml:space="preserve">Mitigation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App Review rejection over anonymous feed (Guideline 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High if unmitigated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Report/block/moderation shipped in schema and milestone 5; submit 08/24 leaving a full re-review buffer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Apple Developer enrollment delay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Enroll the organization account this week (D-U-N-S can take 2+ weeks)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Two-person team, summer schedules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Milestones 3–7 independently shippable; cut order if squeezed: media → map → feed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Location privacy blowback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Opt-in only, ghost mode, 90-day purge (already enforced in the database), plain-language privacy policy</w:t>
            </w:r>
          </w:p>
        </w:tc>
      </w:tr>
    </w:tbl>
    <w:p>
      <w:pPr>
        <w:pStyle w:val="Heading1"/>
      </w:pPr>
      <w:r>
        <w:t xml:space="preserve">2. Go-to-Market</w:t>
      </w:r>
    </w:p>
    <w:p>
      <w:pPr>
        <w:spacing w:after="120"/>
      </w:pPr>
      <w:r>
        <w:t xml:space="preserve">Beachhead: one campus, three to five chapters, fall rush 2026. Greek organizations are dense social graphs — one chapter adopting pulls in every member, so the network effect operates per organization rather than per user.</w:t>
      </w:r>
    </w:p>
    <w:p>
      <w:pPr>
        <w:pStyle w:val="ListParagraph"/>
        <w:numPr>
          <w:ilvl w:val="0"/>
          <w:numId w:val="2"/>
        </w:numPr>
        <w:spacing w:after="80"/>
      </w:pPr>
      <w:r>
        <w:rPr>
          <w:b/>
          <w:bCs/>
        </w:rPr>
        <w:t xml:space="preserve">Pilot (Aug): </w:t>
      </w:r>
      <w:r>
        <w:t xml:space="preserve">our own chapter plus closest allies, free forever. Success metric: weekly actives at 60% of roster or better during rush.</w:t>
      </w:r>
    </w:p>
    <w:p>
      <w:pPr>
        <w:pStyle w:val="ListParagraph"/>
        <w:numPr>
          <w:ilvl w:val="0"/>
          <w:numId w:val="2"/>
        </w:numPr>
        <w:spacing w:after="80"/>
      </w:pPr>
      <w:r>
        <w:rPr>
          <w:b/>
          <w:bCs/>
        </w:rPr>
        <w:t xml:space="preserve">Campus rollout (Sept–Oct): </w:t>
      </w:r>
      <w:r>
        <w:t xml:space="preserve">Panhellenic/IFC council introduction and exec-board demos. The wedge is the calendar plus announcement chat during rush week — the highest-pain two weeks of the Greek year.</w:t>
      </w:r>
    </w:p>
    <w:p>
      <w:pPr>
        <w:pStyle w:val="ListParagraph"/>
        <w:numPr>
          <w:ilvl w:val="0"/>
          <w:numId w:val="2"/>
        </w:numPr>
        <w:spacing w:after="80"/>
      </w:pPr>
      <w:r>
        <w:rPr>
          <w:b/>
          <w:bCs/>
        </w:rPr>
        <w:t xml:space="preserve">Second campus (spring 2027): </w:t>
      </w:r>
      <w:r>
        <w:t xml:space="preserve">founder-led sales to two or three chapters at a nearby school to validate the playbook before any paid growth.</w:t>
      </w:r>
    </w:p>
    <w:p>
      <w:pPr>
        <w:spacing w:after="120"/>
      </w:pPr>
      <w:r>
        <w:t xml:space="preserve">Positioning: "GroupMe + Google Calendar + Life360 + Yik Yak in one app, built for chapters." Incumbents are single-feature (GroupMe is chat only) or admin-first billing tools students never open (OmegaFi, GreekBill — custom-priced, treasurer-facing, no daily utility). We are member-first: daily-use social tools with treasurer tools attached.</w:t>
      </w:r>
    </w:p>
    <w:p>
      <w:pPr>
        <w:pStyle w:val="Heading1"/>
      </w:pPr>
      <w:r>
        <w:t xml:space="preserve">3. Monetization</w:t>
      </w:r>
    </w:p>
    <w:p>
      <w:pPr>
        <w:spacing w:after="120"/>
      </w:pPr>
      <w:r>
        <w:t xml:space="preserve">Three layers, sequenced so free growth is never taxed.</w:t>
      </w:r>
    </w:p>
    <w:p>
      <w:pPr>
        <w:pStyle w:val="Heading2"/>
      </w:pPr>
      <w:r>
        <w:t xml:space="preserve">Layer 1 — Payments take-rate (primary; ships Sept–Oct 2026)</w:t>
      </w:r>
    </w:p>
    <w:p>
      <w:pPr>
        <w:spacing w:after="120"/>
      </w:pPr>
      <w:r>
        <w:t xml:space="preserve">The schema’s ledger-above-rails model is the moat: chapters keep OmegaFi or re:Members for mandated national dues while running local dues, fines, merch, and event fees through our Stripe Connect rail. We charge an application fee of roughly 2% + $0.30 on top of Stripe processing, on our rail only. A 60-member chapter moving $250 per member per semester locally is about $30,000 a year, yielding roughly $600 per chapter per year at 2% — with zero per-seat sales friction. Payment plans and installments (also in the schema) justify the fee to members.</w:t>
      </w:r>
    </w:p>
    <w:p>
      <w:pPr>
        <w:pStyle w:val="Heading2"/>
      </w:pPr>
      <w:r>
        <w:t xml:space="preserve">Layer 2 — Chapter Pro subscription (SaaS; spring 2027)</w:t>
      </w:r>
    </w:p>
    <w:p>
      <w:pPr>
        <w:spacing w:after="120"/>
      </w:pPr>
      <w:r>
        <w:t xml:space="preserve">The free tier keeps everything social — calendar, chat, map, feed, roster — forever free; that is the growth engine. Chapter Pro at roughly $25–50 per month per chapter (about $1 per member per month) adds the treasurer dashboard, dues cycles with autopay, attendance and RSVP exports, announcement blasts, alumni management, and custom branding. It is sold to exec boards and priced under the budget of a single social event.</w:t>
      </w:r>
    </w:p>
    <w:p>
      <w:pPr>
        <w:pStyle w:val="Heading2"/>
      </w:pPr>
      <w:r>
        <w:t xml:space="preserve">Layer 3 — Campus &amp; network revenue (2027+)</w:t>
      </w:r>
    </w:p>
    <w:p>
      <w:pPr>
        <w:pStyle w:val="ListParagraph"/>
        <w:numPr>
          <w:ilvl w:val="0"/>
          <w:numId w:val="2"/>
        </w:numPr>
        <w:spacing w:after="80"/>
      </w:pPr>
      <w:r>
        <w:t xml:space="preserve">Clearly-labeled local sponsorships in the public campus feed: bars, late-night food, rideshare promos reaching verified students; CPM-priced, one slot per session.</w:t>
      </w:r>
    </w:p>
    <w:p>
      <w:pPr>
        <w:pStyle w:val="ListParagraph"/>
        <w:numPr>
          <w:ilvl w:val="0"/>
          <w:numId w:val="2"/>
        </w:numPr>
        <w:spacing w:after="80"/>
      </w:pPr>
      <w:r>
        <w:t xml:space="preserve">National-HQ dashboards: chapter-health analytics (engagement, dues collection) across a fraternity’s chapters as an enterprise SKU.</w:t>
      </w:r>
    </w:p>
    <w:p>
      <w:pPr>
        <w:pStyle w:val="ListParagraph"/>
        <w:numPr>
          <w:ilvl w:val="0"/>
          <w:numId w:val="2"/>
        </w:numPr>
        <w:spacing w:after="80"/>
      </w:pPr>
      <w:r>
        <w:t xml:space="preserve">Rush tools: potential-new-member pipelines during recruitment windows.</w:t>
      </w:r>
    </w:p>
    <w:p>
      <w:pPr>
        <w:pStyle w:val="Heading2"/>
      </w:pPr>
      <w:r>
        <w:t xml:space="preserve">What we deliberately do not do</w:t>
      </w:r>
    </w:p>
    <w:p>
      <w:pPr>
        <w:spacing w:after="120"/>
      </w:pPr>
      <w:r>
        <w:t xml:space="preserve">No selling location data (kills trust permanently), no per-member fees on the free tier, and no ads inside private chapter spaces — sponsorships appear only in the public campus feed.</w:t>
      </w:r>
    </w:p>
    <w:p>
      <w:pPr>
        <w:pStyle w:val="Heading2"/>
      </w:pPr>
      <w:r>
        <w:t xml:space="preserve">Revenue sketch per campus at maturity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960"/>
        <w:gridCol w:w="2200"/>
      </w:tblGrid>
      <w:tr>
        <w:tc>
          <w:tcPr>
            <w:tcW w:type="dxa" w:w="3200"/>
            <w:tcBorders>
              <w:top w:val="single" w:color="CCCCCC" w:sz="1"/>
              <w:left w:val="single" w:color="CCCCCC" w:sz="1"/>
              <w:bottom w:val="single" w:color="CCCCCC" w:sz="1"/>
              <w:right w:val="single" w:color="CCCCCC" w:sz="1"/>
            </w:tcBorders>
            <w:shd w:fill="EDEDFB" w:val="clear"/>
            <w:tcMar>
              <w:top w:type="dxa" w:w="80"/>
              <w:left w:type="dxa" w:w="120"/>
              <w:bottom w:type="dxa" w:w="80"/>
              <w:right w:type="dxa" w:w="120"/>
            </w:tcMar>
          </w:tcPr>
          <w:p>
            <w:r>
              <w:rPr>
                <w:b/>
                <w:bCs/>
                <w:sz w:val="20"/>
                <w:szCs w:val="20"/>
              </w:rPr>
              <w:t xml:space="preserve">Stream</w:t>
            </w:r>
          </w:p>
        </w:tc>
        <w:tc>
          <w:tcPr>
            <w:tcW w:type="dxa" w:w="3960"/>
            <w:tcBorders>
              <w:top w:val="single" w:color="CCCCCC" w:sz="1"/>
              <w:left w:val="single" w:color="CCCCCC" w:sz="1"/>
              <w:bottom w:val="single" w:color="CCCCCC" w:sz="1"/>
              <w:right w:val="single" w:color="CCCCCC" w:sz="1"/>
            </w:tcBorders>
            <w:shd w:fill="EDEDFB" w:val="clear"/>
            <w:tcMar>
              <w:top w:type="dxa" w:w="80"/>
              <w:left w:type="dxa" w:w="120"/>
              <w:bottom w:type="dxa" w:w="80"/>
              <w:right w:type="dxa" w:w="120"/>
            </w:tcMar>
          </w:tcPr>
          <w:p>
            <w:r>
              <w:rPr>
                <w:b/>
                <w:bCs/>
                <w:sz w:val="20"/>
                <w:szCs w:val="20"/>
              </w:rPr>
              <w:t xml:space="preserve">Assumption</w:t>
            </w:r>
          </w:p>
        </w:tc>
        <w:tc>
          <w:tcPr>
            <w:tcW w:type="dxa" w:w="2200"/>
            <w:tcBorders>
              <w:top w:val="single" w:color="CCCCCC" w:sz="1"/>
              <w:left w:val="single" w:color="CCCCCC" w:sz="1"/>
              <w:bottom w:val="single" w:color="CCCCCC" w:sz="1"/>
              <w:right w:val="single" w:color="CCCCCC" w:sz="1"/>
            </w:tcBorders>
            <w:shd w:fill="EDEDFB" w:val="clear"/>
            <w:tcMar>
              <w:top w:type="dxa" w:w="80"/>
              <w:left w:type="dxa" w:w="120"/>
              <w:bottom w:type="dxa" w:w="80"/>
              <w:right w:type="dxa" w:w="120"/>
            </w:tcMar>
          </w:tcPr>
          <w:p>
            <w:r>
              <w:rPr>
                <w:b/>
                <w:bCs/>
                <w:sz w:val="20"/>
                <w:szCs w:val="20"/>
              </w:rPr>
              <w:t xml:space="preserve">Annual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Payments take-rate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15 chapters × $30k local volume ×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$9,000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Chapter Pro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 chapters × $40/mo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$4,800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Feed sponsorships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 sponsors × $250/mo × 9 school months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$4,500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Total per campus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 $18,000</w:t>
            </w:r>
          </w:p>
        </w:tc>
      </w:tr>
    </w:tbl>
    <w:p>
      <w:pPr>
        <w:spacing w:after="120"/>
      </w:pPr>
    </w:p>
    <w:p>
      <w:pPr>
        <w:spacing w:after="120"/>
      </w:pPr>
      <w:r>
        <w:t xml:space="preserve">Ramen-profitable at roughly five campuses. The model compounds: payments volume and Pro attach deepen with tenure while acquisition cost inside a campus approaches zero thanks to chapter-level virality.</w:t>
      </w:r>
    </w:p>
    <w:p>
      <w:pPr>
        <w:pStyle w:val="Heading1"/>
      </w:pPr>
      <w:r>
        <w:t xml:space="preserve">4. Company &amp; Compliance Checklist</w:t>
      </w:r>
    </w:p>
    <w:p>
      <w:pPr>
        <w:pStyle w:val="ListParagraph"/>
        <w:numPr>
          <w:ilvl w:val="0"/>
          <w:numId w:val="2"/>
        </w:numPr>
        <w:spacing w:after="80"/>
      </w:pPr>
      <w:r>
        <w:t xml:space="preserve">Form an LLC (or Delaware C-corp if raising) before collecting payment volume.</w:t>
      </w:r>
    </w:p>
    <w:p>
      <w:pPr>
        <w:pStyle w:val="ListParagraph"/>
        <w:numPr>
          <w:ilvl w:val="0"/>
          <w:numId w:val="2"/>
        </w:numPr>
        <w:spacing w:after="80"/>
      </w:pPr>
      <w:r>
        <w:t xml:space="preserve">Apple Developer Program (organization) — start now; D-U-N-S registration can take two weeks or more.</w:t>
      </w:r>
    </w:p>
    <w:p>
      <w:pPr>
        <w:pStyle w:val="ListParagraph"/>
        <w:numPr>
          <w:ilvl w:val="0"/>
          <w:numId w:val="2"/>
        </w:numPr>
        <w:spacing w:after="80"/>
      </w:pPr>
      <w:r>
        <w:t xml:space="preserve">Privacy policy and Terms of Service covering location, anonymous posting, and student-data claims.</w:t>
      </w:r>
    </w:p>
    <w:p>
      <w:pPr>
        <w:pStyle w:val="ListParagraph"/>
        <w:numPr>
          <w:ilvl w:val="0"/>
          <w:numId w:val="2"/>
        </w:numPr>
        <w:spacing w:after="80"/>
      </w:pPr>
      <w:r>
        <w:t xml:space="preserve">Stripe Connect platform application — Standard connected accounts keep compliance light; Stripe is the regulated entity and we never hold funds.</w:t>
      </w:r>
    </w:p>
    <w:p>
      <w:pPr>
        <w:pStyle w:val="ListParagraph"/>
        <w:numPr>
          <w:ilvl w:val="0"/>
          <w:numId w:val="2"/>
        </w:numPr>
        <w:spacing w:after="80"/>
      </w:pPr>
      <w:r>
        <w:t xml:space="preserve">Moderation policy and a response SLA for reports — App Review will ask.</w:t>
      </w:r>
    </w:p>
    <w:p>
      <w:pPr>
        <w:pStyle w:val="ListParagraph"/>
        <w:numPr>
          <w:ilvl w:val="0"/>
          <w:numId w:val="2"/>
        </w:numPr>
        <w:spacing w:after="80"/>
      </w:pPr>
      <w:r>
        <w:t xml:space="preserve">University trademark caution: no school marks in app assets.</w:t>
      </w:r>
    </w:p>
    <w:p>
      <w:pPr>
        <w:pStyle w:val="ListParagraph"/>
        <w:numPr>
          <w:ilvl w:val="0"/>
          <w:numId w:val="2"/>
        </w:numPr>
        <w:spacing w:after="80"/>
      </w:pPr>
      <w:r>
        <w:t xml:space="preserve">Data retention: 90-day location purge (shipped) and an account-deletion flow (App Store requirement).</w:t>
      </w:r>
    </w:p>
    <w:p>
      <w:pPr>
        <w:pStyle w:val="Heading1"/>
      </w:pPr>
      <w:r>
        <w:t xml:space="preserve">5.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EDEDFB" w:val="clear"/>
            <w:tcMar>
              <w:top w:type="dxa" w:w="80"/>
              <w:left w:type="dxa" w:w="120"/>
              <w:bottom w:type="dxa" w:w="80"/>
              <w:right w:type="dxa" w:w="120"/>
            </w:tcMar>
          </w:tcPr>
          <w:p>
            <w:r>
              <w:rPr>
                <w:b/>
                <w:bCs/>
                <w:sz w:val="20"/>
                <w:szCs w:val="20"/>
              </w:rPr>
              <w:t xml:space="preserve">Phase</w:t>
            </w:r>
          </w:p>
        </w:tc>
        <w:tc>
          <w:tcPr>
            <w:tcW w:type="dxa" w:w="4560"/>
            <w:tcBorders>
              <w:top w:val="single" w:color="CCCCCC" w:sz="1"/>
              <w:left w:val="single" w:color="CCCCCC" w:sz="1"/>
              <w:bottom w:val="single" w:color="CCCCCC" w:sz="1"/>
              <w:right w:val="single" w:color="CCCCCC" w:sz="1"/>
            </w:tcBorders>
            <w:shd w:fill="EDEDFB" w:val="clear"/>
            <w:tcMar>
              <w:top w:type="dxa" w:w="80"/>
              <w:left w:type="dxa" w:w="120"/>
              <w:bottom w:type="dxa" w:w="80"/>
              <w:right w:type="dxa" w:w="120"/>
            </w:tcMar>
          </w:tcPr>
          <w:p>
            <w:r>
              <w:rPr>
                <w:b/>
                <w:bCs/>
                <w:sz w:val="20"/>
                <w:szCs w:val="20"/>
              </w:rPr>
              <w:t xml:space="preserve">Metric</w:t>
            </w:r>
          </w:p>
        </w:tc>
        <w:tc>
          <w:tcPr>
            <w:tcW w:type="dxa" w:w="2400"/>
            <w:tcBorders>
              <w:top w:val="single" w:color="CCCCCC" w:sz="1"/>
              <w:left w:val="single" w:color="CCCCCC" w:sz="1"/>
              <w:bottom w:val="single" w:color="CCCCCC" w:sz="1"/>
              <w:right w:val="single" w:color="CCCCCC" w:sz="1"/>
            </w:tcBorders>
            <w:shd w:fill="EDEDFB" w:val="clear"/>
            <w:tcMar>
              <w:top w:type="dxa" w:w="80"/>
              <w:left w:type="dxa" w:w="120"/>
              <w:bottom w:type="dxa" w:w="80"/>
              <w:right w:type="dxa" w:w="120"/>
            </w:tcMar>
          </w:tcPr>
          <w:p>
            <w:r>
              <w:rPr>
                <w:b/>
                <w:bCs/>
                <w:sz w:val="20"/>
                <w:szCs w:val="20"/>
              </w:rPr>
              <w:t xml:space="preserve">Target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Beta (Aug)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Weekly actives / chapter roster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 60%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Beta (Aug)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Crash-free sessions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 99%</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Launch (Sept)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Chapters onboarded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Fall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Day-30 retention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 40%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Fall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Messages per member per week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 15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Winter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Local dues volume on-platform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$100k annualized</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8"/>
        <w:szCs w:val="18"/>
      </w:rPr>
      <w:t xml:space="preserve">Greek Life — All-in-One App · Confidential</w:t>
    </w:r>
    <w:r>
      <w:rPr>
        <w:color w:val="888888"/>
        <w:sz w:val="18"/>
        <w:szCs w:val="18"/>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sz w:val="32"/>
      <w:szCs w:val="32"/>
    </w:rPr>
  </w:style>
  <w:style w:type="paragraph" w:styleId="Heading2">
    <w:name w:val="Heading 2"/>
    <w:basedOn w:val="Normal"/>
    <w:next w:val="Normal"/>
    <w:qFormat/>
    <w:pPr>
      <w:spacing w:after="160" w:before="220"/>
      <w:outlineLvl w:val="1"/>
    </w:pPr>
    <w:rPr>
      <w:rFonts w:ascii="Arial" w:cs="Arial" w:eastAsia="Arial" w:hAnsi="Arial"/>
      <w:b/>
      <w:bCs/>
      <w:color w:val="5A5CF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2026-07-08T21:04:23.835Z</dcterms:created>
  <dcterms:modified xsi:type="dcterms:W3CDTF">2026-07-08T21:04:23.836Z</dcterms:modified>
</cp:coreProperties>
</file>

<file path=docProps/custom.xml><?xml version="1.0" encoding="utf-8"?>
<Properties xmlns="http://schemas.openxmlformats.org/officeDocument/2006/custom-properties" xmlns:vt="http://schemas.openxmlformats.org/officeDocument/2006/docPropsVTypes"/>
</file>