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542" w:rsidRDefault="00C80A83" w:rsidP="008D0542">
      <w:pPr>
        <w:pStyle w:val="Ttul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-1120476</wp:posOffset>
                </wp:positionH>
                <wp:positionV relativeFrom="paragraph">
                  <wp:posOffset>-1080135</wp:posOffset>
                </wp:positionV>
                <wp:extent cx="4477870" cy="10690412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7870" cy="1069041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F53D" id="Retângulo 1" o:spid="_x0000_s1026" style="position:absolute;margin-left:-88.25pt;margin-top:-85.05pt;width:352.6pt;height:84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" fillcolor="black [3213]" stroked="f" strokeweight="1pt">
                <v:fill opacity="6682f"/>
              </v:rect>
            </w:pict>
          </mc:Fallback>
        </mc:AlternateContent>
      </w:r>
    </w:p>
    <w:p w:rsidR="008D0542" w:rsidRDefault="008D0542" w:rsidP="008D0542">
      <w:pPr>
        <w:pStyle w:val="Ttulo"/>
        <w:rPr>
          <w:b/>
          <w:bCs/>
        </w:rPr>
      </w:pPr>
    </w:p>
    <w:p w:rsidR="008D0542" w:rsidRDefault="008D0542" w:rsidP="008D0542">
      <w:pPr>
        <w:pStyle w:val="Ttulo"/>
        <w:rPr>
          <w:b/>
          <w:bCs/>
        </w:rPr>
      </w:pPr>
    </w:p>
    <w:p w:rsidR="00ED71F9" w:rsidRPr="008D0542" w:rsidRDefault="008405D4" w:rsidP="008D0542">
      <w:pPr>
        <w:pStyle w:val="Ttulo"/>
        <w:rPr>
          <w:b/>
          <w:bCs/>
        </w:rPr>
      </w:pPr>
      <w:r w:rsidRPr="008D0542">
        <w:rPr>
          <w:b/>
          <w:bCs/>
        </w:rPr>
        <w:t>Indicadores Mensais</w:t>
      </w:r>
    </w:p>
    <w:p w:rsidR="008D0542" w:rsidRDefault="008D0542" w:rsidP="008D0542">
      <w:pPr>
        <w:pStyle w:val="Subttulo"/>
        <w:spacing w:after="0" w:line="240" w:lineRule="auto"/>
        <w:rPr>
          <w:smallCaps/>
          <w:color w:val="auto"/>
          <w:sz w:val="40"/>
          <w:szCs w:val="40"/>
        </w:rPr>
      </w:pPr>
    </w:p>
    <w:p w:rsidR="008405D4" w:rsidRPr="00C80A83" w:rsidRDefault="008405D4" w:rsidP="008D0542">
      <w:pPr>
        <w:pStyle w:val="Subttulo"/>
        <w:spacing w:after="0" w:line="240" w:lineRule="auto"/>
        <w:rPr>
          <w:smallCaps/>
          <w:color w:val="auto"/>
          <w:sz w:val="40"/>
          <w:szCs w:val="40"/>
        </w:rPr>
      </w:pPr>
      <w:r w:rsidRPr="00C80A83">
        <w:rPr>
          <w:smallCaps/>
          <w:color w:val="auto"/>
          <w:sz w:val="40"/>
          <w:szCs w:val="40"/>
        </w:rPr>
        <w:t>Poder Legislativo</w:t>
      </w:r>
    </w:p>
    <w:p w:rsidR="008D0542" w:rsidRDefault="008D0542" w:rsidP="008D0542">
      <w:pPr>
        <w:pStyle w:val="Subttulo"/>
        <w:spacing w:after="0" w:line="240" w:lineRule="auto"/>
        <w:jc w:val="right"/>
        <w:rPr>
          <w:caps/>
          <w:color w:val="auto"/>
          <w:sz w:val="48"/>
          <w:szCs w:val="48"/>
        </w:rPr>
      </w:pPr>
    </w:p>
    <w:p w:rsidR="008D0542" w:rsidRDefault="008D0542" w:rsidP="008D0542">
      <w:pPr>
        <w:pStyle w:val="Subttulo"/>
        <w:spacing w:after="0" w:line="240" w:lineRule="auto"/>
        <w:jc w:val="right"/>
        <w:rPr>
          <w:caps/>
          <w:color w:val="auto"/>
          <w:sz w:val="48"/>
          <w:szCs w:val="48"/>
        </w:rPr>
      </w:pPr>
    </w:p>
    <w:p w:rsidR="008D0542" w:rsidRDefault="008D0542" w:rsidP="008D0542">
      <w:pPr>
        <w:pStyle w:val="Subttulo"/>
        <w:spacing w:after="0" w:line="240" w:lineRule="auto"/>
        <w:jc w:val="right"/>
        <w:rPr>
          <w:caps/>
          <w:color w:val="auto"/>
          <w:sz w:val="48"/>
          <w:szCs w:val="48"/>
        </w:rPr>
      </w:pPr>
    </w:p>
    <w:p w:rsidR="008D0542" w:rsidRDefault="008D0542" w:rsidP="008D0542">
      <w:pPr>
        <w:pStyle w:val="Subttulo"/>
        <w:spacing w:after="0" w:line="240" w:lineRule="auto"/>
        <w:jc w:val="right"/>
        <w:rPr>
          <w:caps/>
          <w:color w:val="auto"/>
          <w:sz w:val="48"/>
          <w:szCs w:val="48"/>
        </w:rPr>
      </w:pPr>
    </w:p>
    <w:p w:rsidR="008D0542" w:rsidRDefault="006054A6" w:rsidP="008D0542">
      <w:pPr>
        <w:pStyle w:val="Subttulo"/>
        <w:spacing w:after="0" w:line="240" w:lineRule="auto"/>
        <w:jc w:val="right"/>
        <w:rPr>
          <w:caps/>
          <w:color w:val="auto"/>
          <w:sz w:val="48"/>
          <w:szCs w:val="48"/>
        </w:rPr>
      </w:pPr>
      <w:r w:rsidRPr="008D0542">
        <w:rPr>
          <w:caps/>
          <w:color w:val="auto"/>
          <w:sz w:val="48"/>
          <w:szCs w:val="48"/>
        </w:rPr>
        <w:fldChar w:fldCharType="begin"/>
      </w:r>
      <w:r w:rsidRPr="008D0542">
        <w:rPr>
          <w:caps/>
          <w:color w:val="auto"/>
          <w:sz w:val="48"/>
          <w:szCs w:val="48"/>
        </w:rPr>
        <w:instrText xml:space="preserve"> LINK </w:instrText>
      </w:r>
      <w:r w:rsidR="0004639A">
        <w:rPr>
          <w:caps/>
          <w:color w:val="auto"/>
          <w:sz w:val="48"/>
          <w:szCs w:val="48"/>
        </w:rPr>
        <w:instrText xml:space="preserve">Excel.Sheet.12 C:\\Users\\Everton\\Desktop\\Contabil\\indicadores3\\cm_view.xlsx Extras!L2C3 </w:instrText>
      </w:r>
      <w:r w:rsidRPr="008D0542">
        <w:rPr>
          <w:caps/>
          <w:color w:val="auto"/>
          <w:sz w:val="48"/>
          <w:szCs w:val="48"/>
        </w:rPr>
        <w:instrText xml:space="preserve">\a \t </w:instrText>
      </w:r>
      <w:r w:rsidR="008D0542" w:rsidRPr="008D0542">
        <w:rPr>
          <w:caps/>
          <w:color w:val="auto"/>
          <w:sz w:val="48"/>
          <w:szCs w:val="48"/>
        </w:rPr>
        <w:instrText xml:space="preserve"> \* MERGEFORMAT </w:instrText>
      </w:r>
      <w:r w:rsidR="0004639A" w:rsidRPr="008D0542">
        <w:rPr>
          <w:caps/>
          <w:color w:val="auto"/>
          <w:sz w:val="48"/>
          <w:szCs w:val="48"/>
        </w:rPr>
        <w:fldChar w:fldCharType="separate"/>
      </w:r>
      <w:r w:rsidR="0004639A" w:rsidRPr="0004639A">
        <w:rPr>
          <w:caps/>
          <w:color w:val="auto"/>
          <w:sz w:val="48"/>
          <w:szCs w:val="48"/>
        </w:rPr>
        <w:t>outubro de 2022</w:t>
      </w:r>
      <w:r w:rsidRPr="008D0542">
        <w:rPr>
          <w:caps/>
          <w:color w:val="auto"/>
          <w:sz w:val="48"/>
          <w:szCs w:val="48"/>
        </w:rPr>
        <w:fldChar w:fldCharType="end"/>
      </w: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</w:p>
    <w:p w:rsidR="008D0542" w:rsidRDefault="008D0542" w:rsidP="008D0542">
      <w:pPr>
        <w:spacing w:after="240" w:line="240" w:lineRule="auto"/>
      </w:pPr>
      <w:r>
        <w:t>Elaboração:</w:t>
      </w:r>
    </w:p>
    <w:p w:rsidR="008D0542" w:rsidRDefault="008D0542" w:rsidP="008D0542">
      <w:pPr>
        <w:spacing w:after="0" w:line="240" w:lineRule="auto"/>
      </w:pPr>
      <w:r>
        <w:t>Everton da Rosa</w:t>
      </w:r>
    </w:p>
    <w:p w:rsidR="00C80A83" w:rsidRDefault="008D0542" w:rsidP="008D0542">
      <w:pPr>
        <w:spacing w:after="0" w:line="240" w:lineRule="auto"/>
      </w:pPr>
      <w:r w:rsidRPr="008D0542">
        <w:t>Contador</w:t>
      </w:r>
    </w:p>
    <w:p w:rsidR="008D0542" w:rsidRPr="008D0542" w:rsidRDefault="008D0542" w:rsidP="008D0542">
      <w:pPr>
        <w:spacing w:after="0" w:line="240" w:lineRule="auto"/>
      </w:pPr>
      <w:proofErr w:type="spellStart"/>
      <w:r w:rsidRPr="008D0542">
        <w:t>CRC</w:t>
      </w:r>
      <w:proofErr w:type="spellEnd"/>
      <w:r w:rsidRPr="008D0542">
        <w:t xml:space="preserve"> RS-076595/O-3</w:t>
      </w:r>
    </w:p>
    <w:p w:rsidR="008D0542" w:rsidRPr="008D0542" w:rsidRDefault="008D0542" w:rsidP="008D0542"/>
    <w:p w:rsidR="008D0542" w:rsidRPr="008D0542" w:rsidRDefault="008D0542" w:rsidP="008D0542">
      <w:pPr>
        <w:sectPr w:rsidR="008D0542" w:rsidRPr="008D0542" w:rsidSect="008F44FC">
          <w:headerReference w:type="default" r:id="rId7"/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b/>
          <w:bCs/>
          <w:color w:val="auto"/>
        </w:rPr>
        <w:id w:val="-2128620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04639A" w:rsidRPr="0004639A" w:rsidRDefault="0004639A" w:rsidP="0004639A">
          <w:pPr>
            <w:pStyle w:val="Ttulo1"/>
            <w:pBdr>
              <w:bottom w:val="single" w:sz="4" w:space="1" w:color="auto"/>
            </w:pBdr>
            <w:spacing w:before="720" w:after="480" w:line="240" w:lineRule="auto"/>
            <w:rPr>
              <w:b/>
              <w:bCs/>
              <w:color w:val="auto"/>
            </w:rPr>
          </w:pPr>
          <w:r w:rsidRPr="0004639A">
            <w:rPr>
              <w:b/>
              <w:bCs/>
              <w:color w:val="auto"/>
            </w:rPr>
            <w:t>Sumário</w:t>
          </w:r>
        </w:p>
        <w:p w:rsidR="0004639A" w:rsidRDefault="0004639A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80014" w:history="1">
            <w:r w:rsidRPr="00750B8C">
              <w:rPr>
                <w:rStyle w:val="Hyperlink"/>
                <w:b/>
                <w:bCs/>
                <w:noProof/>
              </w:rPr>
              <w:t>Indicadores Constitucionais e Legais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080015" w:history="1">
            <w:r w:rsidRPr="00750B8C">
              <w:rPr>
                <w:rStyle w:val="Hyperlink"/>
                <w:b/>
                <w:bCs/>
                <w:noProof/>
              </w:rPr>
              <w:t>Limite de Gasto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080016" w:history="1">
            <w:r w:rsidRPr="00750B8C">
              <w:rPr>
                <w:rStyle w:val="Hyperlink"/>
                <w:b/>
                <w:bCs/>
                <w:noProof/>
              </w:rPr>
              <w:t>Limite de Gasto com Folha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080017" w:history="1">
            <w:r w:rsidRPr="00750B8C">
              <w:rPr>
                <w:rStyle w:val="Hyperlink"/>
                <w:b/>
                <w:bCs/>
                <w:noProof/>
              </w:rPr>
              <w:t>Limite da Despesa Total com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080018" w:history="1">
            <w:r w:rsidRPr="00750B8C">
              <w:rPr>
                <w:rStyle w:val="Hyperlink"/>
                <w:b/>
                <w:bCs/>
                <w:noProof/>
              </w:rPr>
              <w:t>Limite de Suplementação autorizada na LOA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080019" w:history="1">
            <w:r w:rsidRPr="00750B8C">
              <w:rPr>
                <w:rStyle w:val="Hyperlink"/>
                <w:b/>
                <w:bCs/>
                <w:noProof/>
              </w:rPr>
              <w:t>Indicadores Gerenciais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080020" w:history="1">
            <w:r w:rsidRPr="00750B8C">
              <w:rPr>
                <w:rStyle w:val="Hyperlink"/>
                <w:b/>
                <w:bCs/>
                <w:noProof/>
              </w:rPr>
              <w:t>Resultado Orçamentário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20080021" w:history="1">
            <w:r w:rsidRPr="00750B8C">
              <w:rPr>
                <w:rStyle w:val="Hyperlink"/>
                <w:b/>
                <w:bCs/>
                <w:noProof/>
              </w:rPr>
              <w:t>Saldo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A" w:rsidRDefault="0004639A">
          <w:r>
            <w:rPr>
              <w:b/>
              <w:bCs/>
            </w:rPr>
            <w:fldChar w:fldCharType="end"/>
          </w:r>
        </w:p>
      </w:sdtContent>
    </w:sdt>
    <w:p w:rsidR="0004639A" w:rsidRDefault="0004639A" w:rsidP="00FD1AEB">
      <w:pPr>
        <w:spacing w:before="100" w:beforeAutospacing="1" w:after="100" w:afterAutospacing="1" w:line="360" w:lineRule="auto"/>
        <w:jc w:val="both"/>
        <w:sectPr w:rsidR="0004639A" w:rsidSect="00AF3C7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D1AEB" w:rsidRPr="00FD1AEB" w:rsidRDefault="00FD1AEB" w:rsidP="00FD1AEB">
      <w:pPr>
        <w:spacing w:before="100" w:beforeAutospacing="1" w:after="100" w:afterAutospacing="1" w:line="360" w:lineRule="auto"/>
        <w:jc w:val="both"/>
      </w:pPr>
      <w:r>
        <w:lastRenderedPageBreak/>
        <w:t xml:space="preserve">Este relatório apresenta os principais indicadores legais e gerenciais </w:t>
      </w:r>
      <w:r w:rsidR="00F234C2">
        <w:t>da</w:t>
      </w:r>
      <w:r>
        <w:t xml:space="preserve"> </w:t>
      </w:r>
      <w:r w:rsidRPr="00FD1AEB">
        <w:rPr>
          <w:b/>
          <w:bCs/>
        </w:rPr>
        <w:t>Câmara de Vereadores</w:t>
      </w:r>
      <w:r>
        <w:t xml:space="preserve"> do Município de Independência/RS.</w:t>
      </w:r>
    </w:p>
    <w:p w:rsidR="008405D4" w:rsidRPr="00FD1AEB" w:rsidRDefault="008405D4" w:rsidP="00BB75F1">
      <w:pPr>
        <w:pStyle w:val="Ttulo1"/>
        <w:pBdr>
          <w:bottom w:val="single" w:sz="4" w:space="1" w:color="auto"/>
        </w:pBdr>
        <w:spacing w:before="720" w:after="480" w:line="240" w:lineRule="auto"/>
        <w:rPr>
          <w:b/>
          <w:bCs/>
          <w:color w:val="auto"/>
        </w:rPr>
      </w:pPr>
      <w:bookmarkStart w:id="0" w:name="_Toc120080014"/>
      <w:r w:rsidRPr="00FD1AEB">
        <w:rPr>
          <w:b/>
          <w:bCs/>
          <w:color w:val="auto"/>
        </w:rPr>
        <w:t>Indicadores Constitucionais e Legais</w:t>
      </w:r>
      <w:bookmarkEnd w:id="0"/>
    </w:p>
    <w:p w:rsidR="00FD1AEB" w:rsidRPr="00FD1AEB" w:rsidRDefault="00FD1AEB" w:rsidP="00FD1AE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D1AEB">
        <w:rPr>
          <w:sz w:val="24"/>
          <w:szCs w:val="24"/>
        </w:rPr>
        <w:t>Esta seção apresenta os principais indicadores estabelecidos em legislação aos quais o Poder Legislativo precisa obedecer.</w:t>
      </w:r>
    </w:p>
    <w:p w:rsidR="00FD1AEB" w:rsidRPr="00FD1AEB" w:rsidRDefault="00FD1AEB" w:rsidP="00FD1AE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D1AEB">
        <w:rPr>
          <w:sz w:val="24"/>
          <w:szCs w:val="24"/>
        </w:rPr>
        <w:t>Embora o atendimento ou não seja mensurado oficialmente ao final do exercício, o seu acompanhamento mensal gerencial</w:t>
      </w:r>
      <w:r w:rsidR="00F234C2">
        <w:rPr>
          <w:sz w:val="24"/>
          <w:szCs w:val="24"/>
        </w:rPr>
        <w:t xml:space="preserve"> possibilita </w:t>
      </w:r>
      <w:r w:rsidRPr="00FD1AEB">
        <w:rPr>
          <w:sz w:val="24"/>
          <w:szCs w:val="24"/>
        </w:rPr>
        <w:t xml:space="preserve">a tomada de providências </w:t>
      </w:r>
      <w:r w:rsidR="00F234C2">
        <w:rPr>
          <w:sz w:val="24"/>
          <w:szCs w:val="24"/>
        </w:rPr>
        <w:t xml:space="preserve">tempestivas </w:t>
      </w:r>
      <w:r w:rsidRPr="00FD1AEB">
        <w:rPr>
          <w:sz w:val="24"/>
          <w:szCs w:val="24"/>
        </w:rPr>
        <w:t>quando houver indicação de possível desatendimento de algum dos limites impostos.</w:t>
      </w:r>
    </w:p>
    <w:p w:rsidR="008405D4" w:rsidRPr="00BB75F1" w:rsidRDefault="008405D4" w:rsidP="00BB75F1">
      <w:pPr>
        <w:pStyle w:val="Ttulo2"/>
        <w:spacing w:before="480" w:after="240" w:line="240" w:lineRule="auto"/>
        <w:rPr>
          <w:b/>
          <w:bCs/>
          <w:color w:val="auto"/>
          <w:sz w:val="32"/>
          <w:szCs w:val="32"/>
        </w:rPr>
      </w:pPr>
      <w:bookmarkStart w:id="1" w:name="_Toc120080015"/>
      <w:r w:rsidRPr="00BB75F1">
        <w:rPr>
          <w:b/>
          <w:bCs/>
          <w:color w:val="auto"/>
          <w:sz w:val="32"/>
          <w:szCs w:val="32"/>
        </w:rPr>
        <w:t>Limite de Gasto Total</w:t>
      </w:r>
      <w:bookmarkEnd w:id="1"/>
    </w:p>
    <w:p w:rsidR="00FD1AEB" w:rsidRPr="00FD1AEB" w:rsidRDefault="00FD1AEB" w:rsidP="00FD1AE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D1AEB">
        <w:rPr>
          <w:sz w:val="24"/>
          <w:szCs w:val="24"/>
        </w:rPr>
        <w:t>O Poder Legislativo possui um limite de gasto total anual</w:t>
      </w:r>
      <w:r w:rsidR="00F234C2">
        <w:rPr>
          <w:sz w:val="24"/>
          <w:szCs w:val="24"/>
        </w:rPr>
        <w:t xml:space="preserve"> </w:t>
      </w:r>
      <w:r w:rsidRPr="00FD1AEB">
        <w:rPr>
          <w:sz w:val="24"/>
          <w:szCs w:val="24"/>
        </w:rPr>
        <w:t>expresso no art. 29-A da Constituição Federal.</w:t>
      </w:r>
    </w:p>
    <w:p w:rsidR="00FD1AEB" w:rsidRPr="00FD1AEB" w:rsidRDefault="00FD1AEB" w:rsidP="00FD1AEB">
      <w:pPr>
        <w:spacing w:before="480" w:after="480" w:line="240" w:lineRule="auto"/>
        <w:ind w:left="2268"/>
        <w:jc w:val="both"/>
        <w:rPr>
          <w:sz w:val="24"/>
          <w:szCs w:val="24"/>
        </w:rPr>
      </w:pPr>
      <w:r w:rsidRPr="00FD1AEB">
        <w:rPr>
          <w:sz w:val="24"/>
          <w:szCs w:val="24"/>
        </w:rPr>
        <w:t xml:space="preserve">Art. 29-A. O total da despesa do Poder Legislativo Municipal, incluídos os subsídios dos Vereadores e excluídos os gastos com inativos, não poderá ultrapassar os seguintes percentuais, relativos ao somatório da receita tributária e das transferências previstas no § 5º do art. 153 e nos </w:t>
      </w:r>
      <w:proofErr w:type="spellStart"/>
      <w:r w:rsidRPr="00FD1AEB">
        <w:rPr>
          <w:sz w:val="24"/>
          <w:szCs w:val="24"/>
        </w:rPr>
        <w:t>arts</w:t>
      </w:r>
      <w:proofErr w:type="spellEnd"/>
      <w:r w:rsidRPr="00FD1AEB">
        <w:rPr>
          <w:sz w:val="24"/>
          <w:szCs w:val="24"/>
        </w:rPr>
        <w:t>. 158 e 159, efetivamente realizado no exercício anterior:</w:t>
      </w:r>
    </w:p>
    <w:p w:rsidR="00DD1C4B" w:rsidRDefault="00FD1AE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D1AEB">
        <w:rPr>
          <w:sz w:val="24"/>
          <w:szCs w:val="24"/>
        </w:rPr>
        <w:t xml:space="preserve">No caso do Legislativo de Independência, </w:t>
      </w:r>
      <w:r w:rsidRPr="00FD1AEB">
        <w:rPr>
          <w:b/>
          <w:bCs/>
          <w:sz w:val="24"/>
          <w:szCs w:val="24"/>
        </w:rPr>
        <w:t>o limite constitucional é de 7%</w:t>
      </w:r>
      <w:r w:rsidRPr="00FD1AEB">
        <w:rPr>
          <w:sz w:val="24"/>
          <w:szCs w:val="24"/>
        </w:rPr>
        <w:t xml:space="preserve"> da </w:t>
      </w:r>
      <w:r w:rsidRPr="00F234C2">
        <w:rPr>
          <w:i/>
          <w:iCs/>
          <w:sz w:val="24"/>
          <w:szCs w:val="24"/>
        </w:rPr>
        <w:t>Receita Efetivamente Arrecadada no Exercício Anterior</w:t>
      </w:r>
      <w:r w:rsidRPr="00FD1AEB">
        <w:rPr>
          <w:sz w:val="24"/>
          <w:szCs w:val="24"/>
        </w:rPr>
        <w:t>.</w:t>
      </w:r>
    </w:p>
    <w:p w:rsidR="00AF3C79" w:rsidRDefault="0004639A" w:rsidP="00DD1C4B">
      <w:pPr>
        <w:spacing w:before="100" w:beforeAutospacing="1" w:after="100" w:afterAutospacing="1" w:line="360" w:lineRule="auto"/>
        <w:jc w:val="both"/>
      </w:pPr>
      <w:r w:rsidRPr="00AF3C79">
        <w:rPr>
          <w:noProof/>
        </w:rPr>
        <w:object w:dxaOrig="11535" w:dyaOrig="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2pt;height:200.1pt" o:ole="">
            <v:imagedata r:id="rId9" o:title=""/>
          </v:shape>
          <o:OLEObject Type="Link" ProgID="Excel.Sheet.12" ShapeID="_x0000_i1038" DrawAspect="Content" r:id="rId10" UpdateMode="Always">
            <o:LinkType>EnhancedMetaFile</o:LinkType>
            <o:LockedField>false</o:LockedField>
            <o:FieldCodes>\* MERGEFORMAT</o:FieldCodes>
          </o:OLEObject>
        </w:object>
      </w:r>
    </w:p>
    <w:p w:rsidR="008405D4" w:rsidRDefault="00AF3C79" w:rsidP="00AF3C79">
      <w:pPr>
        <w:pStyle w:val="Legenda"/>
        <w:rPr>
          <w:noProof/>
        </w:rPr>
      </w:pPr>
      <w:r>
        <w:t xml:space="preserve">Figura </w:t>
      </w:r>
      <w:fldSimple w:instr=" SEQ Figura \* ARABIC ">
        <w:r w:rsidR="008F44FC">
          <w:rPr>
            <w:noProof/>
          </w:rPr>
          <w:t>1</w:t>
        </w:r>
      </w:fldSimple>
    </w:p>
    <w:p w:rsid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A estimativa de gastos totais do Legislativo é baseada na dotação atualizada da Câmara de Vereadores.</w:t>
      </w:r>
    </w:p>
    <w:p w:rsidR="00AF3C79" w:rsidRDefault="0004639A" w:rsidP="00DD1C4B">
      <w:pPr>
        <w:spacing w:before="100" w:beforeAutospacing="1" w:after="100" w:afterAutospacing="1" w:line="360" w:lineRule="auto"/>
        <w:jc w:val="both"/>
      </w:pPr>
      <w:r>
        <w:object w:dxaOrig="8640" w:dyaOrig="4800">
          <v:shape id="_x0000_i1040" type="#_x0000_t75" style="width:453.2pt;height:252pt" o:ole="">
            <v:imagedata r:id="rId11" o:title=""/>
          </v:shape>
          <o:OLEObject Type="Link" ProgID="Excel.Sheet.12" ShapeID="_x0000_i1040" DrawAspect="Content" r:id="rId12" UpdateMode="Always">
            <o:LinkType>EnhancedMetaFile</o:LinkType>
            <o:LockedField>false</o:LockedField>
          </o:OLEObject>
        </w:object>
      </w:r>
    </w:p>
    <w:p w:rsidR="00AF3C79" w:rsidRDefault="00AF3C79" w:rsidP="00AF3C79">
      <w:pPr>
        <w:pStyle w:val="Legenda"/>
        <w:rPr>
          <w:noProof/>
        </w:rPr>
      </w:pPr>
      <w:r>
        <w:t xml:space="preserve">Figura </w:t>
      </w:r>
      <w:fldSimple w:instr=" SEQ Figura \* ARABIC ">
        <w:r w:rsidR="008F44FC">
          <w:rPr>
            <w:noProof/>
          </w:rPr>
          <w:t>2</w:t>
        </w:r>
      </w:fldSimple>
    </w:p>
    <w:p w:rsidR="00FD1AEB" w:rsidRPr="00FD1AEB" w:rsidRDefault="00FD1AEB" w:rsidP="00FD1AE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D1AEB">
        <w:rPr>
          <w:sz w:val="24"/>
          <w:szCs w:val="24"/>
        </w:rPr>
        <w:t xml:space="preserve">É importante salientar que o indicador de gastos totais é apurado apenas no encerramento do exercício para fins </w:t>
      </w:r>
      <w:r>
        <w:rPr>
          <w:sz w:val="24"/>
          <w:szCs w:val="24"/>
        </w:rPr>
        <w:t xml:space="preserve">verificação </w:t>
      </w:r>
      <w:r w:rsidRPr="00FD1AEB">
        <w:rPr>
          <w:sz w:val="24"/>
          <w:szCs w:val="24"/>
        </w:rPr>
        <w:t>de cumprimento ou não do limite constitucional, sendo que a sua estimativa mensal tem finalidade gerencial.</w:t>
      </w:r>
    </w:p>
    <w:p w:rsidR="008405D4" w:rsidRDefault="00261F07" w:rsidP="00BB75F1">
      <w:pPr>
        <w:pStyle w:val="Ttulo2"/>
        <w:spacing w:before="480" w:after="240" w:line="240" w:lineRule="auto"/>
        <w:rPr>
          <w:b/>
          <w:bCs/>
          <w:color w:val="auto"/>
          <w:sz w:val="32"/>
          <w:szCs w:val="32"/>
        </w:rPr>
      </w:pPr>
      <w:bookmarkStart w:id="2" w:name="_Toc120080016"/>
      <w:r w:rsidRPr="00BB75F1">
        <w:rPr>
          <w:b/>
          <w:bCs/>
          <w:color w:val="auto"/>
          <w:sz w:val="32"/>
          <w:szCs w:val="32"/>
        </w:rPr>
        <w:lastRenderedPageBreak/>
        <w:t>Limite de Gasto com Folha de Pagamento</w:t>
      </w:r>
      <w:bookmarkEnd w:id="2"/>
    </w:p>
    <w:p w:rsidR="00DD1C4B" w:rsidRP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 xml:space="preserve">A Constituição Federal, no </w:t>
      </w:r>
      <w:r>
        <w:rPr>
          <w:sz w:val="24"/>
          <w:szCs w:val="24"/>
        </w:rPr>
        <w:t>§</w:t>
      </w:r>
      <w:r w:rsidRPr="00DD1C4B">
        <w:rPr>
          <w:sz w:val="24"/>
          <w:szCs w:val="24"/>
        </w:rPr>
        <w:t xml:space="preserve"> 1ºdo art. 29-A</w:t>
      </w:r>
      <w:r w:rsidR="00F234C2">
        <w:rPr>
          <w:sz w:val="24"/>
          <w:szCs w:val="24"/>
        </w:rPr>
        <w:t>,</w:t>
      </w:r>
      <w:r w:rsidRPr="00DD1C4B">
        <w:rPr>
          <w:sz w:val="24"/>
          <w:szCs w:val="24"/>
        </w:rPr>
        <w:t xml:space="preserve"> limita o gasto com folha de pagamento a 70% do limite de gasto total do Poder Legislativo.</w:t>
      </w:r>
    </w:p>
    <w:p w:rsidR="00DD1C4B" w:rsidRPr="00DD1C4B" w:rsidRDefault="00DD1C4B" w:rsidP="00DD1C4B">
      <w:pPr>
        <w:spacing w:before="480" w:after="100" w:afterAutospacing="1" w:line="240" w:lineRule="auto"/>
        <w:ind w:left="2268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Art. 29-A [...]</w:t>
      </w:r>
    </w:p>
    <w:p w:rsidR="00DD1C4B" w:rsidRPr="00DD1C4B" w:rsidRDefault="00DD1C4B" w:rsidP="00DD1C4B">
      <w:pPr>
        <w:spacing w:before="100" w:beforeAutospacing="1" w:after="480" w:line="240" w:lineRule="auto"/>
        <w:ind w:left="2268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1º A Câmara Municipal não gastará mais de setenta por cento de sua receita com folha de pagamento, incluído o gasto com o subsídio de seus Vereadores.</w:t>
      </w:r>
    </w:p>
    <w:p w:rsid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Segundo as disposições do TCE/RS, além do grupo de natureza de despesa de Pessoal e Encargos Sociais, computam nesse limite as despesas relativas a</w:t>
      </w:r>
      <w:r>
        <w:rPr>
          <w:sz w:val="24"/>
          <w:szCs w:val="24"/>
        </w:rPr>
        <w:t>o</w:t>
      </w:r>
      <w:r w:rsidRPr="00DD1C4B">
        <w:rPr>
          <w:sz w:val="24"/>
          <w:szCs w:val="24"/>
        </w:rPr>
        <w:t xml:space="preserve"> auxílio-alimentação (independentemente do nome dado ao auxílio) quando não empenhadas naquele grupo de natureza de despesa.</w:t>
      </w:r>
    </w:p>
    <w:p w:rsidR="00DA1996" w:rsidRDefault="0004639A" w:rsidP="00DD1C4B">
      <w:pPr>
        <w:spacing w:before="100" w:beforeAutospacing="1" w:after="100" w:afterAutospacing="1" w:line="360" w:lineRule="auto"/>
        <w:jc w:val="both"/>
      </w:pPr>
      <w:r>
        <w:object w:dxaOrig="11760" w:dyaOrig="5430">
          <v:shape id="_x0000_i1042" type="#_x0000_t75" style="width:453.2pt;height:208.6pt" o:ole="">
            <v:imagedata r:id="rId13" o:title=""/>
          </v:shape>
          <o:OLEObject Type="Link" ProgID="Excel.Sheet.12" ShapeID="_x0000_i1042" DrawAspect="Content" r:id="rId14" UpdateMode="Always">
            <o:LinkType>EnhancedMetaFile</o:LinkType>
            <o:LockedField>false</o:LockedField>
          </o:OLEObject>
        </w:object>
      </w:r>
    </w:p>
    <w:p w:rsidR="00261F07" w:rsidRDefault="00DA1996" w:rsidP="00DA1996">
      <w:pPr>
        <w:pStyle w:val="Legenda"/>
      </w:pPr>
      <w:r>
        <w:t xml:space="preserve">Figura </w:t>
      </w:r>
      <w:fldSimple w:instr=" SEQ Figura \* ARABIC ">
        <w:r w:rsidR="008F44FC">
          <w:rPr>
            <w:noProof/>
          </w:rPr>
          <w:t>3</w:t>
        </w:r>
      </w:fldSimple>
    </w:p>
    <w:p w:rsidR="00DA1996" w:rsidRDefault="0004639A" w:rsidP="00DA1996">
      <w:pPr>
        <w:keepNext/>
      </w:pPr>
      <w:r>
        <w:object w:dxaOrig="8655" w:dyaOrig="4500">
          <v:shape id="_x0000_i1044" type="#_x0000_t75" style="width:453.2pt;height:236.1pt" o:ole="">
            <v:imagedata r:id="rId15" o:title=""/>
          </v:shape>
          <o:OLEObject Type="Link" ProgID="Excel.Sheet.12" ShapeID="_x0000_i1044" DrawAspect="Content" r:id="rId16" UpdateMode="Always">
            <o:LinkType>EnhancedMetaFile</o:LinkType>
            <o:LockedField>false</o:LockedField>
          </o:OLEObject>
        </w:object>
      </w:r>
    </w:p>
    <w:p w:rsidR="00DA1996" w:rsidRDefault="00DA1996" w:rsidP="00DA1996">
      <w:pPr>
        <w:pStyle w:val="Legenda"/>
        <w:rPr>
          <w:noProof/>
        </w:rPr>
      </w:pPr>
      <w:r>
        <w:t xml:space="preserve">Figura </w:t>
      </w:r>
      <w:fldSimple w:instr=" SEQ Figura \* ARABIC ">
        <w:r w:rsidR="008F44FC">
          <w:rPr>
            <w:noProof/>
          </w:rPr>
          <w:t>4</w:t>
        </w:r>
      </w:fldSimple>
    </w:p>
    <w:p w:rsidR="00DD1C4B" w:rsidRP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 xml:space="preserve">A verificação do atendimento ou não </w:t>
      </w:r>
      <w:r w:rsidR="00F234C2">
        <w:rPr>
          <w:sz w:val="24"/>
          <w:szCs w:val="24"/>
        </w:rPr>
        <w:t>d</w:t>
      </w:r>
      <w:r w:rsidRPr="00DD1C4B">
        <w:rPr>
          <w:sz w:val="24"/>
          <w:szCs w:val="24"/>
        </w:rPr>
        <w:t>esse limite constitucional é feito apenas no encerramento do exercício, o que equivale dizer que o acompanhamento mensal desse indicador tem caráter gerencial</w:t>
      </w:r>
      <w:r>
        <w:rPr>
          <w:sz w:val="24"/>
          <w:szCs w:val="24"/>
        </w:rPr>
        <w:t>.</w:t>
      </w:r>
    </w:p>
    <w:p w:rsidR="00DA1996" w:rsidRDefault="00DA1996" w:rsidP="00BB75F1">
      <w:pPr>
        <w:pStyle w:val="Ttulo2"/>
        <w:spacing w:before="480" w:after="240" w:line="240" w:lineRule="auto"/>
        <w:rPr>
          <w:b/>
          <w:bCs/>
          <w:color w:val="auto"/>
          <w:sz w:val="32"/>
          <w:szCs w:val="32"/>
        </w:rPr>
      </w:pPr>
      <w:bookmarkStart w:id="3" w:name="_Toc120080017"/>
      <w:r w:rsidRPr="00BB75F1">
        <w:rPr>
          <w:b/>
          <w:bCs/>
          <w:color w:val="auto"/>
          <w:sz w:val="32"/>
          <w:szCs w:val="32"/>
        </w:rPr>
        <w:t>Limite da Despesa Total com Pessoal</w:t>
      </w:r>
      <w:bookmarkEnd w:id="3"/>
    </w:p>
    <w:p w:rsidR="00DD1C4B" w:rsidRP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 xml:space="preserve">A Lei Complementar nº 101/2000 </w:t>
      </w:r>
      <w:r>
        <w:rPr>
          <w:sz w:val="24"/>
          <w:szCs w:val="24"/>
        </w:rPr>
        <w:t>(</w:t>
      </w:r>
      <w:r w:rsidRPr="00DD1C4B">
        <w:rPr>
          <w:sz w:val="24"/>
          <w:szCs w:val="24"/>
        </w:rPr>
        <w:t>Lei de Responsabilidade Fiscal/LRF</w:t>
      </w:r>
      <w:r>
        <w:rPr>
          <w:sz w:val="24"/>
          <w:szCs w:val="24"/>
        </w:rPr>
        <w:t>)</w:t>
      </w:r>
      <w:r w:rsidRPr="00DD1C4B">
        <w:rPr>
          <w:sz w:val="24"/>
          <w:szCs w:val="24"/>
        </w:rPr>
        <w:t xml:space="preserve"> estabelece limites para a despesa total com pessoal do Poder Legislativo (art. 19 e 20) em percentual sobre a </w:t>
      </w:r>
      <w:r w:rsidRPr="00F234C2">
        <w:rPr>
          <w:i/>
          <w:iCs/>
          <w:sz w:val="24"/>
          <w:szCs w:val="24"/>
        </w:rPr>
        <w:t>Receita Corrente Líquida</w:t>
      </w:r>
      <w:r w:rsidR="00832112">
        <w:rPr>
          <w:i/>
          <w:iCs/>
          <w:sz w:val="24"/>
          <w:szCs w:val="24"/>
        </w:rPr>
        <w:t xml:space="preserve"> (</w:t>
      </w:r>
      <w:proofErr w:type="spellStart"/>
      <w:r w:rsidR="00832112">
        <w:rPr>
          <w:i/>
          <w:iCs/>
          <w:sz w:val="24"/>
          <w:szCs w:val="24"/>
        </w:rPr>
        <w:t>RCL</w:t>
      </w:r>
      <w:proofErr w:type="spellEnd"/>
      <w:r w:rsidR="00832112">
        <w:rPr>
          <w:i/>
          <w:iCs/>
          <w:sz w:val="24"/>
          <w:szCs w:val="24"/>
        </w:rPr>
        <w:t>)</w:t>
      </w:r>
      <w:r w:rsidRPr="00DD1C4B">
        <w:rPr>
          <w:sz w:val="24"/>
          <w:szCs w:val="24"/>
        </w:rPr>
        <w:t>.</w:t>
      </w:r>
    </w:p>
    <w:p w:rsid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 xml:space="preserve">Além disso, a LRF estabelece limites prudencial e de alerta os quais correspondem a 90% e 95% do limite máximo, que para o Poder Legislativo é de 6% da </w:t>
      </w:r>
      <w:r w:rsidRPr="00832112">
        <w:rPr>
          <w:i/>
          <w:iCs/>
          <w:sz w:val="24"/>
          <w:szCs w:val="24"/>
        </w:rPr>
        <w:t>Receita Corrente Líquida</w:t>
      </w:r>
      <w:r w:rsidRPr="00DD1C4B">
        <w:rPr>
          <w:sz w:val="24"/>
          <w:szCs w:val="24"/>
        </w:rPr>
        <w:t>.</w:t>
      </w:r>
    </w:p>
    <w:p w:rsidR="00DA1996" w:rsidRDefault="0004639A" w:rsidP="00DD1C4B">
      <w:pPr>
        <w:spacing w:before="100" w:beforeAutospacing="1" w:after="100" w:afterAutospacing="1" w:line="360" w:lineRule="auto"/>
        <w:jc w:val="both"/>
      </w:pPr>
      <w:r>
        <w:object w:dxaOrig="10560" w:dyaOrig="4530">
          <v:shape id="_x0000_i1046" type="#_x0000_t75" style="width:453.2pt;height:194.8pt" o:ole="">
            <v:imagedata r:id="rId17" o:title=""/>
          </v:shape>
          <o:OLEObject Type="Link" ProgID="Excel.Sheet.12" ShapeID="_x0000_i1046" DrawAspect="Content" r:id="rId18" UpdateMode="Always">
            <o:LinkType>EnhancedMetaFile</o:LinkType>
            <o:LockedField>false</o:LockedField>
          </o:OLEObject>
        </w:object>
      </w:r>
    </w:p>
    <w:p w:rsidR="00DA1996" w:rsidRDefault="00DA1996" w:rsidP="00DA1996">
      <w:pPr>
        <w:pStyle w:val="Legenda"/>
        <w:rPr>
          <w:noProof/>
        </w:rPr>
      </w:pPr>
      <w:r>
        <w:t xml:space="preserve">Figura </w:t>
      </w:r>
      <w:fldSimple w:instr=" SEQ Figura \* ARABIC ">
        <w:r w:rsidR="008F44FC">
          <w:rPr>
            <w:noProof/>
          </w:rPr>
          <w:t>5</w:t>
        </w:r>
      </w:fldSimple>
    </w:p>
    <w:p w:rsid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 xml:space="preserve">Os valores de </w:t>
      </w:r>
      <w:proofErr w:type="spellStart"/>
      <w:r w:rsidRPr="00DD1C4B">
        <w:rPr>
          <w:sz w:val="24"/>
          <w:szCs w:val="24"/>
        </w:rPr>
        <w:t>RCL</w:t>
      </w:r>
      <w:proofErr w:type="spellEnd"/>
      <w:r w:rsidRPr="00DD1C4B">
        <w:rPr>
          <w:sz w:val="24"/>
          <w:szCs w:val="24"/>
        </w:rPr>
        <w:t xml:space="preserve"> e Despesa Total com Pessoal utilizados para a apuração do índice são calculados conforme as disposições do TCE/RS.</w:t>
      </w:r>
    </w:p>
    <w:p w:rsidR="00DA1996" w:rsidRDefault="0004639A" w:rsidP="00DD1C4B">
      <w:pPr>
        <w:spacing w:before="100" w:beforeAutospacing="1" w:after="100" w:afterAutospacing="1" w:line="360" w:lineRule="auto"/>
        <w:jc w:val="both"/>
      </w:pPr>
      <w:r>
        <w:object w:dxaOrig="10560" w:dyaOrig="4530">
          <v:shape id="_x0000_i1048" type="#_x0000_t75" style="width:453.2pt;height:194.8pt" o:ole="">
            <v:imagedata r:id="rId19" o:title=""/>
          </v:shape>
          <o:OLEObject Type="Link" ProgID="Excel.Sheet.12" ShapeID="_x0000_i1048" DrawAspect="Content" r:id="rId20" UpdateMode="Always">
            <o:LinkType>EnhancedMetaFile</o:LinkType>
            <o:LockedField>false</o:LockedField>
          </o:OLEObject>
        </w:object>
      </w:r>
    </w:p>
    <w:p w:rsidR="00DA1996" w:rsidRDefault="00DA1996" w:rsidP="00DA1996">
      <w:pPr>
        <w:pStyle w:val="Legenda"/>
      </w:pPr>
      <w:r>
        <w:t xml:space="preserve">Figura </w:t>
      </w:r>
      <w:fldSimple w:instr=" SEQ Figura \* ARABIC ">
        <w:r w:rsidR="008F44FC">
          <w:rPr>
            <w:noProof/>
          </w:rPr>
          <w:t>6</w:t>
        </w:r>
      </w:fldSimple>
    </w:p>
    <w:p w:rsidR="00DA1996" w:rsidRDefault="0004639A" w:rsidP="00DA1996">
      <w:pPr>
        <w:keepNext/>
      </w:pPr>
      <w:r>
        <w:object w:dxaOrig="9510" w:dyaOrig="6660">
          <v:shape id="_x0000_i1050" type="#_x0000_t75" style="width:453.2pt;height:317.65pt" o:ole="">
            <v:imagedata r:id="rId21" o:title=""/>
          </v:shape>
          <o:OLEObject Type="Link" ProgID="Excel.Sheet.12" ShapeID="_x0000_i1050" DrawAspect="Content" r:id="rId22" UpdateMode="Always">
            <o:LinkType>EnhancedMetaFile</o:LinkType>
            <o:LockedField>false</o:LockedField>
          </o:OLEObject>
        </w:object>
      </w:r>
    </w:p>
    <w:p w:rsidR="00DA1996" w:rsidRDefault="00DA1996" w:rsidP="00DA1996">
      <w:pPr>
        <w:pStyle w:val="Legenda"/>
      </w:pPr>
      <w:r>
        <w:t xml:space="preserve">Figura </w:t>
      </w:r>
      <w:fldSimple w:instr=" SEQ Figura \* ARABIC ">
        <w:r w:rsidR="008F44FC">
          <w:rPr>
            <w:noProof/>
          </w:rPr>
          <w:t>7</w:t>
        </w:r>
      </w:fldSimple>
    </w:p>
    <w:p w:rsidR="00DA1996" w:rsidRDefault="00DA1996" w:rsidP="00BB75F1">
      <w:pPr>
        <w:pStyle w:val="Ttulo2"/>
        <w:spacing w:before="480" w:after="240" w:line="240" w:lineRule="auto"/>
        <w:rPr>
          <w:b/>
          <w:bCs/>
          <w:color w:val="auto"/>
          <w:sz w:val="32"/>
          <w:szCs w:val="32"/>
        </w:rPr>
      </w:pPr>
      <w:bookmarkStart w:id="4" w:name="_Toc120080018"/>
      <w:r w:rsidRPr="00BB75F1">
        <w:rPr>
          <w:b/>
          <w:bCs/>
          <w:color w:val="auto"/>
          <w:sz w:val="32"/>
          <w:szCs w:val="32"/>
        </w:rPr>
        <w:t>Limite de Suplementação autorizada na LOA</w:t>
      </w:r>
      <w:bookmarkEnd w:id="4"/>
    </w:p>
    <w:p w:rsidR="00DD1C4B" w:rsidRP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Tendo por base o § 8º do art. 165 da Constituição Federal, a Lei Orçamentária Anual traz em seu artigo 7º a autorização para abertura de créditos suplementares no Poder Legislativo, limitado a 15% da dotação inicial desse Poder.</w:t>
      </w:r>
    </w:p>
    <w:p w:rsidR="00DD1C4B" w:rsidRP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Por sua vez, o art. 8º da Lei Orçamentária Anual elenca situações as quais os créditos abertos com base na autorização do art. 7º da LOA não oneram esse limite.</w:t>
      </w:r>
    </w:p>
    <w:p w:rsid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Desta forma, a cada resolução de abertura de crédito amparada nessa autorização, é feito o acompanhamento dos valores onerados do limite do Legislativo.</w:t>
      </w:r>
    </w:p>
    <w:p w:rsidR="00DA1996" w:rsidRDefault="0004639A" w:rsidP="00DD1C4B">
      <w:pPr>
        <w:spacing w:before="100" w:beforeAutospacing="1" w:after="100" w:afterAutospacing="1" w:line="360" w:lineRule="auto"/>
        <w:jc w:val="both"/>
      </w:pPr>
      <w:r>
        <w:object w:dxaOrig="9930" w:dyaOrig="6330">
          <v:shape id="_x0000_i1052" type="#_x0000_t75" style="width:453.2pt;height:289.05pt" o:ole="">
            <v:imagedata r:id="rId23" o:title=""/>
          </v:shape>
          <o:OLEObject Type="Link" ProgID="Excel.Sheet.12" ShapeID="_x0000_i1052" DrawAspect="Content" r:id="rId24" UpdateMode="Always">
            <o:LinkType>EnhancedMetaFile</o:LinkType>
            <o:LockedField>false</o:LockedField>
          </o:OLEObject>
        </w:object>
      </w:r>
    </w:p>
    <w:p w:rsidR="00DA1996" w:rsidRDefault="00DA1996" w:rsidP="00DA1996">
      <w:pPr>
        <w:pStyle w:val="Legenda"/>
        <w:rPr>
          <w:noProof/>
        </w:rPr>
      </w:pPr>
      <w:r>
        <w:t xml:space="preserve">Figura </w:t>
      </w:r>
      <w:fldSimple w:instr=" SEQ Figura \* ARABIC ">
        <w:r w:rsidR="008F44FC">
          <w:rPr>
            <w:noProof/>
          </w:rPr>
          <w:t>8</w:t>
        </w:r>
      </w:fldSimple>
    </w:p>
    <w:p w:rsid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 xml:space="preserve">Cabe ressaltar que a partir do momento em que ocorrer a suplementação acima do limite permitido, isso representa o desatendimento a disposições legais e constitucionais, por isso é importantíssimo o acompanhamento constante desse indicador </w:t>
      </w:r>
      <w:r w:rsidR="00832112">
        <w:rPr>
          <w:sz w:val="24"/>
          <w:szCs w:val="24"/>
        </w:rPr>
        <w:t xml:space="preserve">evitando </w:t>
      </w:r>
      <w:r w:rsidRPr="00DD1C4B">
        <w:rPr>
          <w:sz w:val="24"/>
          <w:szCs w:val="24"/>
        </w:rPr>
        <w:t>eventual imputação de crime à Presidência da Câmara.</w:t>
      </w:r>
    </w:p>
    <w:p w:rsidR="00DA1996" w:rsidRDefault="0004639A" w:rsidP="00DD1C4B">
      <w:pPr>
        <w:spacing w:before="100" w:beforeAutospacing="1" w:after="100" w:afterAutospacing="1" w:line="360" w:lineRule="auto"/>
        <w:jc w:val="both"/>
      </w:pPr>
      <w:r>
        <w:object w:dxaOrig="9870" w:dyaOrig="5430">
          <v:shape id="_x0000_i1054" type="#_x0000_t75" style="width:453.2pt;height:249.9pt" o:ole="">
            <v:imagedata r:id="rId25" o:title=""/>
          </v:shape>
          <o:OLEObject Type="Link" ProgID="Excel.Sheet.12" ShapeID="_x0000_i1054" DrawAspect="Content" r:id="rId26" UpdateMode="Always">
            <o:LinkType>EnhancedMetaFile</o:LinkType>
            <o:LockedField>false</o:LockedField>
          </o:OLEObject>
        </w:object>
      </w:r>
    </w:p>
    <w:p w:rsidR="00DA1996" w:rsidRDefault="00DA1996" w:rsidP="00DA1996">
      <w:pPr>
        <w:pStyle w:val="Legenda"/>
        <w:rPr>
          <w:noProof/>
        </w:rPr>
      </w:pPr>
      <w:r>
        <w:lastRenderedPageBreak/>
        <w:t xml:space="preserve">Figura </w:t>
      </w:r>
      <w:fldSimple w:instr=" SEQ Figura \* ARABIC ">
        <w:r w:rsidR="008F44FC">
          <w:rPr>
            <w:noProof/>
          </w:rPr>
          <w:t>9</w:t>
        </w:r>
      </w:fldSimple>
    </w:p>
    <w:p w:rsidR="00DD1C4B" w:rsidRP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O índice estimado o comprometimento com base na média mensal</w:t>
      </w:r>
      <w:r>
        <w:rPr>
          <w:sz w:val="24"/>
          <w:szCs w:val="24"/>
        </w:rPr>
        <w:t>, obtida pela divisão do limite percentual por 12 meses multiplicado pelo número de meses transcorridos até o mês de referência.</w:t>
      </w:r>
    </w:p>
    <w:p w:rsidR="00DA1996" w:rsidRDefault="00DA1996" w:rsidP="00BB75F1">
      <w:pPr>
        <w:pStyle w:val="Ttulo1"/>
        <w:pBdr>
          <w:bottom w:val="single" w:sz="4" w:space="1" w:color="auto"/>
        </w:pBdr>
        <w:spacing w:before="720" w:after="480" w:line="240" w:lineRule="auto"/>
        <w:rPr>
          <w:b/>
          <w:bCs/>
          <w:color w:val="auto"/>
        </w:rPr>
      </w:pPr>
      <w:bookmarkStart w:id="5" w:name="_Toc120080019"/>
      <w:r w:rsidRPr="00BB75F1">
        <w:rPr>
          <w:b/>
          <w:bCs/>
          <w:color w:val="auto"/>
        </w:rPr>
        <w:t>Indicadores Gerenciais</w:t>
      </w:r>
      <w:bookmarkEnd w:id="5"/>
    </w:p>
    <w:p w:rsidR="00DD1C4B" w:rsidRPr="00DD1C4B" w:rsidRDefault="00DD1C4B" w:rsidP="00DD1C4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D1C4B">
        <w:rPr>
          <w:sz w:val="24"/>
          <w:szCs w:val="24"/>
        </w:rPr>
        <w:t>Nesta seção estão apresentados alguns indicadores de cunho gerencial com a finalidade de auxiliar a gestão da Câmara de Vereadores nas decisões que envolvam aspectos contábeis, orçamentários e financeiros.</w:t>
      </w:r>
    </w:p>
    <w:p w:rsidR="00DA1996" w:rsidRPr="00801568" w:rsidRDefault="00C204A8" w:rsidP="00801568">
      <w:pPr>
        <w:pStyle w:val="Ttulo2"/>
        <w:spacing w:before="480" w:after="240" w:line="240" w:lineRule="auto"/>
        <w:rPr>
          <w:b/>
          <w:bCs/>
          <w:color w:val="auto"/>
          <w:sz w:val="32"/>
          <w:szCs w:val="32"/>
        </w:rPr>
      </w:pPr>
      <w:bookmarkStart w:id="6" w:name="_Toc120080020"/>
      <w:r w:rsidRPr="00801568">
        <w:rPr>
          <w:b/>
          <w:bCs/>
          <w:color w:val="auto"/>
          <w:sz w:val="32"/>
          <w:szCs w:val="32"/>
        </w:rPr>
        <w:t>Resultado Orçamentário</w:t>
      </w:r>
      <w:bookmarkEnd w:id="6"/>
    </w:p>
    <w:p w:rsidR="00D52F7B" w:rsidRPr="00D52F7B" w:rsidRDefault="00D52F7B" w:rsidP="00D52F7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52F7B">
        <w:rPr>
          <w:sz w:val="24"/>
          <w:szCs w:val="24"/>
        </w:rPr>
        <w:t xml:space="preserve">O Poder Legislativo não possui arrecadação própria, sendo suas despesas arcadas mediante </w:t>
      </w:r>
      <w:r>
        <w:rPr>
          <w:sz w:val="24"/>
          <w:szCs w:val="24"/>
        </w:rPr>
        <w:t>re</w:t>
      </w:r>
      <w:r w:rsidRPr="00D52F7B">
        <w:rPr>
          <w:sz w:val="24"/>
          <w:szCs w:val="24"/>
        </w:rPr>
        <w:t>cursos repassados pelo Poder Executivo na forma de duodécimos. Isso não signi</w:t>
      </w:r>
      <w:r>
        <w:rPr>
          <w:sz w:val="24"/>
          <w:szCs w:val="24"/>
        </w:rPr>
        <w:t>fi</w:t>
      </w:r>
      <w:r w:rsidRPr="00D52F7B">
        <w:rPr>
          <w:sz w:val="24"/>
          <w:szCs w:val="24"/>
        </w:rPr>
        <w:t>ca que o Poder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 xml:space="preserve">Legislativo possui algum tipo de relação de dependência para com o Executivo, vez que </w:t>
      </w:r>
      <w:r w:rsidR="00832112" w:rsidRPr="00832112">
        <w:rPr>
          <w:sz w:val="24"/>
          <w:szCs w:val="24"/>
        </w:rPr>
        <w:t xml:space="preserve">essa sistemática de financiamento </w:t>
      </w:r>
      <w:r w:rsidRPr="00D52F7B">
        <w:rPr>
          <w:sz w:val="24"/>
          <w:szCs w:val="24"/>
        </w:rPr>
        <w:t>é uma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>imposição constitucionalmente.</w:t>
      </w:r>
    </w:p>
    <w:p w:rsidR="00D52F7B" w:rsidRPr="00D52F7B" w:rsidRDefault="00D52F7B" w:rsidP="00D52F7B">
      <w:pPr>
        <w:spacing w:before="480" w:after="480" w:line="240" w:lineRule="auto"/>
        <w:ind w:left="2268"/>
        <w:jc w:val="both"/>
        <w:rPr>
          <w:sz w:val="24"/>
          <w:szCs w:val="24"/>
        </w:rPr>
      </w:pPr>
      <w:r w:rsidRPr="00D52F7B">
        <w:rPr>
          <w:sz w:val="24"/>
          <w:szCs w:val="24"/>
        </w:rPr>
        <w:t>Art. 168. Os recursos correspondentes às dotações orçamentárias, compreendidos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>os créditos suplementares e especiais, destinados aos órgãos dos Poderes Legislativo e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 xml:space="preserve">Judiciário, do Ministério Público e da Defensoria Pública, ser-lhes-ão </w:t>
      </w:r>
      <w:proofErr w:type="gramStart"/>
      <w:r w:rsidRPr="00D52F7B">
        <w:rPr>
          <w:sz w:val="24"/>
          <w:szCs w:val="24"/>
        </w:rPr>
        <w:t>entregues</w:t>
      </w:r>
      <w:proofErr w:type="gramEnd"/>
      <w:r w:rsidRPr="00D52F7B">
        <w:rPr>
          <w:sz w:val="24"/>
          <w:szCs w:val="24"/>
        </w:rPr>
        <w:t xml:space="preserve"> até o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>dia 20 de cada mês, em duodécimos, na forma da lei complementar a que se refere o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>art. 165, § 9º.</w:t>
      </w:r>
    </w:p>
    <w:p w:rsidR="00D52F7B" w:rsidRDefault="00D52F7B" w:rsidP="00D52F7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52F7B">
        <w:rPr>
          <w:sz w:val="24"/>
          <w:szCs w:val="24"/>
        </w:rPr>
        <w:t xml:space="preserve">Nessa sistemática, o valor a ser repassado em cada exercício </w:t>
      </w:r>
      <w:r>
        <w:rPr>
          <w:sz w:val="24"/>
          <w:szCs w:val="24"/>
        </w:rPr>
        <w:t>fi</w:t>
      </w:r>
      <w:r w:rsidRPr="00D52F7B">
        <w:rPr>
          <w:sz w:val="24"/>
          <w:szCs w:val="24"/>
        </w:rPr>
        <w:t>nanceiro corresponde à dotação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 xml:space="preserve">atualizada da Câmara de Vereadores, limitada a 7% da </w:t>
      </w:r>
      <w:r w:rsidRPr="00832112">
        <w:rPr>
          <w:i/>
          <w:iCs/>
          <w:sz w:val="24"/>
          <w:szCs w:val="24"/>
        </w:rPr>
        <w:t>Receita Efetivamente Realizada no Ano Anterior</w:t>
      </w:r>
      <w:r>
        <w:rPr>
          <w:rStyle w:val="Refdenotaderodap"/>
          <w:sz w:val="24"/>
          <w:szCs w:val="24"/>
        </w:rPr>
        <w:footnoteReference w:id="1"/>
      </w:r>
      <w:r>
        <w:rPr>
          <w:sz w:val="24"/>
          <w:szCs w:val="24"/>
        </w:rPr>
        <w:t>.</w:t>
      </w:r>
    </w:p>
    <w:p w:rsidR="00D52F7B" w:rsidRDefault="00D52F7B" w:rsidP="00D52F7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52F7B">
        <w:rPr>
          <w:sz w:val="24"/>
          <w:szCs w:val="24"/>
        </w:rPr>
        <w:lastRenderedPageBreak/>
        <w:t>Des</w:t>
      </w:r>
      <w:r w:rsidR="00832112">
        <w:rPr>
          <w:sz w:val="24"/>
          <w:szCs w:val="24"/>
        </w:rPr>
        <w:t>s</w:t>
      </w:r>
      <w:r w:rsidRPr="00D52F7B">
        <w:rPr>
          <w:sz w:val="24"/>
          <w:szCs w:val="24"/>
        </w:rPr>
        <w:t>a forma, e considerando a possibilidade de que as despesas efetivamente realizadas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>em cada ano sejam inferiores aos recursos efetivamente recebidos pelo Poder Legislativo, pode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 xml:space="preserve">ocorrer uma situação de restarem ao </w:t>
      </w:r>
      <w:r>
        <w:rPr>
          <w:sz w:val="24"/>
          <w:szCs w:val="24"/>
        </w:rPr>
        <w:t>fi</w:t>
      </w:r>
      <w:r w:rsidRPr="00D52F7B">
        <w:rPr>
          <w:sz w:val="24"/>
          <w:szCs w:val="24"/>
        </w:rPr>
        <w:t xml:space="preserve">nal do ano recursos </w:t>
      </w:r>
      <w:r>
        <w:rPr>
          <w:sz w:val="24"/>
          <w:szCs w:val="24"/>
        </w:rPr>
        <w:t>fi</w:t>
      </w:r>
      <w:r w:rsidRPr="00D52F7B">
        <w:rPr>
          <w:sz w:val="24"/>
          <w:szCs w:val="24"/>
        </w:rPr>
        <w:t>nanceiros</w:t>
      </w:r>
      <w:r>
        <w:rPr>
          <w:rStyle w:val="Refdenotaderodap"/>
          <w:sz w:val="24"/>
          <w:szCs w:val="24"/>
        </w:rPr>
        <w:footnoteReference w:id="2"/>
      </w:r>
      <w:r>
        <w:rPr>
          <w:sz w:val="24"/>
          <w:szCs w:val="24"/>
        </w:rPr>
        <w:t>.</w:t>
      </w:r>
    </w:p>
    <w:p w:rsidR="00D52F7B" w:rsidRDefault="00D52F7B" w:rsidP="00D52F7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52F7B">
        <w:rPr>
          <w:sz w:val="24"/>
          <w:szCs w:val="24"/>
        </w:rPr>
        <w:t>Isto posto, o acompanhamento de eventual superávit estimado se constitui em importante indicador de gestão, sendo que esse resultado positivo entre duodécimo recebido e despesa executada,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 xml:space="preserve">além de ser convertido ao </w:t>
      </w:r>
      <w:r>
        <w:rPr>
          <w:sz w:val="24"/>
          <w:szCs w:val="24"/>
        </w:rPr>
        <w:t>fi</w:t>
      </w:r>
      <w:r w:rsidRPr="00D52F7B">
        <w:rPr>
          <w:sz w:val="24"/>
          <w:szCs w:val="24"/>
        </w:rPr>
        <w:t>nal do exercício em recurso disponível para o Executivo, também pode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>ser utilizado durante o ano como fonte de recursos para abertura de créditos adicionais no Poder</w:t>
      </w:r>
      <w:r>
        <w:rPr>
          <w:sz w:val="24"/>
          <w:szCs w:val="24"/>
        </w:rPr>
        <w:t xml:space="preserve"> </w:t>
      </w:r>
      <w:r w:rsidRPr="00D52F7B">
        <w:rPr>
          <w:sz w:val="24"/>
          <w:szCs w:val="24"/>
        </w:rPr>
        <w:t>Executivo, mediante acordo entre os Poderes.</w:t>
      </w:r>
    </w:p>
    <w:p w:rsidR="00C204A8" w:rsidRDefault="0004639A" w:rsidP="00C204A8">
      <w:pPr>
        <w:keepNext/>
      </w:pPr>
      <w:r>
        <w:object w:dxaOrig="10290" w:dyaOrig="5940">
          <v:shape id="_x0000_i1056" type="#_x0000_t75" style="width:454.25pt;height:261.55pt" o:ole="">
            <v:imagedata r:id="rId27" o:title=""/>
          </v:shape>
          <o:OLEObject Type="Link" ProgID="Excel.Sheet.12" ShapeID="_x0000_i1056" DrawAspect="Content" r:id="rId28" UpdateMode="Always">
            <o:LinkType>EnhancedMetaFile</o:LinkType>
            <o:LockedField>false</o:LockedField>
          </o:OLEObject>
        </w:object>
      </w:r>
    </w:p>
    <w:p w:rsidR="00C204A8" w:rsidRDefault="00C204A8" w:rsidP="00C204A8">
      <w:pPr>
        <w:pStyle w:val="Legenda"/>
      </w:pPr>
      <w:r>
        <w:t xml:space="preserve">Figura </w:t>
      </w:r>
      <w:fldSimple w:instr=" SEQ Figura \* ARABIC ">
        <w:r w:rsidR="008F44FC">
          <w:rPr>
            <w:noProof/>
          </w:rPr>
          <w:t>10</w:t>
        </w:r>
      </w:fldSimple>
    </w:p>
    <w:p w:rsidR="00D52F7B" w:rsidRDefault="00D52F7B" w:rsidP="00D52F7B">
      <w:r>
        <w:t>Para este indicador, é apresentad</w:t>
      </w:r>
      <w:r w:rsidR="00832112">
        <w:t>a</w:t>
      </w:r>
      <w:r>
        <w:t xml:space="preserve"> a evolução mensal do ano corrente e do ano anterior para comparação.</w:t>
      </w:r>
    </w:p>
    <w:p w:rsidR="00D52F7B" w:rsidRDefault="00D52F7B" w:rsidP="00D52F7B">
      <w:r>
        <w:t>O cálculo dos valores estimados é feito tendo por base a despesa com folha de pagamento e auxílio</w:t>
      </w:r>
      <w:r w:rsidR="00832112">
        <w:t>-</w:t>
      </w:r>
      <w:r>
        <w:t>alimentação, diárias, passagens e indenizações de viagem e inscrições em curso</w:t>
      </w:r>
      <w:r>
        <w:rPr>
          <w:rStyle w:val="Refdenotaderodap"/>
        </w:rPr>
        <w:footnoteReference w:id="3"/>
      </w:r>
      <w:r>
        <w:t>,</w:t>
      </w:r>
      <w:r w:rsidR="00832112">
        <w:t xml:space="preserve"> </w:t>
      </w:r>
      <w:r>
        <w:t>além de considerar as reduções orçamentárias que foram fonte de crédito adicional no Poder Executivo. Para o mês de dezembro, em vez da estimativa, é utilizado o valor efetivamente apurado no ano.</w:t>
      </w:r>
    </w:p>
    <w:p w:rsidR="00D52F7B" w:rsidRPr="00D52F7B" w:rsidRDefault="00D52F7B" w:rsidP="00D52F7B">
      <w:r w:rsidRPr="00D52F7B">
        <w:t>O índice estimado de comprometimento é apurado com base na média mensal</w:t>
      </w:r>
      <w:r>
        <w:t>, obtida pela divisão do limite total por 12 meses multiplicado ao número de meses até o mês de referência.</w:t>
      </w:r>
    </w:p>
    <w:p w:rsidR="00C204A8" w:rsidRDefault="00C204A8" w:rsidP="00BB75F1">
      <w:pPr>
        <w:pStyle w:val="Ttulo2"/>
        <w:spacing w:before="480" w:after="240" w:line="240" w:lineRule="auto"/>
        <w:rPr>
          <w:b/>
          <w:bCs/>
          <w:color w:val="auto"/>
          <w:sz w:val="32"/>
          <w:szCs w:val="32"/>
        </w:rPr>
      </w:pPr>
      <w:bookmarkStart w:id="7" w:name="_Toc120080021"/>
      <w:r w:rsidRPr="00BB75F1">
        <w:rPr>
          <w:b/>
          <w:bCs/>
          <w:color w:val="auto"/>
          <w:sz w:val="32"/>
          <w:szCs w:val="32"/>
        </w:rPr>
        <w:lastRenderedPageBreak/>
        <w:t>Saldo Financeiro</w:t>
      </w:r>
      <w:bookmarkEnd w:id="7"/>
    </w:p>
    <w:p w:rsidR="00D52F7B" w:rsidRDefault="00D52F7B" w:rsidP="00D52F7B">
      <w:r>
        <w:t>Nesta subseção apresentamos a evolução dos saldos financeiros bruto e líquido das disponibilidades do Poder Legislativo.</w:t>
      </w:r>
    </w:p>
    <w:p w:rsidR="00D52F7B" w:rsidRDefault="00D52F7B" w:rsidP="00D52F7B">
      <w:r>
        <w:t>O Saldo financeiro bruto representa o valor existente nas contas bancárias e aplicações financeiras do Poder Legislativo. O Saldo disponível, por sua vez, representa o saldo bruto deduzido dos empenhos liquidados e não liquidados a pagar e as retenções a recolher, bem como outros valores de terceiros</w:t>
      </w:r>
      <w:r>
        <w:rPr>
          <w:rStyle w:val="Refdenotaderodap"/>
        </w:rPr>
        <w:footnoteReference w:id="4"/>
      </w:r>
      <w:r>
        <w:t xml:space="preserve">. Em outras palavras, o </w:t>
      </w:r>
      <w:r w:rsidR="00832112">
        <w:t>s</w:t>
      </w:r>
      <w:r>
        <w:t>aldo disponível representa o valor financeiro disponível para empenho no encerramento do mês de referência.</w:t>
      </w:r>
    </w:p>
    <w:p w:rsidR="00C204A8" w:rsidRDefault="0004639A" w:rsidP="00D52F7B">
      <w:r>
        <w:object w:dxaOrig="9660" w:dyaOrig="5130">
          <v:shape id="_x0000_i1058" type="#_x0000_t75" style="width:453.2pt;height:240.35pt" o:ole="">
            <v:imagedata r:id="rId29" o:title=""/>
          </v:shape>
          <o:OLEObject Type="Link" ProgID="Excel.Sheet.12" ShapeID="_x0000_i1058" DrawAspect="Content" r:id="rId30" UpdateMode="Always">
            <o:LinkType>EnhancedMetaFile</o:LinkType>
            <o:LockedField>false</o:LockedField>
          </o:OLEObject>
        </w:object>
      </w:r>
    </w:p>
    <w:p w:rsidR="00C204A8" w:rsidRDefault="00C204A8" w:rsidP="00C204A8">
      <w:pPr>
        <w:pStyle w:val="Legenda"/>
      </w:pPr>
      <w:r>
        <w:t xml:space="preserve">Figura </w:t>
      </w:r>
      <w:fldSimple w:instr=" SEQ Figura \* ARABIC ">
        <w:r w:rsidR="008F44FC">
          <w:rPr>
            <w:noProof/>
          </w:rPr>
          <w:t>11</w:t>
        </w:r>
      </w:fldSimple>
    </w:p>
    <w:p w:rsidR="00C204A8" w:rsidRPr="00C204A8" w:rsidRDefault="00C204A8" w:rsidP="00C204A8"/>
    <w:sectPr w:rsidR="00C204A8" w:rsidRPr="00C204A8" w:rsidSect="00AF3C7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21C4" w:rsidRDefault="00C621C4" w:rsidP="00D52F7B">
      <w:pPr>
        <w:spacing w:after="0" w:line="240" w:lineRule="auto"/>
      </w:pPr>
      <w:r>
        <w:separator/>
      </w:r>
    </w:p>
  </w:endnote>
  <w:endnote w:type="continuationSeparator" w:id="0">
    <w:p w:rsidR="00C621C4" w:rsidRDefault="00C621C4" w:rsidP="00D5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44FC" w:rsidRPr="008F44FC" w:rsidRDefault="008F44FC" w:rsidP="008F44FC">
    <w:pPr>
      <w:pStyle w:val="Rodap"/>
      <w:pBdr>
        <w:top w:val="single" w:sz="4" w:space="1" w:color="BFBFBF" w:themeColor="background1" w:themeShade="BF"/>
      </w:pBdr>
      <w:rPr>
        <w:i/>
        <w:iCs/>
        <w:sz w:val="20"/>
        <w:szCs w:val="20"/>
      </w:rPr>
    </w:pPr>
    <w:r w:rsidRPr="008F44FC">
      <w:rPr>
        <w:i/>
        <w:iCs/>
        <w:sz w:val="20"/>
        <w:szCs w:val="20"/>
      </w:rPr>
      <w:fldChar w:fldCharType="begin"/>
    </w:r>
    <w:r w:rsidRPr="008F44FC">
      <w:rPr>
        <w:i/>
        <w:iCs/>
        <w:sz w:val="20"/>
        <w:szCs w:val="20"/>
      </w:rPr>
      <w:instrText xml:space="preserve"> DATE  \@ "dd/MM/yyyy HH:mm:ss"  \* MERGEFORMAT </w:instrText>
    </w:r>
    <w:r w:rsidRPr="008F44FC">
      <w:rPr>
        <w:i/>
        <w:iCs/>
        <w:sz w:val="20"/>
        <w:szCs w:val="20"/>
      </w:rPr>
      <w:fldChar w:fldCharType="separate"/>
    </w:r>
    <w:r w:rsidR="0004639A">
      <w:rPr>
        <w:i/>
        <w:iCs/>
        <w:noProof/>
        <w:sz w:val="20"/>
        <w:szCs w:val="20"/>
      </w:rPr>
      <w:t>23/11/2022 07:12:37</w:t>
    </w:r>
    <w:r w:rsidRPr="008F44FC">
      <w:rPr>
        <w:i/>
        <w:iCs/>
        <w:sz w:val="20"/>
        <w:szCs w:val="20"/>
      </w:rPr>
      <w:fldChar w:fldCharType="end"/>
    </w:r>
    <w:r w:rsidRPr="008F44FC">
      <w:rPr>
        <w:i/>
        <w:iCs/>
        <w:sz w:val="20"/>
        <w:szCs w:val="20"/>
      </w:rPr>
      <w:ptab w:relativeTo="margin" w:alignment="center" w:leader="none"/>
    </w:r>
    <w:r w:rsidRPr="008F44FC">
      <w:rPr>
        <w:i/>
        <w:iCs/>
        <w:sz w:val="20"/>
        <w:szCs w:val="20"/>
      </w:rPr>
      <w:ptab w:relativeTo="margin" w:alignment="right" w:leader="none"/>
    </w:r>
    <w:r w:rsidRPr="008F44FC">
      <w:rPr>
        <w:i/>
        <w:iCs/>
        <w:sz w:val="20"/>
        <w:szCs w:val="20"/>
      </w:rPr>
      <w:fldChar w:fldCharType="begin"/>
    </w:r>
    <w:r w:rsidRPr="008F44FC">
      <w:rPr>
        <w:i/>
        <w:iCs/>
        <w:sz w:val="20"/>
        <w:szCs w:val="20"/>
      </w:rPr>
      <w:instrText xml:space="preserve"> PAGE  \* Arabic  \* MERGEFORMAT </w:instrText>
    </w:r>
    <w:r w:rsidRPr="008F44FC">
      <w:rPr>
        <w:i/>
        <w:iCs/>
        <w:sz w:val="20"/>
        <w:szCs w:val="20"/>
      </w:rPr>
      <w:fldChar w:fldCharType="separate"/>
    </w:r>
    <w:r w:rsidRPr="008F44FC">
      <w:rPr>
        <w:i/>
        <w:iCs/>
        <w:noProof/>
        <w:sz w:val="20"/>
        <w:szCs w:val="20"/>
      </w:rPr>
      <w:t>2</w:t>
    </w:r>
    <w:r w:rsidRPr="008F44FC">
      <w:rPr>
        <w:i/>
        <w:iCs/>
        <w:sz w:val="20"/>
        <w:szCs w:val="20"/>
      </w:rPr>
      <w:fldChar w:fldCharType="end"/>
    </w:r>
    <w:r w:rsidRPr="008F44FC">
      <w:rPr>
        <w:i/>
        <w:iCs/>
        <w:sz w:val="20"/>
        <w:szCs w:val="20"/>
      </w:rPr>
      <w:t xml:space="preserve"> de </w:t>
    </w:r>
    <w:r w:rsidRPr="008F44FC">
      <w:rPr>
        <w:i/>
        <w:iCs/>
        <w:sz w:val="20"/>
        <w:szCs w:val="20"/>
      </w:rPr>
      <w:fldChar w:fldCharType="begin"/>
    </w:r>
    <w:r w:rsidRPr="008F44FC">
      <w:rPr>
        <w:i/>
        <w:iCs/>
        <w:sz w:val="20"/>
        <w:szCs w:val="20"/>
      </w:rPr>
      <w:instrText xml:space="preserve"> NUMPAGES  \# "0" \* Arabic  \* MERGEFORMAT </w:instrText>
    </w:r>
    <w:r w:rsidRPr="008F44FC">
      <w:rPr>
        <w:i/>
        <w:iCs/>
        <w:sz w:val="20"/>
        <w:szCs w:val="20"/>
      </w:rPr>
      <w:fldChar w:fldCharType="separate"/>
    </w:r>
    <w:r w:rsidRPr="008F44FC">
      <w:rPr>
        <w:i/>
        <w:iCs/>
        <w:noProof/>
        <w:sz w:val="20"/>
        <w:szCs w:val="20"/>
      </w:rPr>
      <w:t>11</w:t>
    </w:r>
    <w:r w:rsidRPr="008F44FC"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21C4" w:rsidRDefault="00C621C4" w:rsidP="00D52F7B">
      <w:pPr>
        <w:spacing w:after="0" w:line="240" w:lineRule="auto"/>
      </w:pPr>
      <w:r>
        <w:separator/>
      </w:r>
    </w:p>
  </w:footnote>
  <w:footnote w:type="continuationSeparator" w:id="0">
    <w:p w:rsidR="00C621C4" w:rsidRDefault="00C621C4" w:rsidP="00D52F7B">
      <w:pPr>
        <w:spacing w:after="0" w:line="240" w:lineRule="auto"/>
      </w:pPr>
      <w:r>
        <w:continuationSeparator/>
      </w:r>
    </w:p>
  </w:footnote>
  <w:footnote w:id="1">
    <w:p w:rsidR="00D52F7B" w:rsidRDefault="00D52F7B">
      <w:pPr>
        <w:pStyle w:val="Textodenotaderodap"/>
      </w:pPr>
      <w:r>
        <w:rPr>
          <w:rStyle w:val="Refdenotaderodap"/>
        </w:rPr>
        <w:footnoteRef/>
      </w:r>
      <w:r>
        <w:t xml:space="preserve"> Vide indicador de Limite de Gastos Totais.</w:t>
      </w:r>
    </w:p>
  </w:footnote>
  <w:footnote w:id="2">
    <w:p w:rsidR="00D52F7B" w:rsidRDefault="00D52F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52F7B">
        <w:t xml:space="preserve">Caso isso ocorra o </w:t>
      </w:r>
      <w:r>
        <w:rPr>
          <w:rFonts w:ascii="Calibri" w:hAnsi="Calibri" w:cs="Calibri"/>
        </w:rPr>
        <w:t>§</w:t>
      </w:r>
      <w:r w:rsidRPr="00D52F7B">
        <w:t xml:space="preserve"> 2</w:t>
      </w:r>
      <w:r w:rsidRPr="00D52F7B">
        <w:rPr>
          <w:rFonts w:ascii="Calibri" w:hAnsi="Calibri" w:cs="Calibri"/>
        </w:rPr>
        <w:t>º</w:t>
      </w:r>
      <w:r w:rsidRPr="00D52F7B">
        <w:t xml:space="preserve"> do art. 168 da Constituição Federal determina a devolução ao Poder Executivo.</w:t>
      </w:r>
    </w:p>
  </w:footnote>
  <w:footnote w:id="3">
    <w:p w:rsidR="00D52F7B" w:rsidRDefault="00D52F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52F7B">
        <w:t>Média mensal empenhada extrapolada anualmente.</w:t>
      </w:r>
    </w:p>
  </w:footnote>
  <w:footnote w:id="4">
    <w:p w:rsidR="00D52F7B" w:rsidRDefault="00D52F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52F7B">
        <w:t>Tais como cauções e depósitos restituíveis.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44FC" w:rsidRPr="008F44FC" w:rsidRDefault="008F44FC" w:rsidP="008F44FC">
    <w:pPr>
      <w:pStyle w:val="Cabealho"/>
      <w:pBdr>
        <w:bottom w:val="single" w:sz="4" w:space="1" w:color="BFBFBF" w:themeColor="background1" w:themeShade="BF"/>
      </w:pBdr>
      <w:rPr>
        <w:i/>
        <w:iCs/>
        <w:sz w:val="20"/>
        <w:szCs w:val="20"/>
      </w:rPr>
    </w:pPr>
    <w:r w:rsidRPr="008F44FC">
      <w:rPr>
        <w:i/>
        <w:iCs/>
        <w:sz w:val="20"/>
        <w:szCs w:val="20"/>
      </w:rPr>
      <w:t>Indicadores Mensais</w:t>
    </w:r>
    <w:r w:rsidRPr="008F44FC">
      <w:rPr>
        <w:i/>
        <w:iCs/>
        <w:sz w:val="20"/>
        <w:szCs w:val="20"/>
      </w:rPr>
      <w:tab/>
      <w:t>Poder Legislativo</w:t>
    </w:r>
    <w:r w:rsidRPr="008F44FC">
      <w:rPr>
        <w:i/>
        <w:iCs/>
        <w:sz w:val="20"/>
        <w:szCs w:val="20"/>
      </w:rPr>
      <w:tab/>
    </w:r>
    <w:r w:rsidRPr="008F44FC">
      <w:rPr>
        <w:i/>
        <w:iCs/>
        <w:sz w:val="20"/>
        <w:szCs w:val="20"/>
      </w:rPr>
      <w:fldChar w:fldCharType="begin"/>
    </w:r>
    <w:r w:rsidRPr="008F44FC">
      <w:rPr>
        <w:i/>
        <w:iCs/>
        <w:sz w:val="20"/>
        <w:szCs w:val="20"/>
      </w:rPr>
      <w:instrText xml:space="preserve"> LINK </w:instrText>
    </w:r>
    <w:r w:rsidR="0004639A">
      <w:rPr>
        <w:i/>
        <w:iCs/>
        <w:sz w:val="20"/>
        <w:szCs w:val="20"/>
      </w:rPr>
      <w:instrText xml:space="preserve">Excel.Sheet.12 C:\\Users\\Everton\\Desktop\\Contabil\\indicadores3\\cm_view.xlsx Extras!L2C3 </w:instrText>
    </w:r>
    <w:r w:rsidRPr="008F44FC">
      <w:rPr>
        <w:i/>
        <w:iCs/>
        <w:sz w:val="20"/>
        <w:szCs w:val="20"/>
      </w:rPr>
      <w:instrText xml:space="preserve">\a \t  \* MERGEFORMAT </w:instrText>
    </w:r>
    <w:r w:rsidR="0004639A" w:rsidRPr="008F44FC">
      <w:rPr>
        <w:i/>
        <w:iCs/>
        <w:sz w:val="20"/>
        <w:szCs w:val="20"/>
      </w:rPr>
      <w:fldChar w:fldCharType="separate"/>
    </w:r>
    <w:r w:rsidR="0004639A" w:rsidRPr="0004639A">
      <w:rPr>
        <w:i/>
        <w:iCs/>
        <w:sz w:val="20"/>
        <w:szCs w:val="20"/>
      </w:rPr>
      <w:t>outubro de 2022</w:t>
    </w:r>
    <w:r w:rsidRPr="008F44FC">
      <w:rPr>
        <w:i/>
        <w:iCs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D4"/>
    <w:rsid w:val="00025221"/>
    <w:rsid w:val="0004639A"/>
    <w:rsid w:val="0008725C"/>
    <w:rsid w:val="00261F07"/>
    <w:rsid w:val="006054A6"/>
    <w:rsid w:val="00640346"/>
    <w:rsid w:val="00704E6B"/>
    <w:rsid w:val="00801568"/>
    <w:rsid w:val="00832112"/>
    <w:rsid w:val="008405D4"/>
    <w:rsid w:val="008557F1"/>
    <w:rsid w:val="008D0542"/>
    <w:rsid w:val="008F44FC"/>
    <w:rsid w:val="00AD2CD7"/>
    <w:rsid w:val="00AF3C79"/>
    <w:rsid w:val="00BB75F1"/>
    <w:rsid w:val="00C204A8"/>
    <w:rsid w:val="00C310AB"/>
    <w:rsid w:val="00C32ADE"/>
    <w:rsid w:val="00C621C4"/>
    <w:rsid w:val="00C80A83"/>
    <w:rsid w:val="00D52F7B"/>
    <w:rsid w:val="00DA1996"/>
    <w:rsid w:val="00DD1C4B"/>
    <w:rsid w:val="00ED71F9"/>
    <w:rsid w:val="00F234C2"/>
    <w:rsid w:val="00FD1AEB"/>
    <w:rsid w:val="00FF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BB582DB6-64F7-436B-8F94-76C5B7D6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0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1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40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405D4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84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40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F3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A19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2F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2F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52F7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F44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4FC"/>
  </w:style>
  <w:style w:type="paragraph" w:styleId="Rodap">
    <w:name w:val="footer"/>
    <w:basedOn w:val="Normal"/>
    <w:link w:val="RodapChar"/>
    <w:uiPriority w:val="99"/>
    <w:unhideWhenUsed/>
    <w:rsid w:val="008F44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44FC"/>
  </w:style>
  <w:style w:type="paragraph" w:styleId="CabealhodoSumrio">
    <w:name w:val="TOC Heading"/>
    <w:basedOn w:val="Ttulo1"/>
    <w:next w:val="Normal"/>
    <w:uiPriority w:val="39"/>
    <w:unhideWhenUsed/>
    <w:qFormat/>
    <w:rsid w:val="0004639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63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4639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46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file:///C:\Users\Everton\Desktop\Contabil\indicadores3\cm_view.xlsx!DTP1!%5bcm_view.xlsx%5dDTP1%20Gr&#225;fico%201" TargetMode="External"/><Relationship Id="rId26" Type="http://schemas.openxmlformats.org/officeDocument/2006/relationships/oleObject" Target="file:///C:\Users\Everton\Desktop\Contabil\indicadores3\cm_view.xlsx!Suplementacao2!%5bcm_view.xlsx%5dSuplementacao2%20Gr&#225;fico%20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header" Target="header1.xml"/><Relationship Id="rId12" Type="http://schemas.openxmlformats.org/officeDocument/2006/relationships/oleObject" Target="file:///C:\Users\Everton\Desktop\Contabil\indicadores3\cm_view.xlsx!GastoTotal2!%5bcm_view.xlsx%5dGastoTotal2%20Gr&#225;fico%201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file:///C:\Users\Everton\Desktop\Contabil\indicadores3\cm_view.xlsx!GastoFolhaCF2!%5bcm_view.xlsx%5dGastoFolhaCF2%20Gr&#225;fico%201" TargetMode="External"/><Relationship Id="rId20" Type="http://schemas.openxmlformats.org/officeDocument/2006/relationships/oleObject" Target="file:///C:\Users\Everton\Desktop\Contabil\indicadores3\cm_view.xlsx!DTP2!%5bcm_view.xlsx%5dDTP2%20Gr&#225;fico%201" TargetMode="External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oleObject" Target="file:///C:\Users\Everton\Desktop\Contabil\indicadores3\cm_view.xlsx!Suplementacao1!%5bcm_view.xlsx%5dSuplementacao1%20Gr&#225;fico%20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file:///C:\Users\Everton\Desktop\Contabil\indicadores3\cm_view.xlsx!ResultadoOrcamentario1!%5bcm_view.xlsx%5dResultadoOrcamentario1%20Gr&#225;fico%201" TargetMode="External"/><Relationship Id="rId10" Type="http://schemas.openxmlformats.org/officeDocument/2006/relationships/oleObject" Target="file:///C:\Users\Everton\Desktop\Contabil\indicadores3\cm_view.xlsx!GastoTotalCF1!%5bcm_view.xlsx%5dGastoTotalCF1%20Gr&#225;fico%201" TargetMode="External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file:///C:\Users\Everton\Desktop\Contabil\indicadores3\cm_view.xlsx!GastoFolhaCF1!%5bcm_view.xlsx%5dGastoFolhaCF1%20Gr&#225;fico%201" TargetMode="External"/><Relationship Id="rId22" Type="http://schemas.openxmlformats.org/officeDocument/2006/relationships/oleObject" Target="file:///C:\Users\Everton\Desktop\Contabil\indicadores3\cm_view.xlsx!DTP3!%5bcm_view.xlsx%5dDTP3%20Gr&#225;fico%201" TargetMode="External"/><Relationship Id="rId27" Type="http://schemas.openxmlformats.org/officeDocument/2006/relationships/image" Target="media/image10.emf"/><Relationship Id="rId30" Type="http://schemas.openxmlformats.org/officeDocument/2006/relationships/oleObject" Target="file:///C:\Users\Everton\Desktop\Contabil\indicadores3\cm_view.xlsx!SaldoFinanceiro1!%5bcm_view.xlsx%5dSaldoFinanceiro1%20Gr&#225;fico%2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226C-EBE6-4320-8BAD-1F34AE6A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1574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da Rosa</dc:creator>
  <cp:keywords/>
  <dc:description/>
  <cp:lastModifiedBy>Everton da Rosa</cp:lastModifiedBy>
  <cp:revision>22</cp:revision>
  <cp:lastPrinted>2022-11-21T19:27:00Z</cp:lastPrinted>
  <dcterms:created xsi:type="dcterms:W3CDTF">2022-11-10T17:48:00Z</dcterms:created>
  <dcterms:modified xsi:type="dcterms:W3CDTF">2022-11-23T10:13:00Z</dcterms:modified>
</cp:coreProperties>
</file>