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45.png" ContentType="image/png"/>
  <Override PartName="/word/media/image1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DEAtir"/>
      </w:pPr>
      <w:r>
        <w:drawing>
          <wp:inline>
            <wp:extent cx="3712464" cy="98929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word-templates/idea-logo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464" cy="989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DEAtir"/>
      </w:pPr>
      <w:r>
        <w:rPr>
          <w:i/>
          <w:iCs/>
        </w:rPr>
        <w:t xml:space="preserve">Interaktivní aplikace/2025</w:t>
      </w:r>
      <w:r>
        <w:t xml:space="preserve"> </w:t>
      </w:r>
    </w:p>
    <w:p>
      <w:pPr>
        <w:pStyle w:val="IDEAhr"/>
      </w:pPr>
      <w:r>
        <w:t xml:space="preserve"> </w:t>
      </w:r>
    </w:p>
    <w:p>
      <w:pPr>
        <w:pStyle w:val="IDEAtitle0"/>
      </w:pPr>
      <w:r>
        <w:t xml:space="preserve">Zaměstnanci státu a státní úředníci:</w:t>
      </w:r>
      <w:r>
        <w:br/>
      </w:r>
      <w:r>
        <w:t xml:space="preserve">kde pracují a za kolik?</w:t>
      </w:r>
      <w:r>
        <w:rPr>
          <w:rStyle w:val="FootnoteReference"/>
        </w:rPr>
        <w:footnoteReference w:id="48"/>
      </w:r>
    </w:p>
    <w:p>
      <w:pPr>
        <w:pStyle w:val="IDEAtir"/>
      </w:pPr>
      <w:r>
        <w:rPr>
          <w:smallCaps/>
        </w:rPr>
        <w:t xml:space="preserve">Červen 2026</w:t>
      </w:r>
    </w:p>
    <w:p>
      <w:pPr>
        <w:pStyle w:val="IDEAtir"/>
      </w:pPr>
      <w:r>
        <w:rPr>
          <w:smallCaps/>
        </w:rPr>
        <w:t xml:space="preserve">Petr Bouchal, Taras Hrendaš</w:t>
      </w:r>
      <w:r>
        <w:rPr>
          <w:smallCaps/>
          <w:vertAlign w:val="superscript"/>
        </w:rPr>
        <w:t xml:space="preserve">*</w:t>
      </w:r>
      <w:r>
        <w:rPr>
          <w:smallCaps/>
        </w:rPr>
        <w:t xml:space="preserve">, Daniel Münich</w:t>
      </w:r>
      <w:r>
        <w:rPr>
          <w:smallCaps/>
          <w:vertAlign w:val="superscript"/>
        </w:rPr>
        <w:t xml:space="preserve">*</w:t>
      </w:r>
      <w:r>
        <w:t xml:space="preserve"> </w:t>
      </w:r>
    </w:p>
    <w:p>
      <w:pPr>
        <w:pStyle w:val="IDEAhr"/>
      </w:pPr>
      <w:r>
        <w:t xml:space="preserve"> </w:t>
      </w:r>
    </w:p>
    <w:bookmarkStart w:id="67" w:name="X80d1447286f4bf3b0de81997e34c38f3afee990"/>
    <w:p>
      <w:pPr>
        <w:pStyle w:val="Heading1"/>
      </w:pPr>
      <w:r>
        <w:t xml:space="preserve">Shrnutí klíčových poznatků z interaktivní datové aplikace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Interaktivní</w:t>
      </w:r>
      <w:r>
        <w:rPr>
          <w:b/>
          <w:bCs/>
        </w:rPr>
        <w:t xml:space="preserve"> </w:t>
      </w:r>
      <w:hyperlink r:id="rId50">
        <w:r>
          <w:rPr>
            <w:rStyle w:val="Hyperlink"/>
            <w:b/>
            <w:bCs/>
          </w:rPr>
          <w:t xml:space="preserve">on-line aplikaci</w:t>
        </w:r>
      </w:hyperlink>
      <w:r>
        <w:t xml:space="preserve"> </w:t>
      </w:r>
      <w:r>
        <w:t xml:space="preserve">každoročně aktualizujeme o nejnovější údaje o počtech zaměstnanců státu, jejich platech a nákladech na ně, a to na základě údajů z každoročního</w:t>
      </w:r>
      <w:r>
        <w:t xml:space="preserve"> </w:t>
      </w:r>
      <w:hyperlink r:id="rId51">
        <w:r>
          <w:rPr>
            <w:rStyle w:val="Hyperlink"/>
          </w:rPr>
          <w:t xml:space="preserve">Státního závěrečného účtu</w:t>
        </w:r>
      </w:hyperlink>
      <w:r>
        <w:t xml:space="preserve">.</w:t>
      </w:r>
      <w:r>
        <w:t xml:space="preserve"> </w:t>
      </w:r>
      <w:r>
        <w:t xml:space="preserve">Níže uvádíme přehled klíčových zjištění.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 zaměstnance státu považujeme</w:t>
      </w:r>
      <w:r>
        <w:t xml:space="preserve"> </w:t>
      </w:r>
      <w:r>
        <w:t xml:space="preserve">ty, jejichž zaměstnanost reguluje a financuje státní rozpočet (SR), a je jich téměř půl milionu.</w:t>
      </w:r>
      <w:r>
        <w:t xml:space="preserve"> </w:t>
      </w:r>
      <w:r>
        <w:t xml:space="preserve">To představuje necelých 10 % české pracovní síly.</w:t>
      </w:r>
      <w:r>
        <w:t xml:space="preserve"> </w:t>
      </w:r>
      <w:r>
        <w:t xml:space="preserve">Zdaleka největší podíl představují zaměstnanci v regionálním školství (cca 290 tisíc), bezpečnostních sborů (cca 80 tisíc) jako jsou policie, hasiči, celní správa, vězeňská služba a v armádě.</w:t>
      </w:r>
    </w:p>
    <w:p>
      <w:pPr>
        <w:pStyle w:val="nospacepara"/>
        <w:numPr>
          <w:ilvl w:val="0"/>
          <w:numId w:val="1000"/>
        </w:numPr>
      </w:pPr>
      <w:hyperlink r:id="rId52">
        <w:r>
          <w:rPr>
            <w:rStyle w:val="Hyperlink"/>
          </w:rPr>
          <w:t xml:space="preserve">Graf 1a. Počet zaměstnanců státu dle regulace zaměstnanosti</w:t>
        </w:r>
      </w:hyperlink>
    </w:p>
    <w:p>
      <w:pPr>
        <w:pStyle w:val="nospacepara"/>
        <w:numPr>
          <w:ilvl w:val="0"/>
          <w:numId w:val="1000"/>
        </w:numPr>
      </w:pPr>
      <w:hyperlink r:id="rId53">
        <w:r>
          <w:rPr>
            <w:rStyle w:val="Hyperlink"/>
          </w:rPr>
          <w:t xml:space="preserve">Graf 2a. Počet zaměstnanců státu dle rozpočtových kapitol</w:t>
        </w:r>
      </w:hyperlink>
    </w:p>
    <w:bookmarkStart w:id="58" w:name="počty-zaměstnanců-státu"/>
    <w:p>
      <w:pPr>
        <w:pStyle w:val="Heading2"/>
      </w:pPr>
      <w:r>
        <w:t xml:space="preserve">Počty zaměstnanců státu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Celkový počet zaměstnanců státu v roce 2025</w:t>
      </w:r>
      <w:r>
        <w:t xml:space="preserve"> </w:t>
      </w:r>
      <w:r>
        <w:t xml:space="preserve">vzrostl o cca 3 000 osob (0,6 %)</w:t>
      </w:r>
    </w:p>
    <w:p>
      <w:pPr>
        <w:pStyle w:val="nospacepara"/>
        <w:numPr>
          <w:ilvl w:val="0"/>
          <w:numId w:val="1000"/>
        </w:numPr>
      </w:pPr>
      <w:hyperlink r:id="rId54">
        <w:r>
          <w:rPr>
            <w:rStyle w:val="Hyperlink"/>
          </w:rPr>
          <w:t xml:space="preserve">Graf 10. Změny počtu zaměstnanců ve sféře rozpočtové regulace, podle kategorií</w:t>
        </w:r>
      </w:hyperlink>
    </w:p>
    <w:p>
      <w:pPr>
        <w:numPr>
          <w:ilvl w:val="1"/>
          <w:numId w:val="1003"/>
        </w:numPr>
      </w:pPr>
      <w:r>
        <w:t xml:space="preserve">Počet státních úředníků velmi mírně klesl (o 300 osob, 0.3 %); mírné nárůsty na ústředních úřadech více než kompenzovaly úbytky zaměstnanců velkých neústředních úřadů.</w:t>
      </w:r>
    </w:p>
    <w:p>
      <w:pPr>
        <w:numPr>
          <w:ilvl w:val="1"/>
          <w:numId w:val="1003"/>
        </w:numPr>
      </w:pPr>
      <w:r>
        <w:t xml:space="preserve">Počet zaměstnanců ministerstev vzrostl o zhruba 300.</w:t>
      </w:r>
    </w:p>
    <w:p>
      <w:pPr>
        <w:numPr>
          <w:ilvl w:val="1"/>
          <w:numId w:val="1003"/>
        </w:numPr>
      </w:pPr>
      <w:r>
        <w:t xml:space="preserve">Počet zaměstnanců ostatních ústředních orgánů vzrostl o zhruba 50 (+1 %).</w:t>
      </w:r>
    </w:p>
    <w:p>
      <w:pPr>
        <w:numPr>
          <w:ilvl w:val="1"/>
          <w:numId w:val="1003"/>
        </w:numPr>
      </w:pPr>
      <w:r>
        <w:t xml:space="preserve">Výrazně přibylo zaměstnanců regionálního školství zhruba o 3 800 (+1,4 %).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Sektor školství spadající pod MŠMT (příspěvkové organizace) za poslední dekádu přispěl k celkovému nárůstu počtu zaměstnanců státu nejvíce.</w:t>
      </w:r>
      <w:r>
        <w:t xml:space="preserve"> </w:t>
      </w:r>
      <w:r>
        <w:t xml:space="preserve">Od roku 2017 se meziroční nárůsty pohybovaly mezi 3,8 až 14,9 tisíci zaměstnanců, což ale s ohledem na vysoké počty zaměstnanců znamená růsty pouze v řádu 1 až 3 %.</w:t>
      </w:r>
      <w:r>
        <w:t xml:space="preserve"> </w:t>
      </w:r>
      <w:r>
        <w:t xml:space="preserve">Souviselo to jak s demograficky taženým růstem počtu dětí školního věku v tomto období, tak se zaváděním inkluze, která dříve v českém školství absentovala.</w:t>
      </w:r>
    </w:p>
    <w:p>
      <w:pPr>
        <w:pStyle w:val="nospacepara"/>
        <w:numPr>
          <w:ilvl w:val="0"/>
          <w:numId w:val="1000"/>
        </w:numPr>
      </w:pPr>
      <w:hyperlink r:id="rId54">
        <w:r>
          <w:rPr>
            <w:rStyle w:val="Hyperlink"/>
          </w:rPr>
          <w:t xml:space="preserve">Graf 10. Změny počtu zaměstnanců ve sféře rozpočtové regulace, podle kategorií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Státních úředníků je mezi zaměstnanci státu cca 75 tisíc (15 % zaměstnanců státu)</w:t>
      </w:r>
      <w:r>
        <w:t xml:space="preserve">.</w:t>
      </w:r>
      <w:r>
        <w:t xml:space="preserve"> </w:t>
      </w:r>
      <w:r>
        <w:t xml:space="preserve">Většina z nich pracuje v ‚Neústřední státní správě’, tj.</w:t>
      </w:r>
      <w:r>
        <w:t xml:space="preserve"> </w:t>
      </w:r>
      <w:r>
        <w:t xml:space="preserve">v organizacích, jako jsou finanční úřady či správa sociálního zabezpečení, úřady práce, tedy často na pobočkách mimo Prahu.</w:t>
      </w:r>
      <w:r>
        <w:t xml:space="preserve"> </w:t>
      </w:r>
      <w:r>
        <w:t xml:space="preserve">Na ministerstvech pak pracuje necelých 23 tis.</w:t>
      </w:r>
      <w:r>
        <w:t xml:space="preserve"> </w:t>
      </w:r>
      <w:r>
        <w:t xml:space="preserve">osob, představují necelých 5 % zaměstnanců státu a necelého půl procenta pracovní síly v ekonomice (toto číslo zahrnuje i příslušníky a zaměstnance bezpečnostních sborů evidované na Ministerstvu vnitra (MV ČR), které nelze v těchto datech odlišit).</w:t>
      </w:r>
      <w:r>
        <w:t xml:space="preserve"> </w:t>
      </w:r>
      <w:r>
        <w:t xml:space="preserve">Státních úředníků je tedy mnohem méně, než jaké jsou laické představy a případná očekávání ohledně rozsahu možných úspor v této oblasti.</w:t>
      </w:r>
    </w:p>
    <w:p>
      <w:pPr>
        <w:pStyle w:val="nospacepara"/>
        <w:numPr>
          <w:ilvl w:val="0"/>
          <w:numId w:val="1000"/>
        </w:numPr>
      </w:pPr>
      <w:hyperlink r:id="rId52">
        <w:r>
          <w:rPr>
            <w:rStyle w:val="Hyperlink"/>
          </w:rPr>
          <w:t xml:space="preserve">Graf 1a. Počet zaměstnanců státu dle regulace zaměstnanosti</w:t>
        </w:r>
      </w:hyperlink>
    </w:p>
    <w:p>
      <w:pPr>
        <w:pStyle w:val="nospacepara"/>
        <w:numPr>
          <w:ilvl w:val="0"/>
          <w:numId w:val="1000"/>
        </w:numPr>
      </w:pPr>
      <w:hyperlink r:id="rId55">
        <w:r>
          <w:rPr>
            <w:rStyle w:val="Hyperlink"/>
          </w:rPr>
          <w:t xml:space="preserve">Graf 4a. Počet státních úředníků 2003–2024</w:t>
        </w:r>
      </w:hyperlink>
    </w:p>
    <w:p>
      <w:pPr>
        <w:pStyle w:val="nospacepara"/>
        <w:numPr>
          <w:ilvl w:val="0"/>
          <w:numId w:val="1000"/>
        </w:numPr>
      </w:pPr>
      <w:hyperlink r:id="rId56">
        <w:r>
          <w:rPr>
            <w:rStyle w:val="Hyperlink"/>
          </w:rPr>
          <w:t xml:space="preserve">Graf 4b. Počet státních úředníků 2003–2025, včetně MV a MZV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Počty státních úředníků</w:t>
      </w:r>
      <w:r>
        <w:t xml:space="preserve"> </w:t>
      </w:r>
      <w:r>
        <w:t xml:space="preserve">se poslední dvě dekády pohybovaly v rozmezí 71 tis.</w:t>
      </w:r>
      <w:r>
        <w:t xml:space="preserve"> </w:t>
      </w:r>
      <w:r>
        <w:t xml:space="preserve">(rok 2012) a 79 tis.</w:t>
      </w:r>
      <w:r>
        <w:t xml:space="preserve"> </w:t>
      </w:r>
      <w:r>
        <w:t xml:space="preserve">(rok 2019).</w:t>
      </w:r>
      <w:r>
        <w:t xml:space="preserve"> </w:t>
      </w:r>
      <w:r>
        <w:t xml:space="preserve">Do dlouhodobých trendů se promítly snahy o konsolidaci veřejných rozpočtů po roce 2010 a po roce 2021.</w:t>
      </w:r>
      <w:r>
        <w:t xml:space="preserve"> </w:t>
      </w:r>
      <w:r>
        <w:t xml:space="preserve">Za mírným poklesem počtu státních úředníků po roce 2021 o zhruba 3 000 stály hlavně poklesy v sektoru ‚Neústřední státní správy’, která zahrnuje organizace podřízené ministerstvům jako např.</w:t>
      </w:r>
      <w:r>
        <w:t xml:space="preserve"> </w:t>
      </w:r>
      <w:r>
        <w:t xml:space="preserve">finanční správa nebo úřady práce.</w:t>
      </w:r>
      <w:r>
        <w:t xml:space="preserve"> </w:t>
      </w:r>
      <w:r>
        <w:t xml:space="preserve">‚Neústřední státní správa’ zaměstnává většinu státních úředníků (64 %).</w:t>
      </w:r>
      <w:r>
        <w:t xml:space="preserve"> </w:t>
      </w:r>
      <w:r>
        <w:t xml:space="preserve">Naopak počet státních úředníků přímo na ministerstvech po roce 2021 mírně narostl z 22 729 na 23 130 (toto číslo zahrnuje i příslušníky a zaměstnance bezpečnostních sborů evidované pod IČO Ministerstva vnitra, které nelze v těchto datech odlišit).</w:t>
      </w:r>
    </w:p>
    <w:p>
      <w:pPr>
        <w:pStyle w:val="nospacepara"/>
        <w:numPr>
          <w:ilvl w:val="0"/>
          <w:numId w:val="1000"/>
        </w:numPr>
      </w:pPr>
      <w:hyperlink r:id="rId56">
        <w:r>
          <w:rPr>
            <w:rStyle w:val="Hyperlink"/>
          </w:rPr>
          <w:t xml:space="preserve">Graf 4b. Počet státních úředníků 2003–2025, včetně MV a MZV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Veřejný sektor, uváděný v některých statistikách ČSÚ</w:t>
      </w:r>
      <w:r>
        <w:t xml:space="preserve">, představuje širší skupinu než jsou zaměstnanci státu, a navíc zahrnuje např.</w:t>
      </w:r>
      <w:r>
        <w:t xml:space="preserve"> </w:t>
      </w:r>
      <w:r>
        <w:t xml:space="preserve">instituce veřejného zdravotnictví, veřejných vysokých škol a státní firmy.</w:t>
      </w:r>
      <w:r>
        <w:t xml:space="preserve"> </w:t>
      </w:r>
      <w:r>
        <w:t xml:space="preserve">Zaměstnanost v takto definovaném sektoru dlouhodobě představuje zhruba 1 milion osob, tedy necelou pětinu pracovní síly v české ekonomice.</w:t>
      </w:r>
    </w:p>
    <w:p>
      <w:pPr>
        <w:pStyle w:val="nospacepara"/>
        <w:numPr>
          <w:ilvl w:val="0"/>
          <w:numId w:val="1000"/>
        </w:numPr>
      </w:pPr>
      <w:hyperlink r:id="rId57">
        <w:r>
          <w:rPr>
            <w:rStyle w:val="Hyperlink"/>
          </w:rPr>
          <w:t xml:space="preserve">Graf 9a. Počet zaměstnanců veřejného sektoru</w:t>
        </w:r>
      </w:hyperlink>
    </w:p>
    <w:bookmarkEnd w:id="58"/>
    <w:bookmarkStart w:id="63" w:name="platy-zaměstnanců-státu"/>
    <w:p>
      <w:pPr>
        <w:pStyle w:val="Heading2"/>
      </w:pPr>
      <w:r>
        <w:t xml:space="preserve">Platy zaměstnanců státu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Průměrné reálné platy státních úředníků v roce 2025 poprvé od roku 2020 zaznamenaly nárůst</w:t>
      </w:r>
      <w:r>
        <w:t xml:space="preserve"> </w:t>
      </w:r>
      <w:r>
        <w:t xml:space="preserve">(ministerstva, ostatní ústřední orgány, neústřední úřady).</w:t>
      </w:r>
      <w:r>
        <w:t xml:space="preserve"> </w:t>
      </w:r>
      <w:r>
        <w:t xml:space="preserve">Platy na neministerských ústředních orgánech a na ministerstvech rostly o něco rychleji než na neústředních úřadech (3,2 % a 4,5 % oproti 1,3 %).</w:t>
      </w:r>
      <w:r>
        <w:t xml:space="preserve"> </w:t>
      </w:r>
      <w:r>
        <w:t xml:space="preserve">Průměrné platy ve všech těchto skupinách organizací ale dále klesaly vůči průměrné mzdě v ekonomice, protože v jiných částech ekonomiky platy rostly rychleji. Nejvíce se vůči konkurenčním mzdám propadla ministerstva a ústřední orgány, které je třeba srovnávat s platy v Praze. Jejich platová úroveň nyní dosahuje cca 90 % pražského průměru, a to i přesto, že v těchto úřadech pracuje vyšší podíl např. vysokoškolsky vzdělaných lidí, než na celém trhu práce v Praze.</w:t>
      </w:r>
    </w:p>
    <w:p>
      <w:pPr>
        <w:pStyle w:val="nospacepara"/>
        <w:numPr>
          <w:ilvl w:val="0"/>
          <w:numId w:val="1000"/>
        </w:numPr>
      </w:pPr>
      <w:hyperlink r:id="rId59">
        <w:r>
          <w:rPr>
            <w:rStyle w:val="Hyperlink"/>
          </w:rPr>
          <w:t xml:space="preserve">Graf 5a. Reálné průměrné platy státních úředníků 2004–2025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Průměrné relativní platy státních úředníků</w:t>
      </w:r>
      <w:r>
        <w:t xml:space="preserve">, tedy v poměru k průměrným platům v ekonomice, se poslední dvě dekády vyvíjely velmi cyklicky.</w:t>
      </w:r>
      <w:r>
        <w:t xml:space="preserve"> </w:t>
      </w:r>
      <w:r>
        <w:t xml:space="preserve">Minima dosáhly v letech 2011–2012, maxima kolem roku 2018 a od té doby klesají.</w:t>
      </w:r>
      <w:r>
        <w:t xml:space="preserve"> </w:t>
      </w:r>
      <w:r>
        <w:t xml:space="preserve">Rok 2024 byl pro ministerstva již pátým rokem v řadě, kdy relativní platy klesaly a klesly pod minimum roku 2021.</w:t>
      </w:r>
      <w:r>
        <w:t xml:space="preserve"> </w:t>
      </w:r>
      <w:r>
        <w:t xml:space="preserve">Letošní poklesy relativních platů ústředních úřadů a ministerstev přichází po ještě strmějších propadech v roce 2024.</w:t>
      </w:r>
    </w:p>
    <w:p>
      <w:pPr>
        <w:pStyle w:val="nospacepara"/>
        <w:numPr>
          <w:ilvl w:val="0"/>
          <w:numId w:val="1000"/>
        </w:numPr>
      </w:pPr>
      <w:hyperlink r:id="rId60">
        <w:r>
          <w:rPr>
            <w:rStyle w:val="Hyperlink"/>
          </w:rPr>
          <w:t xml:space="preserve">Graf 5b. Průměrné platy státních úředníků v poměru k průměrné mzdě v ekonomice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Průměrné reálné platy v sektoru státní správy v letech 2015–2018</w:t>
      </w:r>
      <w:r>
        <w:t xml:space="preserve"> </w:t>
      </w:r>
      <w:r>
        <w:t xml:space="preserve">svým vývojem převyšovaly růst průměrných reálných mezd v ekonomice.</w:t>
      </w:r>
      <w:r>
        <w:t xml:space="preserve"> </w:t>
      </w:r>
      <w:r>
        <w:t xml:space="preserve">To přispělo k růstu relativních platů ve státní správě, a tedy i nákladů na tyto platy.</w:t>
      </w:r>
      <w:r>
        <w:t xml:space="preserve"> </w:t>
      </w:r>
      <w:r>
        <w:t xml:space="preserve">V roce 2021 došlo k velkému propadu reálných platů ve státní správě, zatímco reálné mzdy v ekonomice ještě rostly.</w:t>
      </w:r>
      <w:r>
        <w:t xml:space="preserve"> </w:t>
      </w:r>
      <w:r>
        <w:t xml:space="preserve">V letech 2022 a 2023 potom došlo k vysokým a podobným propadům reálných platů i mezd v ekonomice.</w:t>
      </w:r>
      <w:r>
        <w:t xml:space="preserve"> </w:t>
      </w:r>
      <w:r>
        <w:t xml:space="preserve">V roce 2024 veřejná správa téměř kopírovala vývoj v ekonomice.</w:t>
      </w:r>
    </w:p>
    <w:p>
      <w:pPr>
        <w:pStyle w:val="nospacepara"/>
        <w:numPr>
          <w:ilvl w:val="0"/>
          <w:numId w:val="1000"/>
        </w:numPr>
      </w:pPr>
      <w:hyperlink r:id="rId59">
        <w:r>
          <w:rPr>
            <w:rStyle w:val="Hyperlink"/>
          </w:rPr>
          <w:t xml:space="preserve">Graf 5a. Reálné průměrné platy státních úředníků 2004–2024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Průměrné platy</w:t>
      </w:r>
      <w:r>
        <w:t xml:space="preserve"> </w:t>
      </w:r>
      <w:r>
        <w:t xml:space="preserve">se výrazně liší jak mezi kategoriemi organizací, tak mezi organizacemi uvnitř těchto kategorií.</w:t>
      </w:r>
      <w:r>
        <w:t xml:space="preserve"> </w:t>
      </w:r>
      <w:r>
        <w:t xml:space="preserve">Naše srovnání založená na datech</w:t>
      </w:r>
      <w:r>
        <w:t xml:space="preserve"> </w:t>
      </w:r>
      <w:r>
        <w:rPr>
          <w:i/>
          <w:iCs/>
        </w:rPr>
        <w:t xml:space="preserve">Státního závěrečného účtu</w:t>
      </w:r>
      <w:r>
        <w:t xml:space="preserve"> </w:t>
      </w:r>
      <w:r>
        <w:t xml:space="preserve">ale nemohou zohlednit vzdělanostní a další rozdíly, které se do platů a mezd promítají, což je třeba u prezentovaných srovnání brát v úvahu.</w:t>
      </w:r>
      <w:r>
        <w:t xml:space="preserve"> </w:t>
      </w:r>
      <w:r>
        <w:t xml:space="preserve">Srovnání platů a mezd, které zohledňuje rozdíly vykonávaných profesí, úrovně vzdělání, věku, pohlaví a regionu nabízí</w:t>
      </w:r>
      <w:r>
        <w:t xml:space="preserve"> </w:t>
      </w:r>
      <w:hyperlink r:id="rId61">
        <w:r>
          <w:rPr>
            <w:rStyle w:val="Hyperlink"/>
          </w:rPr>
          <w:t xml:space="preserve">studie IDEA (2025)</w:t>
        </w:r>
      </w:hyperlink>
      <w:r>
        <w:t xml:space="preserve">.</w:t>
      </w:r>
    </w:p>
    <w:p>
      <w:pPr>
        <w:pStyle w:val="nospacepara"/>
        <w:numPr>
          <w:ilvl w:val="0"/>
          <w:numId w:val="1000"/>
        </w:numPr>
      </w:pPr>
      <w:hyperlink r:id="rId62">
        <w:r>
          <w:rPr>
            <w:rStyle w:val="Hyperlink"/>
          </w:rPr>
          <w:t xml:space="preserve">Graf 3a. Průměrné platy zaměstnanců státu dle rozp. kapitoly (2024)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Nejvyšší průměrné měsíční platy</w:t>
      </w:r>
      <w:r>
        <w:t xml:space="preserve"> </w:t>
      </w:r>
      <w:r>
        <w:t xml:space="preserve">měli v roce 2024 zaměstnanci ministerstev (62 tis. Kč), dále pak zaměstnanci ‚Ostatních ústředních orgánů’ (56 tis. Kč).</w:t>
      </w:r>
      <w:r>
        <w:t xml:space="preserve"> </w:t>
      </w:r>
      <w:r>
        <w:t xml:space="preserve">Široký rozptyl měly průměrné platy organizací zařazených do kategorie ‚Ostatní organizační složky státu’, což odráží velkou rozmanitost funkcí a personálního složení těchto organizací.</w:t>
      </w:r>
      <w:r>
        <w:t xml:space="preserve"> </w:t>
      </w:r>
      <w:r>
        <w:t xml:space="preserve">Nejnižší platy pak mají zaměstnanci ‚Neústřední státní správy’, tedy převážně organizací poskytujících přímé služby občanům.</w:t>
      </w:r>
    </w:p>
    <w:p>
      <w:pPr>
        <w:pStyle w:val="nospacepara"/>
        <w:numPr>
          <w:ilvl w:val="0"/>
          <w:numId w:val="1000"/>
        </w:numPr>
      </w:pPr>
      <w:hyperlink r:id="rId62">
        <w:r>
          <w:rPr>
            <w:rStyle w:val="Hyperlink"/>
          </w:rPr>
          <w:t xml:space="preserve">Graf 3a. Průměrné platy zaměstnanců státu dle rozp. kapitoly (2024)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Průměrné platy zaměstnanců ministerstev</w:t>
      </w:r>
      <w:r>
        <w:t xml:space="preserve"> </w:t>
      </w:r>
      <w:r>
        <w:t xml:space="preserve">(sídlících většinou v Praze) se liší od průměrné mzdy v Praze v rozpětí +5/-15 % (vyšší je rozdíl u MZV, kde je systém odměňování specifický).</w:t>
      </w:r>
      <w:r>
        <w:t xml:space="preserve"> </w:t>
      </w:r>
      <w:r>
        <w:t xml:space="preserve">Přesné důvody této platové nerovnosti nelze z dostupných dat vysledovat.</w:t>
      </w:r>
      <w:r>
        <w:t xml:space="preserve"> </w:t>
      </w:r>
      <w:r>
        <w:t xml:space="preserve">Obecně ale hraje roli rozdílné personální složení co do odbornosti i věkové struktury a také zřejmě historicky dané rozdíly, které systém rozpočtování a platové politiky jednotlivých úřadů v průběhu času zachovávají.</w:t>
      </w:r>
    </w:p>
    <w:p>
      <w:pPr>
        <w:pStyle w:val="nospacepara"/>
        <w:numPr>
          <w:ilvl w:val="0"/>
          <w:numId w:val="1000"/>
        </w:numPr>
      </w:pPr>
      <w:hyperlink r:id="rId62">
        <w:r>
          <w:rPr>
            <w:rStyle w:val="Hyperlink"/>
          </w:rPr>
          <w:t xml:space="preserve">Graf 3a. Průměrné platy zaměstnanců státu dle rozp. kapitoly (2024)</w:t>
        </w:r>
      </w:hyperlink>
    </w:p>
    <w:bookmarkEnd w:id="63"/>
    <w:bookmarkStart w:id="66" w:name="výdaje-na-platy-zaměstnanců-státu"/>
    <w:p>
      <w:pPr>
        <w:pStyle w:val="Heading2"/>
      </w:pPr>
      <w:r>
        <w:t xml:space="preserve">Výdaje na platy zaměstnanců státu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Výdaje na platy zaměstnanců státu</w:t>
      </w:r>
      <w:r>
        <w:t xml:space="preserve"> </w:t>
      </w:r>
      <w:r>
        <w:t xml:space="preserve">regulované státním rozpočtem (SR) v roce 2025 činily 284 miliard Kč, což představuje 12 % výdajů SR a 3,3 % HDP.</w:t>
      </w:r>
      <w:r>
        <w:t xml:space="preserve"> </w:t>
      </w:r>
      <w:r>
        <w:t xml:space="preserve">Rozložení nákladů mezi jednotlivé oblasti zaměstnanosti zhruba odpovídá počtům tam pracujících zaměstnanců státu.</w:t>
      </w:r>
    </w:p>
    <w:p>
      <w:pPr>
        <w:pStyle w:val="nospacepara"/>
        <w:numPr>
          <w:ilvl w:val="0"/>
          <w:numId w:val="1000"/>
        </w:numPr>
      </w:pPr>
      <w:hyperlink r:id="rId64">
        <w:r>
          <w:rPr>
            <w:rStyle w:val="Hyperlink"/>
          </w:rPr>
          <w:t xml:space="preserve">Graf 1b. Výdaje na platy zaměstnanců státu dle regulace zaměstnanosti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Výdaje na platy státních úředníků</w:t>
      </w:r>
      <w:r>
        <w:t xml:space="preserve"> </w:t>
      </w:r>
      <w:r>
        <w:t xml:space="preserve">v roce 2024 činily zhruba 43,5 mld. Kč, což představuje 1,9 % státního rozpočtu a 0,54 % HDP.</w:t>
      </w:r>
      <w:r>
        <w:t xml:space="preserve"> </w:t>
      </w:r>
      <w:r>
        <w:t xml:space="preserve">Náklady na platy úředníků ministerstev (opět včetně všech osob na MV ČR) představovaly 17,3 mld. Kč, tedy 38 % celkových nákladů na úředníky státu (bez bezpečnostních sborů uvnitř MV ČR odhadem 10 mld., tedy 22 % nákladů na státní úředníky).</w:t>
      </w:r>
      <w:r>
        <w:t xml:space="preserve"> </w:t>
      </w:r>
      <w:r>
        <w:t xml:space="preserve">Laická očekávání, že úspory v těchto segmentech se mohou výrazně propsat do konsolidace veřejných výdajů, jsou tedy přehnaně optimistická.</w:t>
      </w:r>
      <w:r>
        <w:t xml:space="preserve"> </w:t>
      </w:r>
      <w:r>
        <w:t xml:space="preserve">To však nesnižuje potřebu zvyšování efektivity státní správy včetně jejího úředního aparátu.</w:t>
      </w:r>
    </w:p>
    <w:p>
      <w:pPr>
        <w:pStyle w:val="nospacepara"/>
        <w:numPr>
          <w:ilvl w:val="0"/>
          <w:numId w:val="1000"/>
        </w:numPr>
      </w:pPr>
      <w:hyperlink r:id="rId64">
        <w:r>
          <w:rPr>
            <w:rStyle w:val="Hyperlink"/>
          </w:rPr>
          <w:t xml:space="preserve">Graf 1b. Výdaje na platy zaměstnanců státu dle regulace zaměstnanosti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Nominální výdaje na platy státních úředníků poslední dvě dekády,</w:t>
      </w:r>
      <w:r>
        <w:t xml:space="preserve"> </w:t>
      </w:r>
      <w:r>
        <w:t xml:space="preserve">kromě let 2010 a 2011, rostly.</w:t>
      </w:r>
      <w:r>
        <w:t xml:space="preserve"> </w:t>
      </w:r>
      <w:r>
        <w:t xml:space="preserve">To je přirozené s ohledem na průběžnou inflaci, a hlavně průběžný růst nominálních platů v ekonomice.</w:t>
      </w:r>
      <w:r>
        <w:t xml:space="preserve"> </w:t>
      </w:r>
      <w:r>
        <w:t xml:space="preserve">Výdaje nejvíce rostly v období let 2012 až 2019, kdy růst platových nákladů odrážel jak růst počtu zaměstnanců, tak reálných průměrných platů (po zohlednění inflace).</w:t>
      </w:r>
      <w:r>
        <w:t xml:space="preserve"> </w:t>
      </w:r>
      <w:r>
        <w:t xml:space="preserve">Nárůst nominálních výdajů po roce 2021 byl tažen snahou alespoň částečně kompenzovat inflaci a omezovat výrazný pokles reálné hodnoty platů.</w:t>
      </w:r>
    </w:p>
    <w:p>
      <w:pPr>
        <w:pStyle w:val="nospacepara"/>
        <w:numPr>
          <w:ilvl w:val="0"/>
          <w:numId w:val="1000"/>
        </w:numPr>
      </w:pPr>
      <w:hyperlink r:id="rId65">
        <w:r>
          <w:rPr>
            <w:rStyle w:val="Hyperlink"/>
          </w:rPr>
          <w:t xml:space="preserve">Graf 4c. Výdaje na platy státních úředníků</w:t>
        </w:r>
      </w:hyperlink>
    </w:p>
    <w:p>
      <w:pPr>
        <w:numPr>
          <w:ilvl w:val="0"/>
          <w:numId w:val="1005"/>
        </w:numPr>
      </w:pPr>
      <w:r>
        <w:rPr>
          <w:b/>
          <w:bCs/>
        </w:rPr>
        <w:t xml:space="preserve">Reálné výdaje na platy státních úředníků,</w:t>
      </w:r>
      <w:r>
        <w:t xml:space="preserve"> </w:t>
      </w:r>
      <w:r>
        <w:t xml:space="preserve">tedy ve stálých cenách, poslední dvě dekády výrazně fluktuovaly.</w:t>
      </w:r>
      <w:r>
        <w:t xml:space="preserve"> </w:t>
      </w:r>
      <w:r>
        <w:t xml:space="preserve">K nejrychlejšímu poklesu došlo po roce 2021 v důsledku inflační vlny a snahy o konsolidaci výdajů SR.</w:t>
      </w:r>
      <w:r>
        <w:t xml:space="preserve"> </w:t>
      </w:r>
      <w:r>
        <w:t xml:space="preserve">V roce 2025 tak byly reálné výdaje na platy cca o 2 mld. vyšší než v roce 2009, tedy před světovou finanční krizí.</w:t>
      </w:r>
      <w:r>
        <w:t xml:space="preserve"> </w:t>
      </w:r>
      <w:r>
        <w:t xml:space="preserve">V mezidobí však výrazně narostla reálná hodnota HDP i příjmů a výdajů SR.</w:t>
      </w:r>
    </w:p>
    <w:p>
      <w:pPr>
        <w:pStyle w:val="nospacepara"/>
        <w:numPr>
          <w:ilvl w:val="0"/>
          <w:numId w:val="1000"/>
        </w:numPr>
      </w:pPr>
      <w:hyperlink r:id="rId59">
        <w:r>
          <w:rPr>
            <w:rStyle w:val="Hyperlink"/>
          </w:rPr>
          <w:t xml:space="preserve">Graf 5a. Reálné průměrné platy státních úředníků 2004–2024</w:t>
        </w:r>
      </w:hyperlink>
    </w:p>
    <w:bookmarkEnd w:id="66"/>
    <w:bookmarkEnd w:id="67"/>
    <w:sectPr w:rsidR="00AD7E47" w:rsidRPr="004F225D" w:rsidSect="0074402B">
      <w:headerReference r:id="rId33" w:type="default"/>
      <w:footerReference r:id="rId34" w:type="default"/>
      <w:headerReference r:id="rId35" w:type="first"/>
      <w:footerReference r:id="rId36" w:type="first"/>
      <w:pgSz w:code="9" w:h="16838" w:w="11906"/>
      <w:pgMar w:bottom="1247" w:footer="567" w:gutter="0" w:header="737" w:left="1247" w:right="1247" w:top="1247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Awesome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589121001"/>
      <w:docPartObj>
        <w:docPartGallery w:val="Page Numbers (Bottom of Page)"/>
        <w:docPartUnique/>
      </w:docPartObj>
    </w:sdtPr>
    <w:sdtContent>
      <w:p w14:paraId="66BB5873" w14:textId="4F245529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378481179"/>
      <w:docPartObj>
        <w:docPartGallery w:val="Page Numbers (Bottom of Page)"/>
        <w:docPartUnique/>
      </w:docPartObj>
    </w:sdtPr>
    <w:sdtContent>
      <w:p w14:paraId="1B1C2C3A" w14:textId="7506B671" w:rsidR="00971A91" w:rsidRDefault="00971A91" w:rsidP="004350A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Interaktivní aplikace/studie think-tanku IDEA při Ekonomickém ústavu Akademie věd ČR nabízí podrobné analytické vhledy do struktury a dlouhodobých trendů počtu zaměstnanců státu, výše jejich platů a výdajů na ně.</w:t>
      </w:r>
      <w:r>
        <w:t xml:space="preserve"> </w:t>
      </w:r>
      <w:r>
        <w:t xml:space="preserve">Aplikace je veřejně dostupná na adrese:</w:t>
      </w:r>
      <w:r>
        <w:t xml:space="preserve"> </w:t>
      </w:r>
      <w:hyperlink r:id="rId49">
        <w:r>
          <w:rPr>
            <w:rStyle w:val="Hyperlink"/>
          </w:rPr>
          <w:t xml:space="preserve">https://ideaapps.cerge-ei.cz/zamestnancistatu</w:t>
        </w:r>
      </w:hyperlink>
      <w:r>
        <w:t xml:space="preserve"> </w:t>
      </w:r>
      <w:r>
        <w:t xml:space="preserve">a reprezentuje pouze názor autorů, nikoli oficiální stanovisko Ekonomického ústavu AV ČR, v.v.i. či Centra pro ekonomický výzkum a doktorské studium UK (CERGE).</w:t>
      </w:r>
    </w:p>
    <w:p>
      <w:pPr>
        <w:pStyle w:val="FootnoteText"/>
      </w:pPr>
      <w:r>
        <w:t xml:space="preserve">* CERGE-EI, společné pracoviště UK a EKÚ AV ČR, v.v.i.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6F6679" w14:textId="0792F8EB" w:rsidR="00971A91" w:rsidRPr="005C65CE" w:rsidRDefault="00616634" w:rsidP="00236565">
    <w:pPr>
      <w:pBdr>
        <w:bottom w:val="single" w:sz="4" w:space="1" w:color="auto"/>
      </w:pBdr>
      <w:spacing w:line="312" w:lineRule="auto"/>
      <w:rPr>
        <w:rFonts w:cs="Helvetica"/>
        <w:bCs/>
        <w:color w:val="000000" w:themeColor="text1"/>
        <w:sz w:val="16"/>
        <w:szCs w:val="16"/>
      </w:rPr>
    </w:pPr>
    <w:r w:rsidRPr="00616634">
      <w:rPr>
        <w:rFonts w:cs="Times New Roman (Body CS)"/>
        <w:caps/>
        <w:sz w:val="16"/>
        <w:szCs w:val="16"/>
      </w:rPr>
      <w:t xml:space="preserve">Zaměstnanci státu a státní úředníci: kde pracují a za kolik? </w:t>
    </w:r>
    <w:r w:rsidR="00D51165" w:rsidRPr="00C40DC8">
      <w:rPr>
        <w:rFonts w:cs="Times New Roman (Body CS)"/>
        <w:caps/>
        <w:sz w:val="16"/>
        <w:szCs w:val="16"/>
      </w:rPr>
      <w:t xml:space="preserve">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</w:t>
    </w:r>
    <w:r w:rsidR="00D8788A">
      <w:rPr>
        <w:rFonts w:cs="Times New Roman (Body CS)"/>
        <w:bCs/>
        <w:caps/>
        <w:color w:val="000000" w:themeColor="text1"/>
        <w:sz w:val="16"/>
        <w:szCs w:val="16"/>
      </w:rPr>
      <w:t xml:space="preserve">          </w:t>
    </w:r>
    <w:r w:rsidR="00971A91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                   </w:t>
    </w:r>
    <w:r w:rsidR="00D51165" w:rsidRPr="00C40DC8">
      <w:rPr>
        <w:rFonts w:cs="Times New Roman (Body CS)"/>
        <w:bCs/>
        <w:caps/>
        <w:color w:val="000000" w:themeColor="text1"/>
        <w:sz w:val="16"/>
        <w:szCs w:val="16"/>
      </w:rPr>
      <w:t xml:space="preserve">            </w:t>
    </w:r>
    <w:r w:rsidR="00971A91" w:rsidRPr="005C65CE">
      <w:rPr>
        <w:rFonts w:cs="Helvetica"/>
        <w:b/>
        <w:color w:val="C00000"/>
        <w:sz w:val="16"/>
        <w:szCs w:val="16"/>
      </w:rPr>
      <w:t>IDEA</w:t>
    </w:r>
    <w:r w:rsidR="00971A91" w:rsidRPr="005C65CE">
      <w:rPr>
        <w:rFonts w:cs="Helvetica"/>
        <w:bCs/>
        <w:color w:val="000000" w:themeColor="text1"/>
        <w:sz w:val="16"/>
        <w:szCs w:val="16"/>
      </w:rPr>
      <w:t xml:space="preserve"> 202</w:t>
    </w:r>
    <w:r w:rsidR="00D51165">
      <w:rPr>
        <w:rFonts w:cs="Helvetica"/>
        <w:bCs/>
        <w:color w:val="000000" w:themeColor="text1"/>
        <w:sz w:val="16"/>
        <w:szCs w:val="16"/>
      </w:rPr>
      <w:t>5</w:t>
    </w:r>
  </w:p>
  <w:p w14:paraId="4A0F9717" w14:textId="77777777" w:rsidR="00971A91" w:rsidRDefault="00971A91" w:rsidP="0051260A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188478" w14:textId="46419DB7" w:rsidR="00971A91" w:rsidRDefault="00971A91" w:rsidP="00A602F1">
    <w:pPr>
      <w:pStyle w:val="Header"/>
      <w:tabs>
        <w:tab w:val="clear" w:pos="4513"/>
        <w:tab w:val="clear" w:pos="9026"/>
        <w:tab w:val="left" w:pos="5274"/>
      </w:tabs>
      <w:spacing w:after="480"/>
    </w:pPr>
    <w:r>
      <w:tab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B455C341"/>
    <w:multiLevelType w:val="multilevel"/>
    <w:tmpl w:val="386E599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01C04ED9"/>
    <w:multiLevelType w:val="multilevel"/>
    <w:tmpl w:val="2680796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044A3D75"/>
    <w:multiLevelType w:val="hybridMultilevel"/>
    <w:tmpl w:val="E090ABCC"/>
    <w:lvl w:ilvl="0" w:tplc="04090001">
      <w:start w:val="1"/>
      <w:numFmt w:val="bullet"/>
      <w:lvlText w:val=""/>
      <w:lvlJc w:val="left"/>
      <w:pPr>
        <w:ind w:hanging="284" w:left="766"/>
      </w:pPr>
      <w:rPr>
        <w:rFonts w:ascii="Symbol" w:hAnsi="Symbol" w:hint="default"/>
        <w:w w:val="100"/>
        <w:lang w:bidi="ar-SA" w:eastAsia="en-US" w:val="cs-CZ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04987C3E"/>
    <w:multiLevelType w:val="hybridMultilevel"/>
    <w:tmpl w:val="74A8C594"/>
    <w:lvl w:ilvl="0" w:tplc="02DAA6C6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0DAC3FC2"/>
    <w:multiLevelType w:val="hybridMultilevel"/>
    <w:tmpl w:val="C92A0BFA"/>
    <w:lvl w:ilvl="0" w:tplc="BE729C7C">
      <w:start w:val="1"/>
      <w:numFmt w:val="lowerRoman"/>
      <w:lvlText w:val="(%1)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12946667"/>
    <w:multiLevelType w:val="hybridMultilevel"/>
    <w:tmpl w:val="5EA8BA1E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148B56F7"/>
    <w:multiLevelType w:val="hybridMultilevel"/>
    <w:tmpl w:val="6F3CC09A"/>
    <w:lvl w:ilvl="0" w:tplc="0338CA3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40"/>
        <w:szCs w:val="22"/>
        <w:u w:color="000000"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1831483D"/>
    <w:multiLevelType w:val="multilevel"/>
    <w:tmpl w:val="23CEF48A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1A392C21"/>
    <w:multiLevelType w:val="hybridMultilevel"/>
    <w:tmpl w:val="5E8EF64A"/>
    <w:lvl w:ilvl="0" w:tplc="8542C1BA">
      <w:start w:val="1"/>
      <w:numFmt w:val="decimal"/>
      <w:lvlText w:val="%1."/>
      <w:lvlJc w:val="left"/>
      <w:pPr>
        <w:ind w:hanging="360" w:left="720"/>
      </w:pPr>
      <w:rPr>
        <w:rFonts w:ascii="Calibri" w:hAnsi="Calibri" w:hint="default"/>
        <w:b/>
        <w:i w:val="0"/>
        <w:color w:themeColor="text1" w:val="000000"/>
        <w:sz w:val="22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1A683556"/>
    <w:multiLevelType w:val="hybridMultilevel"/>
    <w:tmpl w:val="A03CB8DA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1CCD140B"/>
    <w:multiLevelType w:val="hybridMultilevel"/>
    <w:tmpl w:val="3F8AE48C"/>
    <w:lvl w:ilvl="0" w:tplc="FD3CB24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22D73C3C"/>
    <w:multiLevelType w:val="hybridMultilevel"/>
    <w:tmpl w:val="E25C7A0A"/>
    <w:lvl w:ilvl="0" w:tplc="4844EC08">
      <w:start w:val="1"/>
      <w:numFmt w:val="bullet"/>
      <w:lvlText w:val=""/>
      <w:lvlJc w:val="left"/>
      <w:pPr>
        <w:ind w:left="9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EE7A5ECA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E4ECCFF2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1E7E501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667AF1B4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0E4CB6F2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D5A4AD76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28F811F8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AF0AC1E6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2">
    <w:nsid w:val="25BE2B0A"/>
    <w:multiLevelType w:val="hybridMultilevel"/>
    <w:tmpl w:val="C52A818A"/>
    <w:lvl w:ilvl="0" w:tplc="5D3E8B06">
      <w:start w:val="1"/>
      <w:numFmt w:val="lowerRoman"/>
      <w:lvlText w:val="(%1)"/>
      <w:lvlJc w:val="left"/>
      <w:pPr>
        <w:ind w:hanging="720" w:left="1080"/>
      </w:pPr>
      <w:rPr>
        <w:rFonts w:hint="default"/>
        <w:b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28B968A7"/>
    <w:multiLevelType w:val="hybridMultilevel"/>
    <w:tmpl w:val="9C865630"/>
    <w:lvl w:ilvl="0" w:tplc="04090001">
      <w:start w:val="1"/>
      <w:numFmt w:val="bullet"/>
      <w:lvlText w:val=""/>
      <w:lvlJc w:val="left"/>
      <w:pPr>
        <w:ind w:hanging="360" w:left="1080"/>
      </w:pPr>
      <w:rPr>
        <w:rFonts w:ascii="Symbol" w:hAnsi="Symbol" w:hint="default"/>
        <w:color w:val="2526A9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14">
    <w:nsid w:val="31344998"/>
    <w:multiLevelType w:val="hybridMultilevel"/>
    <w:tmpl w:val="902C661C"/>
    <w:lvl w:ilvl="0" w:tplc="A79485F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330A3796"/>
    <w:multiLevelType w:val="hybridMultilevel"/>
    <w:tmpl w:val="76ECAD60"/>
    <w:lvl w:ilvl="0" w:tplc="08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5BD5DD5"/>
    <w:multiLevelType w:val="hybridMultilevel"/>
    <w:tmpl w:val="F77ABAE6"/>
    <w:lvl w:ilvl="0" w:tplc="A094C180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  <w:color w:themeColor="accent1" w:themeShade="BF" w:val="2F5496"/>
        <w:sz w:val="36"/>
      </w:rPr>
    </w:lvl>
    <w:lvl w:ilvl="1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79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86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9360"/>
      </w:pPr>
      <w:rPr>
        <w:rFonts w:ascii="Wingdings" w:hAnsi="Wingdings" w:hint="default"/>
      </w:rPr>
    </w:lvl>
  </w:abstractNum>
  <w:abstractNum w15:restartNumberingAfterBreak="0" w:abstractNumId="17">
    <w:nsid w:val="37EE7412"/>
    <w:multiLevelType w:val="hybridMultilevel"/>
    <w:tmpl w:val="CB54E218"/>
    <w:lvl w:ilvl="0" w:tplc="7368C8D2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667C0344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BB505CBA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D104046C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1F5A3788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C388C0FE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70C0FB58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155E080E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5ADC39D0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18">
    <w:nsid w:val="3B7C562F"/>
    <w:multiLevelType w:val="hybridMultilevel"/>
    <w:tmpl w:val="7FA206F4"/>
    <w:lvl w:ilvl="0" w:tplc="3274F35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2"/>
        <w:szCs w:val="2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9E7569F"/>
    <w:multiLevelType w:val="hybridMultilevel"/>
    <w:tmpl w:val="6D001996"/>
    <w:lvl w:ilvl="0" w:tplc="716E2B60">
      <w:start w:val="1"/>
      <w:numFmt w:val="lowerLetter"/>
      <w:lvlText w:val="%1."/>
      <w:lvlJc w:val="left"/>
      <w:pPr>
        <w:ind w:hanging="390" w:left="750"/>
      </w:pPr>
      <w:rPr>
        <w:rFonts w:hint="default"/>
        <w:b/>
        <w:i w:val="0"/>
        <w:color w:val="2526A9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4B3573AD"/>
    <w:multiLevelType w:val="hybridMultilevel"/>
    <w:tmpl w:val="D92E6F12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50D247D0"/>
    <w:multiLevelType w:val="hybridMultilevel"/>
    <w:tmpl w:val="6166FB42"/>
    <w:lvl w:ilvl="0" w:tplc="97E83CFA">
      <w:start w:val="1"/>
      <w:numFmt w:val="bullet"/>
      <w:pStyle w:val="IDEAseznam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24"/>
        <w:szCs w:val="24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54741CF7"/>
    <w:multiLevelType w:val="hybridMultilevel"/>
    <w:tmpl w:val="F0EAC25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54796D7F"/>
    <w:multiLevelType w:val="hybridMultilevel"/>
    <w:tmpl w:val="1DB02BD4"/>
    <w:lvl w:ilvl="0" w:tplc="F28A3B1E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plc="A71EBC38">
      <w:start w:val="1"/>
      <w:numFmt w:val="bullet"/>
      <w:lvlText w:val="o"/>
      <w:lvlJc w:val="left"/>
      <w:pPr>
        <w:ind w:left="144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2" w:tplc="65141F2C">
      <w:start w:val="1"/>
      <w:numFmt w:val="bullet"/>
      <w:lvlText w:val="▪"/>
      <w:lvlJc w:val="left"/>
      <w:pPr>
        <w:ind w:left="21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3" w:tplc="31D63E34">
      <w:start w:val="1"/>
      <w:numFmt w:val="bullet"/>
      <w:lvlText w:val="•"/>
      <w:lvlJc w:val="left"/>
      <w:pPr>
        <w:ind w:left="288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4" w:tplc="C5222616">
      <w:start w:val="1"/>
      <w:numFmt w:val="bullet"/>
      <w:lvlText w:val="o"/>
      <w:lvlJc w:val="left"/>
      <w:pPr>
        <w:ind w:left="360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5" w:tplc="86583DCA">
      <w:start w:val="1"/>
      <w:numFmt w:val="bullet"/>
      <w:lvlText w:val="▪"/>
      <w:lvlJc w:val="left"/>
      <w:pPr>
        <w:ind w:left="432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6" w:tplc="C0527D00">
      <w:start w:val="1"/>
      <w:numFmt w:val="bullet"/>
      <w:lvlText w:val="•"/>
      <w:lvlJc w:val="left"/>
      <w:pPr>
        <w:ind w:left="5040"/>
      </w:pPr>
      <w:rPr>
        <w:rFonts w:ascii="Arial" w:cs="Arial" w:eastAsia="Arial" w:hAnsi="Aria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7" w:tplc="004A5210">
      <w:start w:val="1"/>
      <w:numFmt w:val="bullet"/>
      <w:lvlText w:val="o"/>
      <w:lvlJc w:val="left"/>
      <w:pPr>
        <w:ind w:left="576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8" w:tplc="953C9074">
      <w:start w:val="1"/>
      <w:numFmt w:val="bullet"/>
      <w:lvlText w:val="▪"/>
      <w:lvlJc w:val="left"/>
      <w:pPr>
        <w:ind w:left="6480"/>
      </w:pPr>
      <w:rPr>
        <w:rFonts w:ascii="Segoe UI Symbol" w:cs="Segoe UI Symbol" w:eastAsia="Segoe UI Symbol" w:hAnsi="Segoe UI Symbol"/>
        <w:b w:val="0"/>
        <w:i w:val="0"/>
        <w:strike w:val="0"/>
        <w:dstrike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</w:abstractNum>
  <w:abstractNum w15:restartNumberingAfterBreak="0" w:abstractNumId="24">
    <w:nsid w:val="550B5D70"/>
    <w:multiLevelType w:val="multilevel"/>
    <w:tmpl w:val="B4E41376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5">
    <w:nsid w:val="55EE46DA"/>
    <w:multiLevelType w:val="hybridMultilevel"/>
    <w:tmpl w:val="BCB4EAF8"/>
    <w:lvl w:ilvl="0" w:tplc="B85AEE4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olor w:val="2526A9"/>
        <w:sz w:val="32"/>
      </w:rPr>
    </w:lvl>
    <w:lvl w:ilvl="1" w:tentative="1" w:tplc="0405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5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5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5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5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5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5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5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6C21714"/>
    <w:multiLevelType w:val="hybridMultilevel"/>
    <w:tmpl w:val="1C381334"/>
    <w:lvl w:ilvl="0" w:tplc="9900338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0070C0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5AC1617B"/>
    <w:multiLevelType w:val="hybridMultilevel"/>
    <w:tmpl w:val="1F9CF6D8"/>
    <w:lvl w:ilvl="0" w:tplc="418AC6E0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2425A9"/>
        <w:sz w:val="22"/>
        <w:szCs w:val="22"/>
        <w:u w:color="000000" w:val="none"/>
        <w:bdr w:color="auto" w:space="0" w:sz="0" w:val="none"/>
        <w:shd w:color="auto" w:fill="auto" w:val="clear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8">
    <w:nsid w:val="631E3CF8"/>
    <w:multiLevelType w:val="hybridMultilevel"/>
    <w:tmpl w:val="C096EF6A"/>
    <w:lvl w:ilvl="0" w:tplc="06E6EF10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67C54D4B"/>
    <w:multiLevelType w:val="hybridMultilevel"/>
    <w:tmpl w:val="A7760210"/>
    <w:lvl w:ilvl="0" w:tplc="9EF0FF6A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CF67B3B"/>
    <w:multiLevelType w:val="multilevel"/>
    <w:tmpl w:val="D1B6B0D8"/>
    <w:lvl w:ilvl="0">
      <w:start w:val="1"/>
      <w:numFmt w:val="bullet"/>
      <w:lvlText w:val=""/>
      <w:lvlJc w:val="left"/>
      <w:pPr>
        <w:tabs>
          <w:tab w:pos="0" w:val="num"/>
        </w:tabs>
        <w:ind w:hanging="480" w:left="480"/>
      </w:pPr>
      <w:rPr>
        <w:rFonts w:ascii="Symbol" w:hAnsi="Symbol" w:hint="default"/>
        <w:color w:val="2526A9"/>
        <w:sz w:val="32"/>
      </w:r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1">
    <w:nsid w:val="72044117"/>
    <w:multiLevelType w:val="hybridMultilevel"/>
    <w:tmpl w:val="91F03070"/>
    <w:lvl w:ilvl="0" w:tplc="ACA479B4">
      <w:start w:val="1"/>
      <w:numFmt w:val="decimal"/>
      <w:lvlText w:val="%1."/>
      <w:lvlJc w:val="left"/>
      <w:pPr>
        <w:ind w:hanging="360" w:left="720"/>
      </w:pPr>
      <w:rPr>
        <w:rFonts w:cs="Times New Roman" w:hint="default"/>
        <w:b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759474E8"/>
    <w:multiLevelType w:val="hybridMultilevel"/>
    <w:tmpl w:val="A96E61DC"/>
    <w:lvl w:ilvl="0" w:tplc="E084D70C">
      <w:start w:val="1"/>
      <w:numFmt w:val="lowerLetter"/>
      <w:lvlText w:val="(%1)"/>
      <w:lvlJc w:val="left"/>
      <w:pPr>
        <w:ind w:hanging="390" w:left="75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3">
    <w:nsid w:val="766F4EB0"/>
    <w:multiLevelType w:val="hybridMultilevel"/>
    <w:tmpl w:val="FA8C71E8"/>
    <w:lvl w:ilvl="0" w:tplc="0E72A10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caps w:val="0"/>
        <w:strike w:val="0"/>
        <w:dstrike w:val="0"/>
        <w:vanish w:val="0"/>
        <w:color w:val="2526A9"/>
        <w:sz w:val="36"/>
        <w:u w:val="none"/>
        <w:vertAlign w:val="baseline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7A2F2215"/>
    <w:multiLevelType w:val="hybridMultilevel"/>
    <w:tmpl w:val="67D26144"/>
    <w:lvl w:ilvl="0" w:tplc="04090001">
      <w:start w:val="1"/>
      <w:numFmt w:val="bullet"/>
      <w:lvlText w:val=""/>
      <w:lvlJc w:val="left"/>
      <w:pPr>
        <w:ind w:hanging="360" w:left="1004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724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444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164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884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04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324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044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764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232809915" w:numId="1">
    <w:abstractNumId w:val="15"/>
  </w:num>
  <w:num w16cid:durableId="632105287" w:numId="2">
    <w:abstractNumId w:val="9"/>
  </w:num>
  <w:num w16cid:durableId="712844753" w:numId="3">
    <w:abstractNumId w:val="3"/>
  </w:num>
  <w:num w16cid:durableId="1656950136" w:numId="4">
    <w:abstractNumId w:val="0"/>
  </w:num>
  <w:num w16cid:durableId="624233240" w:numId="5">
    <w:abstractNumId w:val="1"/>
  </w:num>
  <w:num w16cid:durableId="1656296525" w:numId="6">
    <w:abstractNumId w:val="7"/>
  </w:num>
  <w:num w16cid:durableId="1743137740" w:numId="7">
    <w:abstractNumId w:val="30"/>
  </w:num>
  <w:num w16cid:durableId="1441683422" w:numId="8">
    <w:abstractNumId w:val="24"/>
  </w:num>
  <w:num w16cid:durableId="1346591669" w:numId="9">
    <w:abstractNumId w:val="25"/>
  </w:num>
  <w:num w16cid:durableId="1172141746" w:numId="10">
    <w:abstractNumId w:val="22"/>
  </w:num>
  <w:num w16cid:durableId="1151947565" w:numId="11">
    <w:abstractNumId w:val="18"/>
  </w:num>
  <w:num w16cid:durableId="1539509613" w:numId="12">
    <w:abstractNumId w:val="21"/>
  </w:num>
  <w:num w16cid:durableId="616255005" w:numId="13">
    <w:abstractNumId w:val="32"/>
  </w:num>
  <w:num w16cid:durableId="684941011" w:numId="14">
    <w:abstractNumId w:val="4"/>
  </w:num>
  <w:num w16cid:durableId="1130778624" w:numId="15">
    <w:abstractNumId w:val="10"/>
  </w:num>
  <w:num w16cid:durableId="100995807" w:numId="16">
    <w:abstractNumId w:val="19"/>
  </w:num>
  <w:num w16cid:durableId="120535820" w:numId="17">
    <w:abstractNumId w:val="12"/>
  </w:num>
  <w:num w16cid:durableId="71969155" w:numId="18">
    <w:abstractNumId w:val="20"/>
  </w:num>
  <w:num w16cid:durableId="799301217" w:numId="19">
    <w:abstractNumId w:val="33"/>
  </w:num>
  <w:num w16cid:durableId="1836022915" w:numId="20">
    <w:abstractNumId w:val="34"/>
  </w:num>
  <w:num w16cid:durableId="944456116" w:numId="21">
    <w:abstractNumId w:val="14"/>
  </w:num>
  <w:num w16cid:durableId="513809156" w:numId="22">
    <w:abstractNumId w:val="26"/>
  </w:num>
  <w:num w16cid:durableId="429470865" w:numId="23">
    <w:abstractNumId w:val="16"/>
  </w:num>
  <w:num w16cid:durableId="1551838634" w:numId="24">
    <w:abstractNumId w:val="8"/>
  </w:num>
  <w:num w16cid:durableId="1994024615" w:numId="25">
    <w:abstractNumId w:val="31"/>
  </w:num>
  <w:num w16cid:durableId="97530209" w:numId="26">
    <w:abstractNumId w:val="5"/>
  </w:num>
  <w:num w16cid:durableId="2045516502" w:numId="27">
    <w:abstractNumId w:val="28"/>
  </w:num>
  <w:num w16cid:durableId="645739292" w:numId="28">
    <w:abstractNumId w:val="2"/>
  </w:num>
  <w:num w16cid:durableId="139732602" w:numId="29">
    <w:abstractNumId w:val="13"/>
  </w:num>
  <w:num w16cid:durableId="2000648194" w:numId="30">
    <w:abstractNumId w:val="29"/>
  </w:num>
  <w:num w16cid:durableId="133986227" w:numId="31">
    <w:abstractNumId w:val="6"/>
  </w:num>
  <w:num w16cid:durableId="227233131" w:numId="32">
    <w:abstractNumId w:val="23"/>
  </w:num>
  <w:num w16cid:durableId="1321471397" w:numId="33">
    <w:abstractNumId w:val="11"/>
  </w:num>
  <w:num w16cid:durableId="527912720" w:numId="34">
    <w:abstractNumId w:val="17"/>
  </w:num>
  <w:num w16cid:durableId="998463730" w:numId="35">
    <w:abstractNumId w:val="27"/>
  </w:num>
  <w:num w16cid:durableId="2103529750" w:numId="36">
    <w:abstractNumId w:val="18"/>
  </w:num>
  <w:num w16cid:durableId="824779347" w:numId="37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3" w:val="bestFit"/>
  <w:displayBackgroundShape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9D"/>
    <w:rsid w:val="00000DEC"/>
    <w:rsid w:val="0000191F"/>
    <w:rsid w:val="00001AAA"/>
    <w:rsid w:val="00002779"/>
    <w:rsid w:val="00002A72"/>
    <w:rsid w:val="00005495"/>
    <w:rsid w:val="00005FE5"/>
    <w:rsid w:val="0000634F"/>
    <w:rsid w:val="00006A99"/>
    <w:rsid w:val="000071DA"/>
    <w:rsid w:val="00007288"/>
    <w:rsid w:val="00007969"/>
    <w:rsid w:val="000117D1"/>
    <w:rsid w:val="00012AB0"/>
    <w:rsid w:val="0001352F"/>
    <w:rsid w:val="00013FBD"/>
    <w:rsid w:val="00014D11"/>
    <w:rsid w:val="000179B0"/>
    <w:rsid w:val="0002225D"/>
    <w:rsid w:val="000225FD"/>
    <w:rsid w:val="0002342B"/>
    <w:rsid w:val="00024BCB"/>
    <w:rsid w:val="0002575F"/>
    <w:rsid w:val="00025FD6"/>
    <w:rsid w:val="0002654C"/>
    <w:rsid w:val="00027851"/>
    <w:rsid w:val="00031088"/>
    <w:rsid w:val="000311F6"/>
    <w:rsid w:val="00033878"/>
    <w:rsid w:val="00033A8A"/>
    <w:rsid w:val="000349DF"/>
    <w:rsid w:val="000359D8"/>
    <w:rsid w:val="00036B09"/>
    <w:rsid w:val="000405D8"/>
    <w:rsid w:val="00043509"/>
    <w:rsid w:val="0004402E"/>
    <w:rsid w:val="00044802"/>
    <w:rsid w:val="0004573C"/>
    <w:rsid w:val="00047EC9"/>
    <w:rsid w:val="00050E66"/>
    <w:rsid w:val="000536DE"/>
    <w:rsid w:val="00054207"/>
    <w:rsid w:val="00055BBE"/>
    <w:rsid w:val="00056CB7"/>
    <w:rsid w:val="00057353"/>
    <w:rsid w:val="00060772"/>
    <w:rsid w:val="00060DBA"/>
    <w:rsid w:val="00062DD0"/>
    <w:rsid w:val="00063991"/>
    <w:rsid w:val="00064CBB"/>
    <w:rsid w:val="0006597C"/>
    <w:rsid w:val="00066E10"/>
    <w:rsid w:val="000701A9"/>
    <w:rsid w:val="00070F6C"/>
    <w:rsid w:val="0007152F"/>
    <w:rsid w:val="0007170F"/>
    <w:rsid w:val="000826E7"/>
    <w:rsid w:val="00082E51"/>
    <w:rsid w:val="000846AD"/>
    <w:rsid w:val="0008512F"/>
    <w:rsid w:val="000855C7"/>
    <w:rsid w:val="00085D91"/>
    <w:rsid w:val="0008639B"/>
    <w:rsid w:val="000867B7"/>
    <w:rsid w:val="00086B4E"/>
    <w:rsid w:val="00097314"/>
    <w:rsid w:val="00097FA1"/>
    <w:rsid w:val="000A0E87"/>
    <w:rsid w:val="000A26A1"/>
    <w:rsid w:val="000A2C74"/>
    <w:rsid w:val="000A2DDB"/>
    <w:rsid w:val="000A4D18"/>
    <w:rsid w:val="000A5012"/>
    <w:rsid w:val="000A6E8D"/>
    <w:rsid w:val="000B0666"/>
    <w:rsid w:val="000B0F40"/>
    <w:rsid w:val="000B39A9"/>
    <w:rsid w:val="000B5CF5"/>
    <w:rsid w:val="000B603C"/>
    <w:rsid w:val="000B64FE"/>
    <w:rsid w:val="000B671C"/>
    <w:rsid w:val="000C04D1"/>
    <w:rsid w:val="000C2103"/>
    <w:rsid w:val="000C2EA3"/>
    <w:rsid w:val="000C470C"/>
    <w:rsid w:val="000C5FDB"/>
    <w:rsid w:val="000C74B1"/>
    <w:rsid w:val="000C78EA"/>
    <w:rsid w:val="000C7B6B"/>
    <w:rsid w:val="000D0741"/>
    <w:rsid w:val="000D1114"/>
    <w:rsid w:val="000D2ED4"/>
    <w:rsid w:val="000D4CCC"/>
    <w:rsid w:val="000D5ED9"/>
    <w:rsid w:val="000D615A"/>
    <w:rsid w:val="000D63D6"/>
    <w:rsid w:val="000D753E"/>
    <w:rsid w:val="000E2141"/>
    <w:rsid w:val="000E2A9A"/>
    <w:rsid w:val="000E7586"/>
    <w:rsid w:val="000E7599"/>
    <w:rsid w:val="000F4685"/>
    <w:rsid w:val="000F5248"/>
    <w:rsid w:val="000F5935"/>
    <w:rsid w:val="001004ED"/>
    <w:rsid w:val="00103152"/>
    <w:rsid w:val="00104670"/>
    <w:rsid w:val="001120C4"/>
    <w:rsid w:val="00112521"/>
    <w:rsid w:val="0011255A"/>
    <w:rsid w:val="00112A86"/>
    <w:rsid w:val="00112C2B"/>
    <w:rsid w:val="00113F85"/>
    <w:rsid w:val="00114FE9"/>
    <w:rsid w:val="00116C0A"/>
    <w:rsid w:val="00117C78"/>
    <w:rsid w:val="0012084F"/>
    <w:rsid w:val="00120D1D"/>
    <w:rsid w:val="00121B2C"/>
    <w:rsid w:val="00122233"/>
    <w:rsid w:val="00123F27"/>
    <w:rsid w:val="001249D3"/>
    <w:rsid w:val="001250BB"/>
    <w:rsid w:val="00126995"/>
    <w:rsid w:val="00127039"/>
    <w:rsid w:val="00133F11"/>
    <w:rsid w:val="00135667"/>
    <w:rsid w:val="00135AF6"/>
    <w:rsid w:val="001430CB"/>
    <w:rsid w:val="00144273"/>
    <w:rsid w:val="00144F51"/>
    <w:rsid w:val="001472CE"/>
    <w:rsid w:val="00150383"/>
    <w:rsid w:val="00154647"/>
    <w:rsid w:val="00154C47"/>
    <w:rsid w:val="00157439"/>
    <w:rsid w:val="00160C82"/>
    <w:rsid w:val="00164929"/>
    <w:rsid w:val="00164AE4"/>
    <w:rsid w:val="00165431"/>
    <w:rsid w:val="00165983"/>
    <w:rsid w:val="00165DF5"/>
    <w:rsid w:val="0016712E"/>
    <w:rsid w:val="0017100D"/>
    <w:rsid w:val="001713BC"/>
    <w:rsid w:val="00172963"/>
    <w:rsid w:val="00173164"/>
    <w:rsid w:val="001749BE"/>
    <w:rsid w:val="0018071F"/>
    <w:rsid w:val="00180B5E"/>
    <w:rsid w:val="0018105C"/>
    <w:rsid w:val="0018106C"/>
    <w:rsid w:val="00181AE0"/>
    <w:rsid w:val="00182996"/>
    <w:rsid w:val="00183B3F"/>
    <w:rsid w:val="00184735"/>
    <w:rsid w:val="00184764"/>
    <w:rsid w:val="001858EF"/>
    <w:rsid w:val="00186D88"/>
    <w:rsid w:val="001901FA"/>
    <w:rsid w:val="001906D8"/>
    <w:rsid w:val="0019175C"/>
    <w:rsid w:val="00191AB0"/>
    <w:rsid w:val="00192FD4"/>
    <w:rsid w:val="001936A8"/>
    <w:rsid w:val="00193927"/>
    <w:rsid w:val="00194194"/>
    <w:rsid w:val="0019459F"/>
    <w:rsid w:val="0019534B"/>
    <w:rsid w:val="001954D0"/>
    <w:rsid w:val="00196905"/>
    <w:rsid w:val="00196A8E"/>
    <w:rsid w:val="00197592"/>
    <w:rsid w:val="001979AF"/>
    <w:rsid w:val="001A0F9B"/>
    <w:rsid w:val="001A1BC5"/>
    <w:rsid w:val="001A2207"/>
    <w:rsid w:val="001A2D37"/>
    <w:rsid w:val="001A372A"/>
    <w:rsid w:val="001A4B6C"/>
    <w:rsid w:val="001A5F91"/>
    <w:rsid w:val="001A63B6"/>
    <w:rsid w:val="001B19AE"/>
    <w:rsid w:val="001B2351"/>
    <w:rsid w:val="001B4E2F"/>
    <w:rsid w:val="001B4FFC"/>
    <w:rsid w:val="001B5D9D"/>
    <w:rsid w:val="001C181C"/>
    <w:rsid w:val="001C3571"/>
    <w:rsid w:val="001C5657"/>
    <w:rsid w:val="001C6CCC"/>
    <w:rsid w:val="001D12B9"/>
    <w:rsid w:val="001D254D"/>
    <w:rsid w:val="001D3342"/>
    <w:rsid w:val="001D3B2E"/>
    <w:rsid w:val="001D5001"/>
    <w:rsid w:val="001D5361"/>
    <w:rsid w:val="001D7701"/>
    <w:rsid w:val="001E198E"/>
    <w:rsid w:val="001E3178"/>
    <w:rsid w:val="001E365A"/>
    <w:rsid w:val="001E483B"/>
    <w:rsid w:val="001F2119"/>
    <w:rsid w:val="001F2346"/>
    <w:rsid w:val="001F4482"/>
    <w:rsid w:val="001F4B2A"/>
    <w:rsid w:val="001F5B2C"/>
    <w:rsid w:val="001F6215"/>
    <w:rsid w:val="00200B7F"/>
    <w:rsid w:val="0020155C"/>
    <w:rsid w:val="0020169B"/>
    <w:rsid w:val="00211516"/>
    <w:rsid w:val="0021210E"/>
    <w:rsid w:val="00213F1A"/>
    <w:rsid w:val="0021403D"/>
    <w:rsid w:val="00215116"/>
    <w:rsid w:val="00215524"/>
    <w:rsid w:val="002167F2"/>
    <w:rsid w:val="0021794C"/>
    <w:rsid w:val="00220743"/>
    <w:rsid w:val="0022213E"/>
    <w:rsid w:val="00222E18"/>
    <w:rsid w:val="00223DCF"/>
    <w:rsid w:val="00227904"/>
    <w:rsid w:val="002307FA"/>
    <w:rsid w:val="002313E5"/>
    <w:rsid w:val="0023268D"/>
    <w:rsid w:val="00233E7B"/>
    <w:rsid w:val="002357F6"/>
    <w:rsid w:val="00236565"/>
    <w:rsid w:val="002369AE"/>
    <w:rsid w:val="002372D4"/>
    <w:rsid w:val="00237629"/>
    <w:rsid w:val="0024769A"/>
    <w:rsid w:val="0025126D"/>
    <w:rsid w:val="00251550"/>
    <w:rsid w:val="00251C2A"/>
    <w:rsid w:val="00256F95"/>
    <w:rsid w:val="00257085"/>
    <w:rsid w:val="00257B61"/>
    <w:rsid w:val="00260043"/>
    <w:rsid w:val="00261329"/>
    <w:rsid w:val="0026235C"/>
    <w:rsid w:val="00263F4F"/>
    <w:rsid w:val="002645E8"/>
    <w:rsid w:val="00264983"/>
    <w:rsid w:val="00265EA6"/>
    <w:rsid w:val="002679CA"/>
    <w:rsid w:val="0027116C"/>
    <w:rsid w:val="002728C6"/>
    <w:rsid w:val="00274898"/>
    <w:rsid w:val="00274B86"/>
    <w:rsid w:val="002802B7"/>
    <w:rsid w:val="00281AE0"/>
    <w:rsid w:val="00282429"/>
    <w:rsid w:val="00283B19"/>
    <w:rsid w:val="00284911"/>
    <w:rsid w:val="00286C81"/>
    <w:rsid w:val="00287430"/>
    <w:rsid w:val="0029208F"/>
    <w:rsid w:val="002926E2"/>
    <w:rsid w:val="00294212"/>
    <w:rsid w:val="0029714C"/>
    <w:rsid w:val="0029724A"/>
    <w:rsid w:val="002A0CA8"/>
    <w:rsid w:val="002A10BE"/>
    <w:rsid w:val="002B014B"/>
    <w:rsid w:val="002B1526"/>
    <w:rsid w:val="002B4AAC"/>
    <w:rsid w:val="002B51F7"/>
    <w:rsid w:val="002B6A78"/>
    <w:rsid w:val="002B760E"/>
    <w:rsid w:val="002C086D"/>
    <w:rsid w:val="002C195F"/>
    <w:rsid w:val="002C3792"/>
    <w:rsid w:val="002C4812"/>
    <w:rsid w:val="002C570D"/>
    <w:rsid w:val="002C5E4B"/>
    <w:rsid w:val="002D52A2"/>
    <w:rsid w:val="002D61AD"/>
    <w:rsid w:val="002D7284"/>
    <w:rsid w:val="002D78BA"/>
    <w:rsid w:val="002D7EE7"/>
    <w:rsid w:val="002E17FE"/>
    <w:rsid w:val="002E1A5A"/>
    <w:rsid w:val="002E21F4"/>
    <w:rsid w:val="002E27F8"/>
    <w:rsid w:val="002E3B1C"/>
    <w:rsid w:val="002F04AF"/>
    <w:rsid w:val="002F2078"/>
    <w:rsid w:val="002F2B1F"/>
    <w:rsid w:val="002F3567"/>
    <w:rsid w:val="002F5507"/>
    <w:rsid w:val="002F5AEC"/>
    <w:rsid w:val="002F67B7"/>
    <w:rsid w:val="002F7285"/>
    <w:rsid w:val="002F7C66"/>
    <w:rsid w:val="00300464"/>
    <w:rsid w:val="00301D02"/>
    <w:rsid w:val="003025A3"/>
    <w:rsid w:val="00302AB0"/>
    <w:rsid w:val="00302AF7"/>
    <w:rsid w:val="003038A1"/>
    <w:rsid w:val="00304142"/>
    <w:rsid w:val="0030573E"/>
    <w:rsid w:val="00306F94"/>
    <w:rsid w:val="00311594"/>
    <w:rsid w:val="00311ADD"/>
    <w:rsid w:val="00312E7D"/>
    <w:rsid w:val="00314297"/>
    <w:rsid w:val="00314546"/>
    <w:rsid w:val="00315270"/>
    <w:rsid w:val="003153C4"/>
    <w:rsid w:val="00315B60"/>
    <w:rsid w:val="00316C60"/>
    <w:rsid w:val="003171D9"/>
    <w:rsid w:val="00317930"/>
    <w:rsid w:val="00321BCC"/>
    <w:rsid w:val="0032262A"/>
    <w:rsid w:val="0032310F"/>
    <w:rsid w:val="003269F9"/>
    <w:rsid w:val="00327B77"/>
    <w:rsid w:val="0033118B"/>
    <w:rsid w:val="00332AC4"/>
    <w:rsid w:val="0033431A"/>
    <w:rsid w:val="00334DA3"/>
    <w:rsid w:val="003372AB"/>
    <w:rsid w:val="00341FDA"/>
    <w:rsid w:val="00343067"/>
    <w:rsid w:val="00344A1E"/>
    <w:rsid w:val="003460BB"/>
    <w:rsid w:val="00346298"/>
    <w:rsid w:val="003506E7"/>
    <w:rsid w:val="003507DA"/>
    <w:rsid w:val="003508A4"/>
    <w:rsid w:val="00350B7C"/>
    <w:rsid w:val="00351F99"/>
    <w:rsid w:val="00352488"/>
    <w:rsid w:val="00352C23"/>
    <w:rsid w:val="003561C3"/>
    <w:rsid w:val="00356C65"/>
    <w:rsid w:val="00357BE8"/>
    <w:rsid w:val="00361C47"/>
    <w:rsid w:val="003626A7"/>
    <w:rsid w:val="0036295E"/>
    <w:rsid w:val="00362DF8"/>
    <w:rsid w:val="00363775"/>
    <w:rsid w:val="00364759"/>
    <w:rsid w:val="003662FD"/>
    <w:rsid w:val="00370020"/>
    <w:rsid w:val="0037073D"/>
    <w:rsid w:val="00370DBC"/>
    <w:rsid w:val="00371874"/>
    <w:rsid w:val="003722B9"/>
    <w:rsid w:val="003735F3"/>
    <w:rsid w:val="0037523A"/>
    <w:rsid w:val="00375D19"/>
    <w:rsid w:val="0038064D"/>
    <w:rsid w:val="00381674"/>
    <w:rsid w:val="0038388E"/>
    <w:rsid w:val="0039064B"/>
    <w:rsid w:val="00391A7B"/>
    <w:rsid w:val="003922B8"/>
    <w:rsid w:val="00392381"/>
    <w:rsid w:val="00392B3B"/>
    <w:rsid w:val="003A1542"/>
    <w:rsid w:val="003A258B"/>
    <w:rsid w:val="003A4410"/>
    <w:rsid w:val="003A4621"/>
    <w:rsid w:val="003A5C58"/>
    <w:rsid w:val="003A61F6"/>
    <w:rsid w:val="003A7292"/>
    <w:rsid w:val="003B1876"/>
    <w:rsid w:val="003B1C47"/>
    <w:rsid w:val="003B239D"/>
    <w:rsid w:val="003B28E9"/>
    <w:rsid w:val="003B4048"/>
    <w:rsid w:val="003B4E42"/>
    <w:rsid w:val="003B5B68"/>
    <w:rsid w:val="003B6954"/>
    <w:rsid w:val="003B72F0"/>
    <w:rsid w:val="003B7339"/>
    <w:rsid w:val="003C0203"/>
    <w:rsid w:val="003C0EBE"/>
    <w:rsid w:val="003C1BF9"/>
    <w:rsid w:val="003C2249"/>
    <w:rsid w:val="003C38D5"/>
    <w:rsid w:val="003C4227"/>
    <w:rsid w:val="003C5136"/>
    <w:rsid w:val="003C5236"/>
    <w:rsid w:val="003C61D5"/>
    <w:rsid w:val="003C7E96"/>
    <w:rsid w:val="003D02A6"/>
    <w:rsid w:val="003D1773"/>
    <w:rsid w:val="003D2425"/>
    <w:rsid w:val="003D5470"/>
    <w:rsid w:val="003E52D7"/>
    <w:rsid w:val="003E63D3"/>
    <w:rsid w:val="003E67D7"/>
    <w:rsid w:val="003E6865"/>
    <w:rsid w:val="003F043A"/>
    <w:rsid w:val="003F2550"/>
    <w:rsid w:val="003F2908"/>
    <w:rsid w:val="003F3E2A"/>
    <w:rsid w:val="003F4DED"/>
    <w:rsid w:val="003F550E"/>
    <w:rsid w:val="003F7C3B"/>
    <w:rsid w:val="00400461"/>
    <w:rsid w:val="00400B42"/>
    <w:rsid w:val="004029E4"/>
    <w:rsid w:val="00402A59"/>
    <w:rsid w:val="00402DCB"/>
    <w:rsid w:val="00403147"/>
    <w:rsid w:val="00405AA1"/>
    <w:rsid w:val="004078A7"/>
    <w:rsid w:val="00410358"/>
    <w:rsid w:val="00410F3F"/>
    <w:rsid w:val="0041227B"/>
    <w:rsid w:val="00414838"/>
    <w:rsid w:val="004152BF"/>
    <w:rsid w:val="00417B19"/>
    <w:rsid w:val="004213A3"/>
    <w:rsid w:val="00422661"/>
    <w:rsid w:val="004228F1"/>
    <w:rsid w:val="00430546"/>
    <w:rsid w:val="00430B09"/>
    <w:rsid w:val="004310D3"/>
    <w:rsid w:val="00433D58"/>
    <w:rsid w:val="004350A4"/>
    <w:rsid w:val="004403CA"/>
    <w:rsid w:val="00442181"/>
    <w:rsid w:val="00442848"/>
    <w:rsid w:val="00442940"/>
    <w:rsid w:val="00444339"/>
    <w:rsid w:val="00444ADB"/>
    <w:rsid w:val="00444DF8"/>
    <w:rsid w:val="004469E6"/>
    <w:rsid w:val="0044733D"/>
    <w:rsid w:val="00447B7C"/>
    <w:rsid w:val="00447CA3"/>
    <w:rsid w:val="00451167"/>
    <w:rsid w:val="00452E5C"/>
    <w:rsid w:val="00454D95"/>
    <w:rsid w:val="00461B40"/>
    <w:rsid w:val="0046260F"/>
    <w:rsid w:val="004700E3"/>
    <w:rsid w:val="00470EC3"/>
    <w:rsid w:val="00471D63"/>
    <w:rsid w:val="004728F2"/>
    <w:rsid w:val="00472D4D"/>
    <w:rsid w:val="00474FB4"/>
    <w:rsid w:val="00475065"/>
    <w:rsid w:val="00476EDF"/>
    <w:rsid w:val="0047714A"/>
    <w:rsid w:val="0048205B"/>
    <w:rsid w:val="00482479"/>
    <w:rsid w:val="00484111"/>
    <w:rsid w:val="004849AA"/>
    <w:rsid w:val="0048605D"/>
    <w:rsid w:val="00486333"/>
    <w:rsid w:val="004868D5"/>
    <w:rsid w:val="00486A93"/>
    <w:rsid w:val="00491027"/>
    <w:rsid w:val="00491812"/>
    <w:rsid w:val="00492720"/>
    <w:rsid w:val="00492B49"/>
    <w:rsid w:val="0049380C"/>
    <w:rsid w:val="0049403E"/>
    <w:rsid w:val="004944AF"/>
    <w:rsid w:val="0049678A"/>
    <w:rsid w:val="00496E11"/>
    <w:rsid w:val="004A10F6"/>
    <w:rsid w:val="004A2138"/>
    <w:rsid w:val="004A3BC9"/>
    <w:rsid w:val="004A4600"/>
    <w:rsid w:val="004A62A6"/>
    <w:rsid w:val="004A6B8D"/>
    <w:rsid w:val="004A6DE4"/>
    <w:rsid w:val="004A7812"/>
    <w:rsid w:val="004B0532"/>
    <w:rsid w:val="004B089F"/>
    <w:rsid w:val="004B1CB2"/>
    <w:rsid w:val="004B2CDD"/>
    <w:rsid w:val="004B52EA"/>
    <w:rsid w:val="004C2DB2"/>
    <w:rsid w:val="004C3352"/>
    <w:rsid w:val="004C33E4"/>
    <w:rsid w:val="004C6D43"/>
    <w:rsid w:val="004C720C"/>
    <w:rsid w:val="004C762D"/>
    <w:rsid w:val="004D42C8"/>
    <w:rsid w:val="004D5916"/>
    <w:rsid w:val="004D6542"/>
    <w:rsid w:val="004D78F6"/>
    <w:rsid w:val="004E0561"/>
    <w:rsid w:val="004E1CBE"/>
    <w:rsid w:val="004E2EF9"/>
    <w:rsid w:val="004E4252"/>
    <w:rsid w:val="004E54CB"/>
    <w:rsid w:val="004F11FB"/>
    <w:rsid w:val="004F225D"/>
    <w:rsid w:val="004F31A1"/>
    <w:rsid w:val="004F4648"/>
    <w:rsid w:val="004F687F"/>
    <w:rsid w:val="00503C13"/>
    <w:rsid w:val="00504769"/>
    <w:rsid w:val="00507711"/>
    <w:rsid w:val="0050774B"/>
    <w:rsid w:val="00507B0F"/>
    <w:rsid w:val="00511A8C"/>
    <w:rsid w:val="00512215"/>
    <w:rsid w:val="0051260A"/>
    <w:rsid w:val="005137DA"/>
    <w:rsid w:val="00516B64"/>
    <w:rsid w:val="00517423"/>
    <w:rsid w:val="005178C9"/>
    <w:rsid w:val="00520961"/>
    <w:rsid w:val="00522E14"/>
    <w:rsid w:val="0052393B"/>
    <w:rsid w:val="00523CE8"/>
    <w:rsid w:val="00525FFD"/>
    <w:rsid w:val="00527440"/>
    <w:rsid w:val="005277F8"/>
    <w:rsid w:val="0053046E"/>
    <w:rsid w:val="00531BF5"/>
    <w:rsid w:val="00532DF9"/>
    <w:rsid w:val="00533A7E"/>
    <w:rsid w:val="005416F2"/>
    <w:rsid w:val="00542718"/>
    <w:rsid w:val="00543C4C"/>
    <w:rsid w:val="00544B79"/>
    <w:rsid w:val="00545B46"/>
    <w:rsid w:val="0054688D"/>
    <w:rsid w:val="00546D38"/>
    <w:rsid w:val="00546DA5"/>
    <w:rsid w:val="00546E97"/>
    <w:rsid w:val="0054769F"/>
    <w:rsid w:val="00547700"/>
    <w:rsid w:val="00547D82"/>
    <w:rsid w:val="00550386"/>
    <w:rsid w:val="00553339"/>
    <w:rsid w:val="00553D5F"/>
    <w:rsid w:val="005543B7"/>
    <w:rsid w:val="00554D25"/>
    <w:rsid w:val="00555348"/>
    <w:rsid w:val="00555700"/>
    <w:rsid w:val="0056077C"/>
    <w:rsid w:val="00560B4D"/>
    <w:rsid w:val="00561583"/>
    <w:rsid w:val="00562D9C"/>
    <w:rsid w:val="0056591D"/>
    <w:rsid w:val="005663F0"/>
    <w:rsid w:val="005673EA"/>
    <w:rsid w:val="00571CF4"/>
    <w:rsid w:val="005747EF"/>
    <w:rsid w:val="00574A35"/>
    <w:rsid w:val="00575338"/>
    <w:rsid w:val="00576B6E"/>
    <w:rsid w:val="00580ED2"/>
    <w:rsid w:val="005846D2"/>
    <w:rsid w:val="00585E82"/>
    <w:rsid w:val="0058714B"/>
    <w:rsid w:val="00587438"/>
    <w:rsid w:val="0058763D"/>
    <w:rsid w:val="005879C8"/>
    <w:rsid w:val="005909FB"/>
    <w:rsid w:val="00590B9C"/>
    <w:rsid w:val="00591225"/>
    <w:rsid w:val="0059299E"/>
    <w:rsid w:val="00592E7D"/>
    <w:rsid w:val="005A08D3"/>
    <w:rsid w:val="005A2675"/>
    <w:rsid w:val="005A2891"/>
    <w:rsid w:val="005A2BCA"/>
    <w:rsid w:val="005A3E87"/>
    <w:rsid w:val="005A5F11"/>
    <w:rsid w:val="005B0D43"/>
    <w:rsid w:val="005B1014"/>
    <w:rsid w:val="005B11AD"/>
    <w:rsid w:val="005B1B00"/>
    <w:rsid w:val="005B2F09"/>
    <w:rsid w:val="005B36B2"/>
    <w:rsid w:val="005B556F"/>
    <w:rsid w:val="005B7C55"/>
    <w:rsid w:val="005C0F7C"/>
    <w:rsid w:val="005C3FE3"/>
    <w:rsid w:val="005C65CE"/>
    <w:rsid w:val="005D14F3"/>
    <w:rsid w:val="005D20C3"/>
    <w:rsid w:val="005D223A"/>
    <w:rsid w:val="005D39F9"/>
    <w:rsid w:val="005D3CEF"/>
    <w:rsid w:val="005D4D7D"/>
    <w:rsid w:val="005D4DE1"/>
    <w:rsid w:val="005E0473"/>
    <w:rsid w:val="005E18B8"/>
    <w:rsid w:val="005E1A7D"/>
    <w:rsid w:val="005E1DA1"/>
    <w:rsid w:val="005E2C27"/>
    <w:rsid w:val="005E31C5"/>
    <w:rsid w:val="005E5337"/>
    <w:rsid w:val="005E5E01"/>
    <w:rsid w:val="005E6F56"/>
    <w:rsid w:val="005E6FFA"/>
    <w:rsid w:val="005F2978"/>
    <w:rsid w:val="005F40BF"/>
    <w:rsid w:val="005F5975"/>
    <w:rsid w:val="005F6FFA"/>
    <w:rsid w:val="005F7A99"/>
    <w:rsid w:val="0060128B"/>
    <w:rsid w:val="0060283B"/>
    <w:rsid w:val="006034DD"/>
    <w:rsid w:val="00604708"/>
    <w:rsid w:val="00605DB7"/>
    <w:rsid w:val="00606A1F"/>
    <w:rsid w:val="00607FFA"/>
    <w:rsid w:val="00610D9B"/>
    <w:rsid w:val="00613DD4"/>
    <w:rsid w:val="006143C5"/>
    <w:rsid w:val="00615EA4"/>
    <w:rsid w:val="00616634"/>
    <w:rsid w:val="0062108F"/>
    <w:rsid w:val="00621FE0"/>
    <w:rsid w:val="00622EAD"/>
    <w:rsid w:val="00623373"/>
    <w:rsid w:val="0062570D"/>
    <w:rsid w:val="0062595E"/>
    <w:rsid w:val="00626343"/>
    <w:rsid w:val="00631363"/>
    <w:rsid w:val="00633F05"/>
    <w:rsid w:val="006404D8"/>
    <w:rsid w:val="006411EF"/>
    <w:rsid w:val="00641860"/>
    <w:rsid w:val="00643529"/>
    <w:rsid w:val="00643815"/>
    <w:rsid w:val="00644B23"/>
    <w:rsid w:val="00645F33"/>
    <w:rsid w:val="006463FF"/>
    <w:rsid w:val="00646FFD"/>
    <w:rsid w:val="006517A7"/>
    <w:rsid w:val="006534D9"/>
    <w:rsid w:val="00653DB8"/>
    <w:rsid w:val="00653E64"/>
    <w:rsid w:val="006540E5"/>
    <w:rsid w:val="006544A6"/>
    <w:rsid w:val="006575C2"/>
    <w:rsid w:val="00660334"/>
    <w:rsid w:val="00663E01"/>
    <w:rsid w:val="00664722"/>
    <w:rsid w:val="006654B5"/>
    <w:rsid w:val="00666C0D"/>
    <w:rsid w:val="0066708B"/>
    <w:rsid w:val="00667BE0"/>
    <w:rsid w:val="00667F01"/>
    <w:rsid w:val="00675158"/>
    <w:rsid w:val="00675D1D"/>
    <w:rsid w:val="00675FEE"/>
    <w:rsid w:val="0067718F"/>
    <w:rsid w:val="00677E2B"/>
    <w:rsid w:val="00680316"/>
    <w:rsid w:val="00682DBD"/>
    <w:rsid w:val="00682F3E"/>
    <w:rsid w:val="0068362D"/>
    <w:rsid w:val="00683BC5"/>
    <w:rsid w:val="00684467"/>
    <w:rsid w:val="00684C9C"/>
    <w:rsid w:val="00685F6A"/>
    <w:rsid w:val="00686153"/>
    <w:rsid w:val="006907BF"/>
    <w:rsid w:val="006914B2"/>
    <w:rsid w:val="006918EE"/>
    <w:rsid w:val="00691DD0"/>
    <w:rsid w:val="00692E7F"/>
    <w:rsid w:val="00693432"/>
    <w:rsid w:val="006938BF"/>
    <w:rsid w:val="00693FBF"/>
    <w:rsid w:val="006948F9"/>
    <w:rsid w:val="00695490"/>
    <w:rsid w:val="00695557"/>
    <w:rsid w:val="006A01D7"/>
    <w:rsid w:val="006A0431"/>
    <w:rsid w:val="006A08D3"/>
    <w:rsid w:val="006A0C8F"/>
    <w:rsid w:val="006A1F30"/>
    <w:rsid w:val="006A45DE"/>
    <w:rsid w:val="006A4606"/>
    <w:rsid w:val="006A619A"/>
    <w:rsid w:val="006A654D"/>
    <w:rsid w:val="006A7B15"/>
    <w:rsid w:val="006A7B4A"/>
    <w:rsid w:val="006B0449"/>
    <w:rsid w:val="006B0FE1"/>
    <w:rsid w:val="006B1047"/>
    <w:rsid w:val="006B27B8"/>
    <w:rsid w:val="006B4223"/>
    <w:rsid w:val="006B54D9"/>
    <w:rsid w:val="006B66A6"/>
    <w:rsid w:val="006B6968"/>
    <w:rsid w:val="006C03D3"/>
    <w:rsid w:val="006C0C5C"/>
    <w:rsid w:val="006C28BE"/>
    <w:rsid w:val="006C2AF7"/>
    <w:rsid w:val="006C359B"/>
    <w:rsid w:val="006C35F7"/>
    <w:rsid w:val="006C4936"/>
    <w:rsid w:val="006C49D1"/>
    <w:rsid w:val="006C60F7"/>
    <w:rsid w:val="006C68AD"/>
    <w:rsid w:val="006D0049"/>
    <w:rsid w:val="006D089B"/>
    <w:rsid w:val="006D0A2F"/>
    <w:rsid w:val="006D273C"/>
    <w:rsid w:val="006D30AC"/>
    <w:rsid w:val="006D53EF"/>
    <w:rsid w:val="006D61BA"/>
    <w:rsid w:val="006D6200"/>
    <w:rsid w:val="006E0A37"/>
    <w:rsid w:val="006E0EDF"/>
    <w:rsid w:val="006E1F94"/>
    <w:rsid w:val="006E31B6"/>
    <w:rsid w:val="006E37B8"/>
    <w:rsid w:val="006E5B73"/>
    <w:rsid w:val="006E7157"/>
    <w:rsid w:val="006F0412"/>
    <w:rsid w:val="006F066D"/>
    <w:rsid w:val="006F07C0"/>
    <w:rsid w:val="006F140C"/>
    <w:rsid w:val="006F610C"/>
    <w:rsid w:val="007019DB"/>
    <w:rsid w:val="00701DA8"/>
    <w:rsid w:val="00703548"/>
    <w:rsid w:val="00704552"/>
    <w:rsid w:val="00704917"/>
    <w:rsid w:val="0070532B"/>
    <w:rsid w:val="00705719"/>
    <w:rsid w:val="00707AB2"/>
    <w:rsid w:val="00707F0A"/>
    <w:rsid w:val="007123D0"/>
    <w:rsid w:val="00712FB2"/>
    <w:rsid w:val="00713307"/>
    <w:rsid w:val="0071423A"/>
    <w:rsid w:val="00714F22"/>
    <w:rsid w:val="00714F92"/>
    <w:rsid w:val="0071535F"/>
    <w:rsid w:val="00715E35"/>
    <w:rsid w:val="00716792"/>
    <w:rsid w:val="00716EA9"/>
    <w:rsid w:val="00721E5C"/>
    <w:rsid w:val="00725F39"/>
    <w:rsid w:val="00726DAC"/>
    <w:rsid w:val="00727AF9"/>
    <w:rsid w:val="00730695"/>
    <w:rsid w:val="00730AEC"/>
    <w:rsid w:val="0073203D"/>
    <w:rsid w:val="00735BA4"/>
    <w:rsid w:val="00735C39"/>
    <w:rsid w:val="00740229"/>
    <w:rsid w:val="0074402B"/>
    <w:rsid w:val="007443F1"/>
    <w:rsid w:val="00745412"/>
    <w:rsid w:val="007468C3"/>
    <w:rsid w:val="0075015E"/>
    <w:rsid w:val="00750A8F"/>
    <w:rsid w:val="00750F07"/>
    <w:rsid w:val="00751533"/>
    <w:rsid w:val="00751576"/>
    <w:rsid w:val="00753972"/>
    <w:rsid w:val="00754168"/>
    <w:rsid w:val="00765A46"/>
    <w:rsid w:val="00766345"/>
    <w:rsid w:val="00766548"/>
    <w:rsid w:val="00766D80"/>
    <w:rsid w:val="00767887"/>
    <w:rsid w:val="00767EDF"/>
    <w:rsid w:val="007706C6"/>
    <w:rsid w:val="00770C0A"/>
    <w:rsid w:val="00770D3B"/>
    <w:rsid w:val="00771C86"/>
    <w:rsid w:val="00771D83"/>
    <w:rsid w:val="00772A49"/>
    <w:rsid w:val="0077436A"/>
    <w:rsid w:val="00774412"/>
    <w:rsid w:val="007744A0"/>
    <w:rsid w:val="00775214"/>
    <w:rsid w:val="00776B70"/>
    <w:rsid w:val="00782B0E"/>
    <w:rsid w:val="0078559A"/>
    <w:rsid w:val="007868BC"/>
    <w:rsid w:val="007870F0"/>
    <w:rsid w:val="007902A3"/>
    <w:rsid w:val="007926B2"/>
    <w:rsid w:val="00792DE3"/>
    <w:rsid w:val="0079360F"/>
    <w:rsid w:val="007936E2"/>
    <w:rsid w:val="007942D9"/>
    <w:rsid w:val="00795827"/>
    <w:rsid w:val="00795880"/>
    <w:rsid w:val="00795E06"/>
    <w:rsid w:val="00795E6A"/>
    <w:rsid w:val="00796299"/>
    <w:rsid w:val="00796BA3"/>
    <w:rsid w:val="007A04B7"/>
    <w:rsid w:val="007A068E"/>
    <w:rsid w:val="007A1241"/>
    <w:rsid w:val="007A55A9"/>
    <w:rsid w:val="007A6DB3"/>
    <w:rsid w:val="007A7BB1"/>
    <w:rsid w:val="007B1071"/>
    <w:rsid w:val="007B122D"/>
    <w:rsid w:val="007B1632"/>
    <w:rsid w:val="007B17EB"/>
    <w:rsid w:val="007B3430"/>
    <w:rsid w:val="007B3537"/>
    <w:rsid w:val="007B4C61"/>
    <w:rsid w:val="007B792C"/>
    <w:rsid w:val="007B7E27"/>
    <w:rsid w:val="007C12E1"/>
    <w:rsid w:val="007C1ECA"/>
    <w:rsid w:val="007C4885"/>
    <w:rsid w:val="007D04D9"/>
    <w:rsid w:val="007D06CE"/>
    <w:rsid w:val="007D0944"/>
    <w:rsid w:val="007D1C76"/>
    <w:rsid w:val="007D3E59"/>
    <w:rsid w:val="007D3F45"/>
    <w:rsid w:val="007D5506"/>
    <w:rsid w:val="007D5A8A"/>
    <w:rsid w:val="007D6417"/>
    <w:rsid w:val="007D6D00"/>
    <w:rsid w:val="007D7669"/>
    <w:rsid w:val="007E0396"/>
    <w:rsid w:val="007E0D99"/>
    <w:rsid w:val="007E0EE9"/>
    <w:rsid w:val="007E164E"/>
    <w:rsid w:val="007E1F21"/>
    <w:rsid w:val="007E340D"/>
    <w:rsid w:val="007E427C"/>
    <w:rsid w:val="007E42CE"/>
    <w:rsid w:val="007E48A0"/>
    <w:rsid w:val="007F06E5"/>
    <w:rsid w:val="007F0D5A"/>
    <w:rsid w:val="007F12B6"/>
    <w:rsid w:val="007F19A9"/>
    <w:rsid w:val="007F3FBF"/>
    <w:rsid w:val="007F4893"/>
    <w:rsid w:val="007F4E3C"/>
    <w:rsid w:val="007F58A0"/>
    <w:rsid w:val="007F64E9"/>
    <w:rsid w:val="007F72DA"/>
    <w:rsid w:val="008008D7"/>
    <w:rsid w:val="00801477"/>
    <w:rsid w:val="00803038"/>
    <w:rsid w:val="00806352"/>
    <w:rsid w:val="0081178D"/>
    <w:rsid w:val="00813143"/>
    <w:rsid w:val="00814C61"/>
    <w:rsid w:val="00816772"/>
    <w:rsid w:val="00820A17"/>
    <w:rsid w:val="00822DCD"/>
    <w:rsid w:val="00823A4A"/>
    <w:rsid w:val="00824613"/>
    <w:rsid w:val="00825925"/>
    <w:rsid w:val="00826763"/>
    <w:rsid w:val="008275E1"/>
    <w:rsid w:val="00827A04"/>
    <w:rsid w:val="00830B67"/>
    <w:rsid w:val="00834851"/>
    <w:rsid w:val="00834D86"/>
    <w:rsid w:val="0083550B"/>
    <w:rsid w:val="008371E0"/>
    <w:rsid w:val="0083738A"/>
    <w:rsid w:val="008373F6"/>
    <w:rsid w:val="00837D2F"/>
    <w:rsid w:val="00840325"/>
    <w:rsid w:val="00840771"/>
    <w:rsid w:val="008408C2"/>
    <w:rsid w:val="00841211"/>
    <w:rsid w:val="0084175F"/>
    <w:rsid w:val="00841FE8"/>
    <w:rsid w:val="00844727"/>
    <w:rsid w:val="008462BC"/>
    <w:rsid w:val="00846E58"/>
    <w:rsid w:val="00850CA5"/>
    <w:rsid w:val="00851306"/>
    <w:rsid w:val="008529B3"/>
    <w:rsid w:val="00852F1D"/>
    <w:rsid w:val="00853B37"/>
    <w:rsid w:val="00855378"/>
    <w:rsid w:val="008609B6"/>
    <w:rsid w:val="00860DAB"/>
    <w:rsid w:val="00860FAE"/>
    <w:rsid w:val="00861C94"/>
    <w:rsid w:val="0086291E"/>
    <w:rsid w:val="0086415D"/>
    <w:rsid w:val="00866BA9"/>
    <w:rsid w:val="00867ABD"/>
    <w:rsid w:val="00867B6C"/>
    <w:rsid w:val="00870706"/>
    <w:rsid w:val="00870AB3"/>
    <w:rsid w:val="00871B12"/>
    <w:rsid w:val="00874455"/>
    <w:rsid w:val="00875C66"/>
    <w:rsid w:val="00877291"/>
    <w:rsid w:val="00877641"/>
    <w:rsid w:val="00877E33"/>
    <w:rsid w:val="00877E4C"/>
    <w:rsid w:val="008808D6"/>
    <w:rsid w:val="00881755"/>
    <w:rsid w:val="008828CA"/>
    <w:rsid w:val="00882C68"/>
    <w:rsid w:val="00883E71"/>
    <w:rsid w:val="0088487B"/>
    <w:rsid w:val="00884C1E"/>
    <w:rsid w:val="00884F74"/>
    <w:rsid w:val="00890AEC"/>
    <w:rsid w:val="00893D46"/>
    <w:rsid w:val="00894A41"/>
    <w:rsid w:val="008952E0"/>
    <w:rsid w:val="00897D97"/>
    <w:rsid w:val="008A1A3B"/>
    <w:rsid w:val="008A2623"/>
    <w:rsid w:val="008A2F08"/>
    <w:rsid w:val="008A3EB3"/>
    <w:rsid w:val="008A4A04"/>
    <w:rsid w:val="008A6F54"/>
    <w:rsid w:val="008A74A2"/>
    <w:rsid w:val="008B0126"/>
    <w:rsid w:val="008B163C"/>
    <w:rsid w:val="008B291A"/>
    <w:rsid w:val="008B484C"/>
    <w:rsid w:val="008B6BE1"/>
    <w:rsid w:val="008B74E8"/>
    <w:rsid w:val="008C1C4D"/>
    <w:rsid w:val="008C585F"/>
    <w:rsid w:val="008C6C20"/>
    <w:rsid w:val="008C7A7E"/>
    <w:rsid w:val="008D0336"/>
    <w:rsid w:val="008D0387"/>
    <w:rsid w:val="008D3F0F"/>
    <w:rsid w:val="008D4F77"/>
    <w:rsid w:val="008D5FF8"/>
    <w:rsid w:val="008D6AF5"/>
    <w:rsid w:val="008D6B67"/>
    <w:rsid w:val="008D7B7B"/>
    <w:rsid w:val="008E03D5"/>
    <w:rsid w:val="008E1DE2"/>
    <w:rsid w:val="008E1F14"/>
    <w:rsid w:val="008E6510"/>
    <w:rsid w:val="008E7187"/>
    <w:rsid w:val="008F030E"/>
    <w:rsid w:val="008F1AC3"/>
    <w:rsid w:val="008F2D4D"/>
    <w:rsid w:val="008F4195"/>
    <w:rsid w:val="008F6E5E"/>
    <w:rsid w:val="008F73CA"/>
    <w:rsid w:val="00900AB0"/>
    <w:rsid w:val="00900EF2"/>
    <w:rsid w:val="00901357"/>
    <w:rsid w:val="009021A6"/>
    <w:rsid w:val="00906BAB"/>
    <w:rsid w:val="00906C4C"/>
    <w:rsid w:val="00910370"/>
    <w:rsid w:val="00911940"/>
    <w:rsid w:val="00915051"/>
    <w:rsid w:val="0091587A"/>
    <w:rsid w:val="00915D64"/>
    <w:rsid w:val="00917AFE"/>
    <w:rsid w:val="00924279"/>
    <w:rsid w:val="00925295"/>
    <w:rsid w:val="009276CF"/>
    <w:rsid w:val="00927BE5"/>
    <w:rsid w:val="00931CB7"/>
    <w:rsid w:val="00931CDD"/>
    <w:rsid w:val="00931ED5"/>
    <w:rsid w:val="009324BA"/>
    <w:rsid w:val="00934372"/>
    <w:rsid w:val="00934827"/>
    <w:rsid w:val="00936696"/>
    <w:rsid w:val="009441CA"/>
    <w:rsid w:val="0094437B"/>
    <w:rsid w:val="00945A47"/>
    <w:rsid w:val="00947605"/>
    <w:rsid w:val="00950CDC"/>
    <w:rsid w:val="009533B2"/>
    <w:rsid w:val="00955274"/>
    <w:rsid w:val="0095776A"/>
    <w:rsid w:val="00960B2C"/>
    <w:rsid w:val="009619B6"/>
    <w:rsid w:val="00962386"/>
    <w:rsid w:val="009630E0"/>
    <w:rsid w:val="009632DE"/>
    <w:rsid w:val="00963B41"/>
    <w:rsid w:val="0096551F"/>
    <w:rsid w:val="00965F39"/>
    <w:rsid w:val="009675ED"/>
    <w:rsid w:val="009706F7"/>
    <w:rsid w:val="00970A4B"/>
    <w:rsid w:val="00971A91"/>
    <w:rsid w:val="009738D4"/>
    <w:rsid w:val="00973DEE"/>
    <w:rsid w:val="00980875"/>
    <w:rsid w:val="0098140C"/>
    <w:rsid w:val="00981CE0"/>
    <w:rsid w:val="009820A2"/>
    <w:rsid w:val="00985407"/>
    <w:rsid w:val="009901DE"/>
    <w:rsid w:val="00993511"/>
    <w:rsid w:val="0099384C"/>
    <w:rsid w:val="00996966"/>
    <w:rsid w:val="00997AF9"/>
    <w:rsid w:val="009A0AAF"/>
    <w:rsid w:val="009A18F8"/>
    <w:rsid w:val="009A2341"/>
    <w:rsid w:val="009A3D59"/>
    <w:rsid w:val="009A63DD"/>
    <w:rsid w:val="009A7B50"/>
    <w:rsid w:val="009B0411"/>
    <w:rsid w:val="009B0E3F"/>
    <w:rsid w:val="009B1C16"/>
    <w:rsid w:val="009B1CCF"/>
    <w:rsid w:val="009B1FAF"/>
    <w:rsid w:val="009B2200"/>
    <w:rsid w:val="009B2E07"/>
    <w:rsid w:val="009B3225"/>
    <w:rsid w:val="009B3E0E"/>
    <w:rsid w:val="009B4D97"/>
    <w:rsid w:val="009B7390"/>
    <w:rsid w:val="009C0CCE"/>
    <w:rsid w:val="009C4367"/>
    <w:rsid w:val="009C45E1"/>
    <w:rsid w:val="009D125F"/>
    <w:rsid w:val="009D16A4"/>
    <w:rsid w:val="009D20EE"/>
    <w:rsid w:val="009D22F1"/>
    <w:rsid w:val="009D3AC0"/>
    <w:rsid w:val="009E0D64"/>
    <w:rsid w:val="009E1B8E"/>
    <w:rsid w:val="009E58CF"/>
    <w:rsid w:val="009F05A1"/>
    <w:rsid w:val="009F5018"/>
    <w:rsid w:val="009F7152"/>
    <w:rsid w:val="009F753B"/>
    <w:rsid w:val="00A00ED4"/>
    <w:rsid w:val="00A021DD"/>
    <w:rsid w:val="00A03D34"/>
    <w:rsid w:val="00A05B2E"/>
    <w:rsid w:val="00A10287"/>
    <w:rsid w:val="00A10DB1"/>
    <w:rsid w:val="00A12DA8"/>
    <w:rsid w:val="00A1314D"/>
    <w:rsid w:val="00A131E8"/>
    <w:rsid w:val="00A13DBA"/>
    <w:rsid w:val="00A14039"/>
    <w:rsid w:val="00A1524B"/>
    <w:rsid w:val="00A16473"/>
    <w:rsid w:val="00A177C3"/>
    <w:rsid w:val="00A25001"/>
    <w:rsid w:val="00A26328"/>
    <w:rsid w:val="00A3099B"/>
    <w:rsid w:val="00A3404C"/>
    <w:rsid w:val="00A343FC"/>
    <w:rsid w:val="00A344AD"/>
    <w:rsid w:val="00A349B5"/>
    <w:rsid w:val="00A35C86"/>
    <w:rsid w:val="00A35F3A"/>
    <w:rsid w:val="00A40477"/>
    <w:rsid w:val="00A41FAF"/>
    <w:rsid w:val="00A42C89"/>
    <w:rsid w:val="00A441C7"/>
    <w:rsid w:val="00A4588F"/>
    <w:rsid w:val="00A52861"/>
    <w:rsid w:val="00A53131"/>
    <w:rsid w:val="00A53A2A"/>
    <w:rsid w:val="00A54F17"/>
    <w:rsid w:val="00A55136"/>
    <w:rsid w:val="00A5590A"/>
    <w:rsid w:val="00A56A7D"/>
    <w:rsid w:val="00A56B5A"/>
    <w:rsid w:val="00A57238"/>
    <w:rsid w:val="00A602F1"/>
    <w:rsid w:val="00A61189"/>
    <w:rsid w:val="00A61D03"/>
    <w:rsid w:val="00A64E7B"/>
    <w:rsid w:val="00A65770"/>
    <w:rsid w:val="00A65968"/>
    <w:rsid w:val="00A661D2"/>
    <w:rsid w:val="00A70598"/>
    <w:rsid w:val="00A72964"/>
    <w:rsid w:val="00A72AA6"/>
    <w:rsid w:val="00A75362"/>
    <w:rsid w:val="00A75964"/>
    <w:rsid w:val="00A802CB"/>
    <w:rsid w:val="00A8067C"/>
    <w:rsid w:val="00A80D4B"/>
    <w:rsid w:val="00A813D8"/>
    <w:rsid w:val="00A81AA4"/>
    <w:rsid w:val="00A81BB4"/>
    <w:rsid w:val="00A81FFB"/>
    <w:rsid w:val="00A847A7"/>
    <w:rsid w:val="00A86832"/>
    <w:rsid w:val="00A90AA1"/>
    <w:rsid w:val="00A91B2E"/>
    <w:rsid w:val="00A91FFE"/>
    <w:rsid w:val="00A923B4"/>
    <w:rsid w:val="00A92D09"/>
    <w:rsid w:val="00A953C5"/>
    <w:rsid w:val="00A95758"/>
    <w:rsid w:val="00A95984"/>
    <w:rsid w:val="00AA3265"/>
    <w:rsid w:val="00AA3C63"/>
    <w:rsid w:val="00AA4ECE"/>
    <w:rsid w:val="00AA566C"/>
    <w:rsid w:val="00AA74D1"/>
    <w:rsid w:val="00AB0577"/>
    <w:rsid w:val="00AB3420"/>
    <w:rsid w:val="00AB50D4"/>
    <w:rsid w:val="00AB58A2"/>
    <w:rsid w:val="00AC102D"/>
    <w:rsid w:val="00AC15D7"/>
    <w:rsid w:val="00AC206A"/>
    <w:rsid w:val="00AC502B"/>
    <w:rsid w:val="00AC54BF"/>
    <w:rsid w:val="00AC745A"/>
    <w:rsid w:val="00AD1CF6"/>
    <w:rsid w:val="00AD3CA3"/>
    <w:rsid w:val="00AD529E"/>
    <w:rsid w:val="00AD548E"/>
    <w:rsid w:val="00AD7358"/>
    <w:rsid w:val="00AD7E47"/>
    <w:rsid w:val="00AE0B2B"/>
    <w:rsid w:val="00AE1222"/>
    <w:rsid w:val="00AE3264"/>
    <w:rsid w:val="00AE375F"/>
    <w:rsid w:val="00AE5E07"/>
    <w:rsid w:val="00AF00A5"/>
    <w:rsid w:val="00AF04CB"/>
    <w:rsid w:val="00AF09D3"/>
    <w:rsid w:val="00AF2CD9"/>
    <w:rsid w:val="00AF2E57"/>
    <w:rsid w:val="00AF4E1D"/>
    <w:rsid w:val="00AF5F6A"/>
    <w:rsid w:val="00AF65A0"/>
    <w:rsid w:val="00B016E2"/>
    <w:rsid w:val="00B01A09"/>
    <w:rsid w:val="00B02E1C"/>
    <w:rsid w:val="00B12D39"/>
    <w:rsid w:val="00B136CA"/>
    <w:rsid w:val="00B14284"/>
    <w:rsid w:val="00B145AE"/>
    <w:rsid w:val="00B16C22"/>
    <w:rsid w:val="00B2041E"/>
    <w:rsid w:val="00B22195"/>
    <w:rsid w:val="00B23714"/>
    <w:rsid w:val="00B2377F"/>
    <w:rsid w:val="00B251E5"/>
    <w:rsid w:val="00B25B10"/>
    <w:rsid w:val="00B3037A"/>
    <w:rsid w:val="00B30670"/>
    <w:rsid w:val="00B3126C"/>
    <w:rsid w:val="00B337ED"/>
    <w:rsid w:val="00B350D8"/>
    <w:rsid w:val="00B36F32"/>
    <w:rsid w:val="00B4183B"/>
    <w:rsid w:val="00B42130"/>
    <w:rsid w:val="00B43020"/>
    <w:rsid w:val="00B4323C"/>
    <w:rsid w:val="00B45E2D"/>
    <w:rsid w:val="00B4695A"/>
    <w:rsid w:val="00B46EB6"/>
    <w:rsid w:val="00B46EE6"/>
    <w:rsid w:val="00B50EA6"/>
    <w:rsid w:val="00B50F6F"/>
    <w:rsid w:val="00B57416"/>
    <w:rsid w:val="00B6237A"/>
    <w:rsid w:val="00B62509"/>
    <w:rsid w:val="00B626C6"/>
    <w:rsid w:val="00B64747"/>
    <w:rsid w:val="00B6479C"/>
    <w:rsid w:val="00B66633"/>
    <w:rsid w:val="00B66812"/>
    <w:rsid w:val="00B66F5D"/>
    <w:rsid w:val="00B70561"/>
    <w:rsid w:val="00B70CC7"/>
    <w:rsid w:val="00B7115E"/>
    <w:rsid w:val="00B71AD9"/>
    <w:rsid w:val="00B71ED2"/>
    <w:rsid w:val="00B72464"/>
    <w:rsid w:val="00B72C22"/>
    <w:rsid w:val="00B7457E"/>
    <w:rsid w:val="00B76B1E"/>
    <w:rsid w:val="00B76C8E"/>
    <w:rsid w:val="00B81365"/>
    <w:rsid w:val="00B82232"/>
    <w:rsid w:val="00B86C1C"/>
    <w:rsid w:val="00B87030"/>
    <w:rsid w:val="00B872E4"/>
    <w:rsid w:val="00B8780B"/>
    <w:rsid w:val="00B901C8"/>
    <w:rsid w:val="00B90E5F"/>
    <w:rsid w:val="00B9282A"/>
    <w:rsid w:val="00B9287B"/>
    <w:rsid w:val="00B93C67"/>
    <w:rsid w:val="00B942ED"/>
    <w:rsid w:val="00B954EA"/>
    <w:rsid w:val="00B9574E"/>
    <w:rsid w:val="00BA1A7F"/>
    <w:rsid w:val="00BA1B01"/>
    <w:rsid w:val="00BA25FB"/>
    <w:rsid w:val="00BA50E2"/>
    <w:rsid w:val="00BA601F"/>
    <w:rsid w:val="00BA6CFE"/>
    <w:rsid w:val="00BB0240"/>
    <w:rsid w:val="00BB1517"/>
    <w:rsid w:val="00BB1752"/>
    <w:rsid w:val="00BB1BD6"/>
    <w:rsid w:val="00BB291E"/>
    <w:rsid w:val="00BB2B91"/>
    <w:rsid w:val="00BB31D3"/>
    <w:rsid w:val="00BB4C53"/>
    <w:rsid w:val="00BB5F27"/>
    <w:rsid w:val="00BB6C0F"/>
    <w:rsid w:val="00BB7808"/>
    <w:rsid w:val="00BC1F55"/>
    <w:rsid w:val="00BC3394"/>
    <w:rsid w:val="00BC402E"/>
    <w:rsid w:val="00BC5061"/>
    <w:rsid w:val="00BD183C"/>
    <w:rsid w:val="00BD1898"/>
    <w:rsid w:val="00BD1E56"/>
    <w:rsid w:val="00BD2CB2"/>
    <w:rsid w:val="00BD5418"/>
    <w:rsid w:val="00BD5484"/>
    <w:rsid w:val="00BD603C"/>
    <w:rsid w:val="00BD747D"/>
    <w:rsid w:val="00BE4306"/>
    <w:rsid w:val="00BE5DB7"/>
    <w:rsid w:val="00BE617B"/>
    <w:rsid w:val="00BE61AE"/>
    <w:rsid w:val="00BE6D3B"/>
    <w:rsid w:val="00BE7C8A"/>
    <w:rsid w:val="00BF4712"/>
    <w:rsid w:val="00BF5A9F"/>
    <w:rsid w:val="00BF5D3A"/>
    <w:rsid w:val="00BF7A1C"/>
    <w:rsid w:val="00C00727"/>
    <w:rsid w:val="00C00B4C"/>
    <w:rsid w:val="00C0298D"/>
    <w:rsid w:val="00C03C47"/>
    <w:rsid w:val="00C03D37"/>
    <w:rsid w:val="00C06034"/>
    <w:rsid w:val="00C10348"/>
    <w:rsid w:val="00C10D2C"/>
    <w:rsid w:val="00C115F7"/>
    <w:rsid w:val="00C12338"/>
    <w:rsid w:val="00C14503"/>
    <w:rsid w:val="00C14B05"/>
    <w:rsid w:val="00C177E3"/>
    <w:rsid w:val="00C20E21"/>
    <w:rsid w:val="00C23C4C"/>
    <w:rsid w:val="00C23D89"/>
    <w:rsid w:val="00C25AF1"/>
    <w:rsid w:val="00C304E1"/>
    <w:rsid w:val="00C30F9C"/>
    <w:rsid w:val="00C330D1"/>
    <w:rsid w:val="00C3368C"/>
    <w:rsid w:val="00C37809"/>
    <w:rsid w:val="00C40170"/>
    <w:rsid w:val="00C40557"/>
    <w:rsid w:val="00C40B13"/>
    <w:rsid w:val="00C40DC8"/>
    <w:rsid w:val="00C40EE3"/>
    <w:rsid w:val="00C41D9F"/>
    <w:rsid w:val="00C422A3"/>
    <w:rsid w:val="00C42A07"/>
    <w:rsid w:val="00C440CE"/>
    <w:rsid w:val="00C464DD"/>
    <w:rsid w:val="00C47FBD"/>
    <w:rsid w:val="00C51888"/>
    <w:rsid w:val="00C5442D"/>
    <w:rsid w:val="00C569E9"/>
    <w:rsid w:val="00C6341D"/>
    <w:rsid w:val="00C6382D"/>
    <w:rsid w:val="00C64EC1"/>
    <w:rsid w:val="00C65387"/>
    <w:rsid w:val="00C6542B"/>
    <w:rsid w:val="00C67D8B"/>
    <w:rsid w:val="00C70B73"/>
    <w:rsid w:val="00C71574"/>
    <w:rsid w:val="00C72754"/>
    <w:rsid w:val="00C73301"/>
    <w:rsid w:val="00C74093"/>
    <w:rsid w:val="00C7655A"/>
    <w:rsid w:val="00C77D06"/>
    <w:rsid w:val="00C80168"/>
    <w:rsid w:val="00C818BF"/>
    <w:rsid w:val="00C863E6"/>
    <w:rsid w:val="00C8689F"/>
    <w:rsid w:val="00C875D4"/>
    <w:rsid w:val="00C87E03"/>
    <w:rsid w:val="00C903C1"/>
    <w:rsid w:val="00C90616"/>
    <w:rsid w:val="00C909ED"/>
    <w:rsid w:val="00C90D66"/>
    <w:rsid w:val="00C91A8F"/>
    <w:rsid w:val="00C93049"/>
    <w:rsid w:val="00C9337E"/>
    <w:rsid w:val="00C93F55"/>
    <w:rsid w:val="00C9456F"/>
    <w:rsid w:val="00C94928"/>
    <w:rsid w:val="00C96AAA"/>
    <w:rsid w:val="00C96FB2"/>
    <w:rsid w:val="00CA1320"/>
    <w:rsid w:val="00CA1392"/>
    <w:rsid w:val="00CA1C50"/>
    <w:rsid w:val="00CA1C75"/>
    <w:rsid w:val="00CA2B0E"/>
    <w:rsid w:val="00CA4BED"/>
    <w:rsid w:val="00CB01B9"/>
    <w:rsid w:val="00CB06FB"/>
    <w:rsid w:val="00CB0C7E"/>
    <w:rsid w:val="00CB2276"/>
    <w:rsid w:val="00CB22E4"/>
    <w:rsid w:val="00CB505D"/>
    <w:rsid w:val="00CB6855"/>
    <w:rsid w:val="00CB7C08"/>
    <w:rsid w:val="00CC1870"/>
    <w:rsid w:val="00CC2C09"/>
    <w:rsid w:val="00CC3F31"/>
    <w:rsid w:val="00CC58DD"/>
    <w:rsid w:val="00CC66D2"/>
    <w:rsid w:val="00CC6F9C"/>
    <w:rsid w:val="00CC7328"/>
    <w:rsid w:val="00CE07A0"/>
    <w:rsid w:val="00CE0F95"/>
    <w:rsid w:val="00CE1164"/>
    <w:rsid w:val="00CE25E9"/>
    <w:rsid w:val="00CE2F05"/>
    <w:rsid w:val="00CE395C"/>
    <w:rsid w:val="00CE4FA9"/>
    <w:rsid w:val="00CE5636"/>
    <w:rsid w:val="00CE71AA"/>
    <w:rsid w:val="00CE776B"/>
    <w:rsid w:val="00CF0739"/>
    <w:rsid w:val="00CF17F8"/>
    <w:rsid w:val="00CF3F09"/>
    <w:rsid w:val="00CF4A1A"/>
    <w:rsid w:val="00CF79A8"/>
    <w:rsid w:val="00CF7D36"/>
    <w:rsid w:val="00D00BB3"/>
    <w:rsid w:val="00D04069"/>
    <w:rsid w:val="00D06E3B"/>
    <w:rsid w:val="00D10676"/>
    <w:rsid w:val="00D113E8"/>
    <w:rsid w:val="00D12233"/>
    <w:rsid w:val="00D1366D"/>
    <w:rsid w:val="00D136C7"/>
    <w:rsid w:val="00D13AED"/>
    <w:rsid w:val="00D1592A"/>
    <w:rsid w:val="00D15E38"/>
    <w:rsid w:val="00D17F66"/>
    <w:rsid w:val="00D205C6"/>
    <w:rsid w:val="00D21DB9"/>
    <w:rsid w:val="00D22183"/>
    <w:rsid w:val="00D22412"/>
    <w:rsid w:val="00D22C61"/>
    <w:rsid w:val="00D22EB7"/>
    <w:rsid w:val="00D2543D"/>
    <w:rsid w:val="00D2625C"/>
    <w:rsid w:val="00D2659F"/>
    <w:rsid w:val="00D2684F"/>
    <w:rsid w:val="00D2767E"/>
    <w:rsid w:val="00D27C59"/>
    <w:rsid w:val="00D27C7F"/>
    <w:rsid w:val="00D3139A"/>
    <w:rsid w:val="00D31A44"/>
    <w:rsid w:val="00D325F4"/>
    <w:rsid w:val="00D43622"/>
    <w:rsid w:val="00D43CE9"/>
    <w:rsid w:val="00D44E54"/>
    <w:rsid w:val="00D454AB"/>
    <w:rsid w:val="00D464FF"/>
    <w:rsid w:val="00D475E6"/>
    <w:rsid w:val="00D47753"/>
    <w:rsid w:val="00D50332"/>
    <w:rsid w:val="00D51165"/>
    <w:rsid w:val="00D52394"/>
    <w:rsid w:val="00D56FE3"/>
    <w:rsid w:val="00D5750D"/>
    <w:rsid w:val="00D5756C"/>
    <w:rsid w:val="00D57ABD"/>
    <w:rsid w:val="00D60BBC"/>
    <w:rsid w:val="00D61DBA"/>
    <w:rsid w:val="00D626F4"/>
    <w:rsid w:val="00D62E1C"/>
    <w:rsid w:val="00D63EA8"/>
    <w:rsid w:val="00D640E3"/>
    <w:rsid w:val="00D64A63"/>
    <w:rsid w:val="00D65DDE"/>
    <w:rsid w:val="00D65E50"/>
    <w:rsid w:val="00D67D86"/>
    <w:rsid w:val="00D702BD"/>
    <w:rsid w:val="00D73630"/>
    <w:rsid w:val="00D73846"/>
    <w:rsid w:val="00D73A54"/>
    <w:rsid w:val="00D74D96"/>
    <w:rsid w:val="00D75099"/>
    <w:rsid w:val="00D751F2"/>
    <w:rsid w:val="00D75D39"/>
    <w:rsid w:val="00D768D8"/>
    <w:rsid w:val="00D83277"/>
    <w:rsid w:val="00D8334A"/>
    <w:rsid w:val="00D833EA"/>
    <w:rsid w:val="00D84E28"/>
    <w:rsid w:val="00D85EBA"/>
    <w:rsid w:val="00D8788A"/>
    <w:rsid w:val="00D908F2"/>
    <w:rsid w:val="00D90C4E"/>
    <w:rsid w:val="00D92F24"/>
    <w:rsid w:val="00D9351D"/>
    <w:rsid w:val="00D9426E"/>
    <w:rsid w:val="00D97891"/>
    <w:rsid w:val="00DA1302"/>
    <w:rsid w:val="00DA19C8"/>
    <w:rsid w:val="00DA26F0"/>
    <w:rsid w:val="00DA321D"/>
    <w:rsid w:val="00DA5AB7"/>
    <w:rsid w:val="00DA72AD"/>
    <w:rsid w:val="00DB227A"/>
    <w:rsid w:val="00DC05C8"/>
    <w:rsid w:val="00DC0BAD"/>
    <w:rsid w:val="00DC3616"/>
    <w:rsid w:val="00DC630C"/>
    <w:rsid w:val="00DC6735"/>
    <w:rsid w:val="00DC6B0A"/>
    <w:rsid w:val="00DC7362"/>
    <w:rsid w:val="00DD12F9"/>
    <w:rsid w:val="00DD1453"/>
    <w:rsid w:val="00DD2D5F"/>
    <w:rsid w:val="00DD6075"/>
    <w:rsid w:val="00DD6C63"/>
    <w:rsid w:val="00DD7918"/>
    <w:rsid w:val="00DE176D"/>
    <w:rsid w:val="00DE3019"/>
    <w:rsid w:val="00DE66AF"/>
    <w:rsid w:val="00DE6D0A"/>
    <w:rsid w:val="00DE77DD"/>
    <w:rsid w:val="00DE7CE6"/>
    <w:rsid w:val="00DF0704"/>
    <w:rsid w:val="00DF488C"/>
    <w:rsid w:val="00DF558D"/>
    <w:rsid w:val="00DF5770"/>
    <w:rsid w:val="00DF6A28"/>
    <w:rsid w:val="00DF7485"/>
    <w:rsid w:val="00E01222"/>
    <w:rsid w:val="00E02B5F"/>
    <w:rsid w:val="00E05CDA"/>
    <w:rsid w:val="00E07B8C"/>
    <w:rsid w:val="00E10F70"/>
    <w:rsid w:val="00E1177A"/>
    <w:rsid w:val="00E12629"/>
    <w:rsid w:val="00E12944"/>
    <w:rsid w:val="00E12B4E"/>
    <w:rsid w:val="00E13144"/>
    <w:rsid w:val="00E14A5B"/>
    <w:rsid w:val="00E16EE4"/>
    <w:rsid w:val="00E2003F"/>
    <w:rsid w:val="00E20306"/>
    <w:rsid w:val="00E211CF"/>
    <w:rsid w:val="00E218BF"/>
    <w:rsid w:val="00E24670"/>
    <w:rsid w:val="00E26A1A"/>
    <w:rsid w:val="00E27335"/>
    <w:rsid w:val="00E27C5B"/>
    <w:rsid w:val="00E305E1"/>
    <w:rsid w:val="00E3088A"/>
    <w:rsid w:val="00E320D1"/>
    <w:rsid w:val="00E33B9D"/>
    <w:rsid w:val="00E341A2"/>
    <w:rsid w:val="00E345C9"/>
    <w:rsid w:val="00E35EE5"/>
    <w:rsid w:val="00E363C5"/>
    <w:rsid w:val="00E3719B"/>
    <w:rsid w:val="00E403ED"/>
    <w:rsid w:val="00E437BA"/>
    <w:rsid w:val="00E447EC"/>
    <w:rsid w:val="00E45760"/>
    <w:rsid w:val="00E46C4B"/>
    <w:rsid w:val="00E50946"/>
    <w:rsid w:val="00E51536"/>
    <w:rsid w:val="00E5309D"/>
    <w:rsid w:val="00E53751"/>
    <w:rsid w:val="00E53C7E"/>
    <w:rsid w:val="00E54B51"/>
    <w:rsid w:val="00E6262D"/>
    <w:rsid w:val="00E63EA9"/>
    <w:rsid w:val="00E67A4D"/>
    <w:rsid w:val="00E70416"/>
    <w:rsid w:val="00E711D9"/>
    <w:rsid w:val="00E71585"/>
    <w:rsid w:val="00E71DF2"/>
    <w:rsid w:val="00E724E1"/>
    <w:rsid w:val="00E725E1"/>
    <w:rsid w:val="00E73B5E"/>
    <w:rsid w:val="00E741A1"/>
    <w:rsid w:val="00E7540A"/>
    <w:rsid w:val="00E755A1"/>
    <w:rsid w:val="00E75940"/>
    <w:rsid w:val="00E75E5D"/>
    <w:rsid w:val="00E76AD8"/>
    <w:rsid w:val="00E77565"/>
    <w:rsid w:val="00E8076C"/>
    <w:rsid w:val="00E814C4"/>
    <w:rsid w:val="00E85F59"/>
    <w:rsid w:val="00E87700"/>
    <w:rsid w:val="00E933A0"/>
    <w:rsid w:val="00E93913"/>
    <w:rsid w:val="00E97405"/>
    <w:rsid w:val="00EA1BE3"/>
    <w:rsid w:val="00EA3DBA"/>
    <w:rsid w:val="00EA715B"/>
    <w:rsid w:val="00EB18CB"/>
    <w:rsid w:val="00EB1959"/>
    <w:rsid w:val="00EB4BCE"/>
    <w:rsid w:val="00EB5197"/>
    <w:rsid w:val="00EC0742"/>
    <w:rsid w:val="00EC11D4"/>
    <w:rsid w:val="00EC5EF6"/>
    <w:rsid w:val="00EC6702"/>
    <w:rsid w:val="00ED062D"/>
    <w:rsid w:val="00ED0FB8"/>
    <w:rsid w:val="00ED12EF"/>
    <w:rsid w:val="00ED3CCA"/>
    <w:rsid w:val="00ED3E4E"/>
    <w:rsid w:val="00ED45EB"/>
    <w:rsid w:val="00ED5270"/>
    <w:rsid w:val="00EE02EE"/>
    <w:rsid w:val="00EE0A41"/>
    <w:rsid w:val="00EE204C"/>
    <w:rsid w:val="00EE21C9"/>
    <w:rsid w:val="00EE3BD0"/>
    <w:rsid w:val="00EE3F2A"/>
    <w:rsid w:val="00EE4ABA"/>
    <w:rsid w:val="00EE62A4"/>
    <w:rsid w:val="00EE704A"/>
    <w:rsid w:val="00EF1674"/>
    <w:rsid w:val="00EF20E8"/>
    <w:rsid w:val="00EF270C"/>
    <w:rsid w:val="00EF371E"/>
    <w:rsid w:val="00EF3761"/>
    <w:rsid w:val="00EF4F18"/>
    <w:rsid w:val="00EF4FB1"/>
    <w:rsid w:val="00EF6081"/>
    <w:rsid w:val="00EF6ED8"/>
    <w:rsid w:val="00EF74B9"/>
    <w:rsid w:val="00EF765D"/>
    <w:rsid w:val="00EF77FE"/>
    <w:rsid w:val="00EF79A7"/>
    <w:rsid w:val="00F028D5"/>
    <w:rsid w:val="00F044A5"/>
    <w:rsid w:val="00F045E4"/>
    <w:rsid w:val="00F04B84"/>
    <w:rsid w:val="00F052C6"/>
    <w:rsid w:val="00F06722"/>
    <w:rsid w:val="00F07723"/>
    <w:rsid w:val="00F07F48"/>
    <w:rsid w:val="00F13BF5"/>
    <w:rsid w:val="00F145CF"/>
    <w:rsid w:val="00F1504C"/>
    <w:rsid w:val="00F156D1"/>
    <w:rsid w:val="00F17FF7"/>
    <w:rsid w:val="00F20DFE"/>
    <w:rsid w:val="00F253E7"/>
    <w:rsid w:val="00F26F77"/>
    <w:rsid w:val="00F27776"/>
    <w:rsid w:val="00F27D4D"/>
    <w:rsid w:val="00F3181F"/>
    <w:rsid w:val="00F328B1"/>
    <w:rsid w:val="00F340FC"/>
    <w:rsid w:val="00F34536"/>
    <w:rsid w:val="00F3540C"/>
    <w:rsid w:val="00F36E03"/>
    <w:rsid w:val="00F37ED3"/>
    <w:rsid w:val="00F41E44"/>
    <w:rsid w:val="00F42741"/>
    <w:rsid w:val="00F427E9"/>
    <w:rsid w:val="00F44169"/>
    <w:rsid w:val="00F45651"/>
    <w:rsid w:val="00F461F4"/>
    <w:rsid w:val="00F463E5"/>
    <w:rsid w:val="00F467C9"/>
    <w:rsid w:val="00F468CD"/>
    <w:rsid w:val="00F474F8"/>
    <w:rsid w:val="00F47661"/>
    <w:rsid w:val="00F521C7"/>
    <w:rsid w:val="00F53051"/>
    <w:rsid w:val="00F5313E"/>
    <w:rsid w:val="00F53216"/>
    <w:rsid w:val="00F53249"/>
    <w:rsid w:val="00F53F18"/>
    <w:rsid w:val="00F551D6"/>
    <w:rsid w:val="00F569D6"/>
    <w:rsid w:val="00F6137E"/>
    <w:rsid w:val="00F62128"/>
    <w:rsid w:val="00F6331C"/>
    <w:rsid w:val="00F63CE3"/>
    <w:rsid w:val="00F64904"/>
    <w:rsid w:val="00F65936"/>
    <w:rsid w:val="00F703F4"/>
    <w:rsid w:val="00F70BF1"/>
    <w:rsid w:val="00F70E06"/>
    <w:rsid w:val="00F71D7C"/>
    <w:rsid w:val="00F71E56"/>
    <w:rsid w:val="00F73510"/>
    <w:rsid w:val="00F77939"/>
    <w:rsid w:val="00F77E4E"/>
    <w:rsid w:val="00F77F3E"/>
    <w:rsid w:val="00F82813"/>
    <w:rsid w:val="00F84377"/>
    <w:rsid w:val="00F84E84"/>
    <w:rsid w:val="00F903B2"/>
    <w:rsid w:val="00F90B52"/>
    <w:rsid w:val="00F90ED6"/>
    <w:rsid w:val="00F91907"/>
    <w:rsid w:val="00F92106"/>
    <w:rsid w:val="00F92F35"/>
    <w:rsid w:val="00F935AF"/>
    <w:rsid w:val="00F935F7"/>
    <w:rsid w:val="00F940F3"/>
    <w:rsid w:val="00F94ED2"/>
    <w:rsid w:val="00FA177B"/>
    <w:rsid w:val="00FA34D5"/>
    <w:rsid w:val="00FA395B"/>
    <w:rsid w:val="00FA4E0D"/>
    <w:rsid w:val="00FA4EC2"/>
    <w:rsid w:val="00FA4EF4"/>
    <w:rsid w:val="00FA57AF"/>
    <w:rsid w:val="00FA5A99"/>
    <w:rsid w:val="00FA7EC3"/>
    <w:rsid w:val="00FB04CF"/>
    <w:rsid w:val="00FB23B9"/>
    <w:rsid w:val="00FB3657"/>
    <w:rsid w:val="00FB410E"/>
    <w:rsid w:val="00FB4C4B"/>
    <w:rsid w:val="00FB53C2"/>
    <w:rsid w:val="00FC2A44"/>
    <w:rsid w:val="00FC3B91"/>
    <w:rsid w:val="00FC6618"/>
    <w:rsid w:val="00FC703A"/>
    <w:rsid w:val="00FD1BF2"/>
    <w:rsid w:val="00FD5AC6"/>
    <w:rsid w:val="00FE2252"/>
    <w:rsid w:val="00FE56F2"/>
    <w:rsid w:val="00FE57A8"/>
    <w:rsid w:val="00FE5A2D"/>
    <w:rsid w:val="00FE69BE"/>
    <w:rsid w:val="00FF20CA"/>
    <w:rsid w:val="00FF4C7F"/>
    <w:rsid w:val="00FF508C"/>
    <w:rsid w:val="00FF67C3"/>
  </w:rsids>
  <w:themeFontLang w:val="cs-CZ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GB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2645E8"/>
    <w:pPr>
      <w:spacing w:after="0" w:before="200" w:line="276" w:lineRule="auto"/>
    </w:pPr>
    <w:rPr>
      <w:rFonts w:ascii="Georgia" w:hAnsi="Georgia"/>
      <w:lang w:val="cs-CZ"/>
    </w:rPr>
  </w:style>
  <w:style w:styleId="Heading1" w:type="paragraph">
    <w:name w:val="heading 1"/>
    <w:aliases w:val="IDEA Nadpis 1"/>
    <w:basedOn w:val="Heading3"/>
    <w:next w:val="Normal"/>
    <w:link w:val="Heading1Char"/>
    <w:uiPriority w:val="9"/>
    <w:qFormat/>
    <w:rsid w:val="0062108F"/>
    <w:pPr>
      <w:spacing w:after="200" w:line="360" w:lineRule="auto"/>
      <w:jc w:val="center"/>
      <w:outlineLvl w:val="0"/>
    </w:pPr>
    <w:rPr>
      <w:b/>
      <w:sz w:val="28"/>
      <w:lang w:val="cs-CZ"/>
    </w:rPr>
  </w:style>
  <w:style w:styleId="Heading2" w:type="paragraph">
    <w:name w:val="heading 2"/>
    <w:aliases w:val="IDEA nadpis grafu"/>
    <w:basedOn w:val="Caption"/>
    <w:next w:val="Normal"/>
    <w:link w:val="Heading2Char"/>
    <w:uiPriority w:val="9"/>
    <w:unhideWhenUsed/>
    <w:qFormat/>
    <w:rsid w:val="00E345C9"/>
    <w:pPr>
      <w:keepNext/>
      <w:jc w:val="center"/>
      <w:outlineLvl w:val="1"/>
    </w:pPr>
    <w:rPr>
      <w:rFonts w:cs="Times New Roman"/>
      <w:b/>
      <w:bCs/>
      <w:i w:val="0"/>
      <w:iCs w:val="0"/>
      <w:color w:val="2526A9"/>
      <w:sz w:val="24"/>
      <w:szCs w:val="24"/>
    </w:rPr>
  </w:style>
  <w:style w:styleId="Heading3" w:type="paragraph">
    <w:name w:val="heading 3"/>
    <w:aliases w:val="IDEA podnadpis"/>
    <w:basedOn w:val="Normal"/>
    <w:next w:val="BodyText"/>
    <w:link w:val="Heading3Char"/>
    <w:uiPriority w:val="9"/>
    <w:unhideWhenUsed/>
    <w:qFormat/>
    <w:rsid w:val="0062108F"/>
    <w:pPr>
      <w:keepNext/>
      <w:keepLines/>
      <w:spacing w:line="240" w:lineRule="auto"/>
      <w:outlineLvl w:val="2"/>
    </w:pPr>
    <w:rPr>
      <w:rFonts w:cstheme="majorBidi" w:eastAsiaTheme="majorEastAsia"/>
      <w:bCs/>
      <w:color w:val="2526A9"/>
      <w:szCs w:val="28"/>
      <w:lang w:val="en-US"/>
    </w:rPr>
  </w:style>
  <w:style w:styleId="Heading4" w:type="paragraph">
    <w:name w:val="heading 4"/>
    <w:basedOn w:val="Normal"/>
    <w:next w:val="BodyText"/>
    <w:link w:val="Heading4Char"/>
    <w:uiPriority w:val="9"/>
    <w:unhideWhenUsed/>
    <w:rsid w:val="00D47753"/>
    <w:pPr>
      <w:keepNext/>
      <w:keepLines/>
      <w:spacing w:line="240" w:lineRule="auto"/>
      <w:outlineLvl w:val="3"/>
    </w:pPr>
    <w:rPr>
      <w:rFonts w:asciiTheme="majorHAnsi" w:cstheme="majorBidi" w:eastAsiaTheme="majorEastAsia" w:hAnsiTheme="majorHAnsi"/>
      <w:b/>
      <w:bCs/>
      <w:color w:themeColor="accent1" w:val="4472C4"/>
      <w:szCs w:val="24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FootnoteText" w:type="paragraph">
    <w:name w:val="footnote text"/>
    <w:aliases w:val="IDEA pozn. pod čarou"/>
    <w:basedOn w:val="Normal"/>
    <w:link w:val="FootnoteTextChar"/>
    <w:uiPriority w:val="99"/>
    <w:unhideWhenUsed/>
    <w:qFormat/>
    <w:rsid w:val="00BB6C0F"/>
    <w:pPr>
      <w:spacing w:line="240" w:lineRule="auto"/>
      <w:jc w:val="both"/>
    </w:pPr>
    <w:rPr>
      <w:sz w:val="18"/>
      <w:szCs w:val="20"/>
    </w:rPr>
  </w:style>
  <w:style w:customStyle="1" w:styleId="FootnoteTextChar" w:type="character">
    <w:name w:val="Footnote Text Char"/>
    <w:aliases w:val="IDEA pozn. pod čarou Char"/>
    <w:basedOn w:val="DefaultParagraphFont"/>
    <w:link w:val="FootnoteText"/>
    <w:uiPriority w:val="99"/>
    <w:qFormat/>
    <w:rsid w:val="00BB6C0F"/>
    <w:rPr>
      <w:rFonts w:ascii="Georgia" w:hAnsi="Georgia"/>
      <w:sz w:val="18"/>
      <w:szCs w:val="20"/>
    </w:rPr>
  </w:style>
  <w:style w:styleId="FootnoteReference" w:type="character">
    <w:name w:val="footnote reference"/>
    <w:basedOn w:val="DefaultParagraphFont"/>
    <w:uiPriority w:val="99"/>
    <w:unhideWhenUsed/>
    <w:rsid w:val="009D3AC0"/>
    <w:rPr>
      <w:vertAlign w:val="superscript"/>
    </w:rPr>
  </w:style>
  <w:style w:styleId="Hyperlink" w:type="character">
    <w:name w:val="Hyperlink"/>
    <w:basedOn w:val="DefaultParagraphFont"/>
    <w:uiPriority w:val="99"/>
    <w:unhideWhenUsed/>
    <w:rsid w:val="009D3AC0"/>
    <w:rPr>
      <w:color w:themeColor="hyperlink" w:val="0563C1"/>
      <w:u w:val="single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9D3AC0"/>
    <w:rPr>
      <w:color w:val="605E5C"/>
      <w:shd w:color="auto" w:fill="E1DFDD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1858EF"/>
    <w:pPr>
      <w:spacing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1858EF"/>
    <w:rPr>
      <w:rFonts w:ascii="Tahoma" w:cs="Tahoma" w:hAnsi="Tahoma"/>
      <w:sz w:val="16"/>
      <w:szCs w:val="16"/>
    </w:rPr>
  </w:style>
  <w:style w:customStyle="1" w:styleId="zfr3q" w:type="paragraph">
    <w:name w:val="zfr3q"/>
    <w:basedOn w:val="Normal"/>
    <w:rsid w:val="005077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val="en-US"/>
    </w:rPr>
  </w:style>
  <w:style w:styleId="CommentReference" w:type="character">
    <w:name w:val="annotation reference"/>
    <w:basedOn w:val="DefaultParagraphFont"/>
    <w:uiPriority w:val="99"/>
    <w:semiHidden/>
    <w:unhideWhenUsed/>
    <w:rsid w:val="00DC6B0A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DC6B0A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DC6B0A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DC6B0A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DC6B0A"/>
    <w:rPr>
      <w:b/>
      <w:bCs/>
      <w:sz w:val="20"/>
      <w:szCs w:val="20"/>
    </w:rPr>
  </w:style>
  <w:style w:styleId="ListParagraph" w:type="paragraph">
    <w:name w:val="List Paragraph"/>
    <w:aliases w:val="IDEA shrnutí seznam"/>
    <w:basedOn w:val="Normal"/>
    <w:uiPriority w:val="34"/>
    <w:qFormat/>
    <w:rsid w:val="008D4F77"/>
    <w:pPr>
      <w:numPr>
        <w:numId w:val="11"/>
      </w:numPr>
      <w:spacing w:after="120"/>
      <w:jc w:val="both"/>
    </w:pPr>
    <w:rPr>
      <w:rFonts w:cs="Tahoma"/>
      <w:szCs w:val="24"/>
    </w:rPr>
  </w:style>
  <w:style w:customStyle="1" w:styleId="UnresolvedMention2" w:type="character">
    <w:name w:val="Unresolved Mention2"/>
    <w:basedOn w:val="DefaultParagraphFont"/>
    <w:uiPriority w:val="99"/>
    <w:semiHidden/>
    <w:unhideWhenUsed/>
    <w:rsid w:val="00DD12F9"/>
    <w:rPr>
      <w:color w:val="605E5C"/>
      <w:shd w:color="auto" w:fill="E1DFDD" w:val="clear"/>
    </w:rPr>
  </w:style>
  <w:style w:styleId="Header" w:type="paragraph">
    <w:name w:val="header"/>
    <w:basedOn w:val="Normal"/>
    <w:link w:val="Head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0359D8"/>
  </w:style>
  <w:style w:styleId="Footer" w:type="paragraph">
    <w:name w:val="footer"/>
    <w:basedOn w:val="Normal"/>
    <w:link w:val="FooterChar"/>
    <w:uiPriority w:val="99"/>
    <w:unhideWhenUsed/>
    <w:rsid w:val="000359D8"/>
    <w:pPr>
      <w:tabs>
        <w:tab w:pos="4513" w:val="center"/>
        <w:tab w:pos="9026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0359D8"/>
  </w:style>
  <w:style w:styleId="BodyText" w:type="paragraph">
    <w:name w:val="Body Text"/>
    <w:basedOn w:val="Normal"/>
    <w:link w:val="BodyTextChar"/>
    <w:rsid w:val="00A56A7D"/>
    <w:pPr>
      <w:spacing w:after="120"/>
      <w:jc w:val="both"/>
    </w:pPr>
    <w:rPr>
      <w:rFonts w:cs="Times New Roman" w:eastAsia="SimSun"/>
      <w:szCs w:val="24"/>
      <w:lang w:bidi="ar-AE" w:eastAsia="en-GB"/>
    </w:rPr>
  </w:style>
  <w:style w:customStyle="1" w:styleId="BodyTextChar" w:type="character">
    <w:name w:val="Body Text Char"/>
    <w:basedOn w:val="DefaultParagraphFont"/>
    <w:link w:val="BodyText"/>
    <w:rsid w:val="00A56A7D"/>
    <w:rPr>
      <w:rFonts w:ascii="Georgia" w:cs="Times New Roman" w:eastAsia="SimSun" w:hAnsi="Georgia"/>
      <w:sz w:val="24"/>
      <w:szCs w:val="24"/>
      <w:lang w:bidi="ar-AE" w:eastAsia="en-GB"/>
    </w:rPr>
  </w:style>
  <w:style w:customStyle="1" w:styleId="Nevyeenzmnka1" w:type="character">
    <w:name w:val="Nevyřešená zmínka1"/>
    <w:basedOn w:val="DefaultParagraphFont"/>
    <w:uiPriority w:val="99"/>
    <w:semiHidden/>
    <w:unhideWhenUsed/>
    <w:rsid w:val="00D768D8"/>
    <w:rPr>
      <w:color w:val="605E5C"/>
      <w:shd w:color="auto" w:fill="E1DFDD" w:val="clear"/>
    </w:rPr>
  </w:style>
  <w:style w:customStyle="1" w:styleId="Heading3Char" w:type="character">
    <w:name w:val="Heading 3 Char"/>
    <w:aliases w:val="IDEA podnadpis Char"/>
    <w:basedOn w:val="DefaultParagraphFont"/>
    <w:link w:val="Heading3"/>
    <w:uiPriority w:val="9"/>
    <w:rsid w:val="0062108F"/>
    <w:rPr>
      <w:rFonts w:ascii="Georgia" w:cstheme="majorBidi" w:eastAsiaTheme="majorEastAsia" w:hAnsi="Georgia"/>
      <w:bCs/>
      <w:color w:val="2526A9"/>
      <w:sz w:val="24"/>
      <w:szCs w:val="28"/>
      <w:lang w:val="en-US"/>
    </w:rPr>
  </w:style>
  <w:style w:customStyle="1" w:styleId="Heading4Char" w:type="character">
    <w:name w:val="Heading 4 Char"/>
    <w:basedOn w:val="DefaultParagraphFont"/>
    <w:link w:val="Heading4"/>
    <w:uiPriority w:val="9"/>
    <w:rsid w:val="00D47753"/>
    <w:rPr>
      <w:rFonts w:asciiTheme="majorHAnsi" w:cstheme="majorBidi" w:eastAsiaTheme="majorEastAsia" w:hAnsiTheme="majorHAnsi"/>
      <w:b/>
      <w:bCs/>
      <w:color w:themeColor="accent1" w:val="4472C4"/>
      <w:sz w:val="24"/>
      <w:szCs w:val="24"/>
      <w:lang w:val="en-US"/>
    </w:rPr>
  </w:style>
  <w:style w:customStyle="1" w:styleId="FirstParagraph" w:type="paragraph">
    <w:name w:val="First Paragraph"/>
    <w:basedOn w:val="BodyText"/>
    <w:next w:val="BodyText"/>
    <w:rsid w:val="00D47753"/>
    <w:pPr>
      <w:spacing w:after="180" w:before="180" w:line="240" w:lineRule="auto"/>
      <w:jc w:val="left"/>
    </w:pPr>
    <w:rPr>
      <w:rFonts w:asciiTheme="minorHAnsi" w:cstheme="minorBidi" w:eastAsiaTheme="minorHAnsi" w:hAnsiTheme="minorHAnsi"/>
      <w:lang w:bidi="ar-SA" w:eastAsia="en-US" w:val="en-US"/>
    </w:rPr>
  </w:style>
  <w:style w:customStyle="1" w:styleId="Compact" w:type="paragraph">
    <w:name w:val="Compact"/>
    <w:basedOn w:val="BodyText"/>
    <w:rsid w:val="00D47753"/>
    <w:pPr>
      <w:spacing w:after="36" w:before="36" w:line="240" w:lineRule="auto"/>
      <w:jc w:val="left"/>
    </w:pPr>
    <w:rPr>
      <w:rFonts w:asciiTheme="minorHAnsi" w:cstheme="minorBidi" w:eastAsiaTheme="minorHAnsi" w:hAnsiTheme="minorHAnsi"/>
      <w:lang w:bidi="ar-SA" w:eastAsia="en-US" w:val="en-US"/>
    </w:rPr>
  </w:style>
  <w:style w:styleId="Caption" w:type="paragraph">
    <w:name w:val="caption"/>
    <w:basedOn w:val="Normal"/>
    <w:next w:val="Normal"/>
    <w:uiPriority w:val="35"/>
    <w:unhideWhenUsed/>
    <w:rsid w:val="004350A4"/>
    <w:pPr>
      <w:spacing w:line="240" w:lineRule="auto"/>
    </w:pPr>
    <w:rPr>
      <w:i/>
      <w:iCs/>
      <w:color w:themeColor="text2" w:val="44546A"/>
      <w:sz w:val="18"/>
      <w:szCs w:val="18"/>
    </w:rPr>
  </w:style>
  <w:style w:styleId="NoSpacing" w:type="paragraph">
    <w:name w:val="No Spacing"/>
    <w:uiPriority w:val="1"/>
    <w:rsid w:val="008C1C4D"/>
    <w:pPr>
      <w:spacing w:after="0" w:line="240" w:lineRule="auto"/>
    </w:pPr>
  </w:style>
  <w:style w:customStyle="1" w:styleId="Heading1Char" w:type="character">
    <w:name w:val="Heading 1 Char"/>
    <w:aliases w:val="IDEA Nadpis 1 Char"/>
    <w:basedOn w:val="DefaultParagraphFont"/>
    <w:link w:val="Heading1"/>
    <w:uiPriority w:val="9"/>
    <w:rsid w:val="0062108F"/>
    <w:rPr>
      <w:rFonts w:ascii="Georgia" w:cstheme="majorBidi" w:eastAsiaTheme="majorEastAsia" w:hAnsi="Georgia"/>
      <w:b/>
      <w:bCs/>
      <w:color w:val="2526A9"/>
      <w:sz w:val="28"/>
      <w:szCs w:val="28"/>
      <w:lang w:val="cs-CZ"/>
    </w:rPr>
  </w:style>
  <w:style w:customStyle="1" w:styleId="Heading2Char" w:type="character">
    <w:name w:val="Heading 2 Char"/>
    <w:aliases w:val="IDEA nadpis grafu Char"/>
    <w:basedOn w:val="DefaultParagraphFont"/>
    <w:link w:val="Heading2"/>
    <w:uiPriority w:val="9"/>
    <w:rsid w:val="00E345C9"/>
    <w:rPr>
      <w:rFonts w:ascii="Georgia" w:cs="Times New Roman" w:hAnsi="Georgia"/>
      <w:b/>
      <w:bCs/>
      <w:color w:val="2526A9"/>
      <w:sz w:val="24"/>
      <w:szCs w:val="24"/>
      <w:lang w:val="cs-CZ"/>
    </w:rPr>
  </w:style>
  <w:style w:customStyle="1" w:styleId="IDEAseznam" w:type="paragraph">
    <w:name w:val="IDEA seznam"/>
    <w:basedOn w:val="ListParagraph"/>
    <w:qFormat/>
    <w:rsid w:val="00EF6ED8"/>
    <w:pPr>
      <w:numPr>
        <w:numId w:val="12"/>
      </w:numPr>
      <w:ind w:hanging="284" w:left="568" w:right="284"/>
    </w:pPr>
    <w:rPr>
      <w:sz w:val="24"/>
    </w:rPr>
  </w:style>
  <w:style w:customStyle="1" w:styleId="Footnotes" w:type="paragraph">
    <w:name w:val="Footnotes"/>
    <w:basedOn w:val="FootnoteText"/>
    <w:link w:val="FootnotesChar"/>
    <w:qFormat/>
    <w:rsid w:val="00A81AA4"/>
    <w:pPr>
      <w:spacing w:after="120" w:line="259" w:lineRule="auto"/>
      <w:jc w:val="left"/>
    </w:pPr>
    <w:rPr>
      <w:rFonts w:cs="Times New Roman" w:eastAsia="Calibri"/>
      <w:sz w:val="20"/>
    </w:rPr>
  </w:style>
  <w:style w:customStyle="1" w:styleId="FootnotesChar" w:type="character">
    <w:name w:val="Footnotes Char"/>
    <w:basedOn w:val="FootnoteTextChar"/>
    <w:link w:val="Footnotes"/>
    <w:rsid w:val="00A81AA4"/>
    <w:rPr>
      <w:rFonts w:ascii="Georgia" w:cs="Times New Roman" w:eastAsia="Calibri" w:hAnsi="Georgia"/>
      <w:sz w:val="20"/>
      <w:szCs w:val="20"/>
      <w:lang w:val="cs-CZ"/>
    </w:rPr>
  </w:style>
  <w:style w:customStyle="1" w:styleId="Pa35" w:type="paragraph">
    <w:name w:val="Pa35"/>
    <w:basedOn w:val="Normal"/>
    <w:next w:val="Normal"/>
    <w:uiPriority w:val="99"/>
    <w:rsid w:val="00B4183B"/>
    <w:pPr>
      <w:autoSpaceDE w:val="0"/>
      <w:autoSpaceDN w:val="0"/>
      <w:adjustRightInd w:val="0"/>
      <w:spacing w:line="231" w:lineRule="atLeast"/>
    </w:pPr>
    <w:rPr>
      <w:szCs w:val="24"/>
    </w:rPr>
  </w:style>
  <w:style w:customStyle="1" w:styleId="A14" w:type="character">
    <w:name w:val="A14"/>
    <w:uiPriority w:val="99"/>
    <w:rsid w:val="00B4183B"/>
    <w:rPr>
      <w:rFonts w:ascii="FontAwesome" w:cs="FontAwesome" w:eastAsia="FontAwesome"/>
      <w:color w:val="0068B4"/>
      <w:sz w:val="19"/>
      <w:szCs w:val="19"/>
    </w:rPr>
  </w:style>
  <w:style w:styleId="FollowedHyperlink" w:type="character">
    <w:name w:val="FollowedHyperlink"/>
    <w:basedOn w:val="DefaultParagraphFont"/>
    <w:uiPriority w:val="99"/>
    <w:semiHidden/>
    <w:unhideWhenUsed/>
    <w:rsid w:val="006D30AC"/>
    <w:rPr>
      <w:color w:themeColor="followedHyperlink" w:val="954F72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471D63"/>
    <w:rPr>
      <w:color w:val="605E5C"/>
      <w:shd w:color="auto" w:fill="E1DFDD" w:val="clear"/>
    </w:rPr>
  </w:style>
  <w:style w:styleId="Revision" w:type="paragraph">
    <w:name w:val="Revision"/>
    <w:hidden/>
    <w:uiPriority w:val="99"/>
    <w:semiHidden/>
    <w:rsid w:val="00705719"/>
    <w:pPr>
      <w:spacing w:after="0" w:line="240" w:lineRule="auto"/>
    </w:pPr>
    <w:rPr>
      <w:rFonts w:ascii="Georgia" w:hAnsi="Georgia"/>
      <w:sz w:val="24"/>
      <w:lang w:val="cs-CZ"/>
    </w:rPr>
  </w:style>
  <w:style w:styleId="NormalWeb" w:type="paragraph">
    <w:name w:val="Normal (Web)"/>
    <w:basedOn w:val="Normal"/>
    <w:uiPriority w:val="99"/>
    <w:semiHidden/>
    <w:unhideWhenUsed/>
    <w:rsid w:val="00114FE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val="en-US"/>
    </w:rPr>
  </w:style>
  <w:style w:styleId="TableGrid" w:type="table">
    <w:name w:val="Table Grid"/>
    <w:basedOn w:val="TableNormal"/>
    <w:uiPriority w:val="39"/>
    <w:rsid w:val="0091587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dnoteText" w:type="paragraph">
    <w:name w:val="endnote text"/>
    <w:basedOn w:val="Normal"/>
    <w:link w:val="EndnoteTextChar"/>
    <w:uiPriority w:val="99"/>
    <w:semiHidden/>
    <w:unhideWhenUsed/>
    <w:rsid w:val="002167F2"/>
    <w:pPr>
      <w:spacing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2167F2"/>
    <w:rPr>
      <w:rFonts w:ascii="Georgia" w:hAnsi="Georgia"/>
      <w:sz w:val="20"/>
      <w:szCs w:val="20"/>
      <w:lang w:val="cs-CZ"/>
    </w:rPr>
  </w:style>
  <w:style w:styleId="EndnoteReference" w:type="character">
    <w:name w:val="endnote reference"/>
    <w:basedOn w:val="DefaultParagraphFont"/>
    <w:uiPriority w:val="99"/>
    <w:semiHidden/>
    <w:unhideWhenUsed/>
    <w:rsid w:val="002167F2"/>
    <w:rPr>
      <w:vertAlign w:val="superscript"/>
    </w:rPr>
  </w:style>
  <w:style w:customStyle="1" w:styleId="Style1" w:type="paragraph">
    <w:name w:val="Style1"/>
    <w:basedOn w:val="Normal"/>
    <w:qFormat/>
    <w:rsid w:val="00522E14"/>
    <w:pPr>
      <w:spacing w:after="240" w:before="240" w:line="240" w:lineRule="auto"/>
      <w:jc w:val="center"/>
    </w:pPr>
    <w:rPr>
      <w:sz w:val="48"/>
      <w:szCs w:val="48"/>
    </w:rPr>
  </w:style>
  <w:style w:customStyle="1" w:styleId="Centered" w:type="paragraph">
    <w:name w:val="Centered"/>
    <w:qFormat/>
    <w:rsid w:val="007F0D5A"/>
    <w:pPr>
      <w:spacing w:after="240" w:before="240" w:line="240" w:lineRule="auto"/>
      <w:jc w:val="center"/>
    </w:pPr>
    <w:rPr>
      <w:rFonts w:ascii="Georgia" w:hAnsi="Georgia"/>
      <w:sz w:val="48"/>
      <w:szCs w:val="48"/>
      <w:lang w:val="cs-CZ"/>
    </w:rPr>
  </w:style>
  <w:style w:customStyle="1" w:styleId="Nadpis2" w:type="paragraph">
    <w:name w:val="Nadpis2"/>
    <w:basedOn w:val="Normal"/>
    <w:qFormat/>
    <w:rsid w:val="00522E14"/>
    <w:pPr>
      <w:spacing w:after="240" w:before="480" w:line="240" w:lineRule="auto"/>
      <w:jc w:val="center"/>
    </w:pPr>
    <w:rPr>
      <w:b/>
      <w:color w:val="2526A9"/>
    </w:rPr>
  </w:style>
  <w:style w:customStyle="1" w:styleId="IDEATitle" w:type="paragraph">
    <w:name w:val="IDEA Title"/>
    <w:basedOn w:val="Normal"/>
    <w:qFormat/>
    <w:rsid w:val="00C91A8F"/>
    <w:pPr>
      <w:spacing w:after="240" w:before="240" w:line="240" w:lineRule="auto"/>
      <w:jc w:val="center"/>
    </w:pPr>
    <w:rPr>
      <w:sz w:val="48"/>
      <w:szCs w:val="48"/>
    </w:rPr>
  </w:style>
  <w:style w:customStyle="1" w:styleId="IDEAtir" w:type="paragraph">
    <w:name w:val="IDEA tiráž"/>
    <w:basedOn w:val="Normal"/>
    <w:qFormat/>
    <w:rsid w:val="00A343FC"/>
    <w:pPr>
      <w:jc w:val="center"/>
    </w:pPr>
    <w:rPr>
      <w:rFonts w:cs="Times New Roman (Body CS)"/>
    </w:rPr>
  </w:style>
  <w:style w:customStyle="1" w:styleId="IDEAtitle0" w:type="paragraph">
    <w:name w:val="IDEA title"/>
    <w:basedOn w:val="Normal"/>
    <w:qFormat/>
    <w:rsid w:val="00A343FC"/>
    <w:pPr>
      <w:spacing w:after="240" w:before="240" w:line="240" w:lineRule="auto"/>
      <w:jc w:val="center"/>
    </w:pPr>
    <w:rPr>
      <w:sz w:val="48"/>
      <w:szCs w:val="48"/>
    </w:rPr>
  </w:style>
  <w:style w:customStyle="1" w:styleId="nospacepara" w:type="paragraph">
    <w:name w:val="nospacepara"/>
    <w:basedOn w:val="ListParagraph"/>
    <w:qFormat/>
    <w:rsid w:val="002645E8"/>
    <w:pPr>
      <w:numPr>
        <w:numId w:val="0"/>
      </w:numPr>
      <w:spacing w:before="0"/>
      <w:ind w:left="590"/>
      <w:contextualSpacing/>
    </w:pPr>
  </w:style>
  <w:style w:customStyle="1" w:styleId="IDEAhr" w:type="paragraph">
    <w:name w:val="IDEA hr"/>
    <w:basedOn w:val="Normal"/>
    <w:qFormat/>
    <w:rsid w:val="00AF09D3"/>
    <w:pPr>
      <w:pBdr>
        <w:bottom w:color="auto" w:space="1" w:sz="4" w:val="single"/>
      </w:pBdr>
      <w:spacing w:before="0"/>
      <w:jc w:val="center"/>
    </w:pPr>
    <w:rPr>
      <w:noProof/>
      <w:szCs w:val="3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81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4" Target="numbering.xml" /><Relationship Type="http://schemas.openxmlformats.org/officeDocument/2006/relationships/styles" Id="rId43" Target="styles.xml" /><Relationship Type="http://schemas.openxmlformats.org/officeDocument/2006/relationships/settings" Id="rId42" Target="settings.xml" /><Relationship Type="http://schemas.openxmlformats.org/officeDocument/2006/relationships/webSettings" Id="rId41" Target="webSettings.xml" /><Relationship Type="http://schemas.openxmlformats.org/officeDocument/2006/relationships/fontTable" Id="rId40" Target="fontTable.xml" /><Relationship Type="http://schemas.openxmlformats.org/officeDocument/2006/relationships/theme" Id="rId39" Target="theme/theme1.xml" /><Relationship Type="http://schemas.openxmlformats.org/officeDocument/2006/relationships/footnotes" Id="rId38" Target="footnotes.xml" /><Relationship Type="http://schemas.openxmlformats.org/officeDocument/2006/relationships/comments" Id="rId37" Target="comments.xml" /><Relationship Id="rId34" Target="footer1.xml" Type="http://schemas.openxmlformats.org/officeDocument/2006/relationships/footer" /><Relationship Id="rId33" Target="header1.xml" Type="http://schemas.openxmlformats.org/officeDocument/2006/relationships/header" /><Relationship Id="rId11" Target="media/image1.emf" Type="http://schemas.openxmlformats.org/officeDocument/2006/relationships/image" /><Relationship Id="rId36" Target="footer2.xml" Type="http://schemas.openxmlformats.org/officeDocument/2006/relationships/footer" /><Relationship Id="rId35" Target="header2.xml" Type="http://schemas.openxmlformats.org/officeDocument/2006/relationships/header" /><Relationship Type="http://schemas.openxmlformats.org/officeDocument/2006/relationships/image" Id="rId45" Target="media/rId45.png" /><Relationship Type="http://schemas.openxmlformats.org/officeDocument/2006/relationships/hyperlink" Id="rId61" Target="https://idea.cerge-ei.cz/studies/srovnani-platu-a-mezd-v-ceske-republice-vetsi-problem-nez-se-zda" TargetMode="External" /><Relationship Type="http://schemas.openxmlformats.org/officeDocument/2006/relationships/hyperlink" Id="rId49" Target="https://ideaapps.cerge-ei.cz/zamestnancistatu" TargetMode="External" /><Relationship Type="http://schemas.openxmlformats.org/officeDocument/2006/relationships/hyperlink" Id="rId50" Target="https://ideaapps.cerge-ei.cz/zamestnancistatu/" TargetMode="External" /><Relationship Type="http://schemas.openxmlformats.org/officeDocument/2006/relationships/hyperlink" Id="rId54" Target="https://ideaapps.cerge-ei.cz/zamestnancistatu/#10.Zm%C4%9Bnypo%C4%8Dtuzam.podlekategori%C3%AD" TargetMode="External" /><Relationship Type="http://schemas.openxmlformats.org/officeDocument/2006/relationships/hyperlink" Id="rId52" Target="https://ideaapps.cerge-ei.cz/zamestnancistatu/#1a.Po%C4%8Dtyzam%C4%9Bstnanc%C5%AF" TargetMode="External" /><Relationship Type="http://schemas.openxmlformats.org/officeDocument/2006/relationships/hyperlink" Id="rId64" Target="https://ideaapps.cerge-ei.cz/zamestnancistatu/#1b.V%C3%BDdajenaplaty" TargetMode="External" /><Relationship Type="http://schemas.openxmlformats.org/officeDocument/2006/relationships/hyperlink" Id="rId53" Target="https://ideaapps.cerge-ei.cz/zamestnancistatu/#2a.Po%C4%8Dtyzam%C4%9Bstnanc%C5%AF" TargetMode="External" /><Relationship Type="http://schemas.openxmlformats.org/officeDocument/2006/relationships/hyperlink" Id="rId62" Target="https://ideaapps.cerge-ei.cz/zamestnancistatu/#3a.Absolutn%C3%ADhodnoty" TargetMode="External" /><Relationship Type="http://schemas.openxmlformats.org/officeDocument/2006/relationships/hyperlink" Id="rId55" Target="https://ideaapps.cerge-ei.cz/zamestnancistatu/#4a.Po%C4%8Dtyzam%C4%9Bstnanc%C5%AF" TargetMode="External" /><Relationship Type="http://schemas.openxmlformats.org/officeDocument/2006/relationships/hyperlink" Id="rId56" Target="https://ideaapps.cerge-ei.cz/zamestnancistatu/#4b.Po%C4%8Dtyzam.,v%C4%8Detn%C4%9BMVaMZV" TargetMode="External" /><Relationship Type="http://schemas.openxmlformats.org/officeDocument/2006/relationships/hyperlink" Id="rId65" Target="https://ideaapps.cerge-ei.cz/zamestnancistatu/#4c.V%C3%BDdajenaplaty" TargetMode="External" /><Relationship Type="http://schemas.openxmlformats.org/officeDocument/2006/relationships/hyperlink" Id="rId59" Target="https://ideaapps.cerge-ei.cz/zamestnancistatu/#5a.Vre%C3%A1ln%C3%A9mvyj%C3%A1d%C5%99en%C3%AD" TargetMode="External" /><Relationship Type="http://schemas.openxmlformats.org/officeDocument/2006/relationships/hyperlink" Id="rId60" Target="https://ideaapps.cerge-ei.cz/zamestnancistatu/#5b.V%C5%AF%C4%8Dipr%C5%AFm%C4%9Brn%C3%A9mzd%C4%9B" TargetMode="External" /><Relationship Type="http://schemas.openxmlformats.org/officeDocument/2006/relationships/hyperlink" Id="rId57" Target="https://ideaapps.cerge-ei.cz/zamestnancistatu/#9a.Po%C4%8Detzam.ve%C5%99.sektoru" TargetMode="External" /><Relationship Type="http://schemas.openxmlformats.org/officeDocument/2006/relationships/hyperlink" Id="rId51" Target="https://www.mfcr.cz/cs/rozpoctova-politika/statni-rozpocet/plneni-statniho-rozpoct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idea.cerge-ei.cz/studies/srovnani-platu-a-mezd-v-ceske-republice-vetsi-problem-nez-se-zda" TargetMode="External" /><Relationship Type="http://schemas.openxmlformats.org/officeDocument/2006/relationships/hyperlink" Id="rId49" Target="https://ideaapps.cerge-ei.cz/zamestnancistatu" TargetMode="External" /><Relationship Type="http://schemas.openxmlformats.org/officeDocument/2006/relationships/hyperlink" Id="rId50" Target="https://ideaapps.cerge-ei.cz/zamestnancistatu/" TargetMode="External" /><Relationship Type="http://schemas.openxmlformats.org/officeDocument/2006/relationships/hyperlink" Id="rId54" Target="https://ideaapps.cerge-ei.cz/zamestnancistatu/#10.Zm%C4%9Bnypo%C4%8Dtuzam.podlekategori%C3%AD" TargetMode="External" /><Relationship Type="http://schemas.openxmlformats.org/officeDocument/2006/relationships/hyperlink" Id="rId52" Target="https://ideaapps.cerge-ei.cz/zamestnancistatu/#1a.Po%C4%8Dtyzam%C4%9Bstnanc%C5%AF" TargetMode="External" /><Relationship Type="http://schemas.openxmlformats.org/officeDocument/2006/relationships/hyperlink" Id="rId64" Target="https://ideaapps.cerge-ei.cz/zamestnancistatu/#1b.V%C3%BDdajenaplaty" TargetMode="External" /><Relationship Type="http://schemas.openxmlformats.org/officeDocument/2006/relationships/hyperlink" Id="rId53" Target="https://ideaapps.cerge-ei.cz/zamestnancistatu/#2a.Po%C4%8Dtyzam%C4%9Bstnanc%C5%AF" TargetMode="External" /><Relationship Type="http://schemas.openxmlformats.org/officeDocument/2006/relationships/hyperlink" Id="rId62" Target="https://ideaapps.cerge-ei.cz/zamestnancistatu/#3a.Absolutn%C3%ADhodnoty" TargetMode="External" /><Relationship Type="http://schemas.openxmlformats.org/officeDocument/2006/relationships/hyperlink" Id="rId55" Target="https://ideaapps.cerge-ei.cz/zamestnancistatu/#4a.Po%C4%8Dtyzam%C4%9Bstnanc%C5%AF" TargetMode="External" /><Relationship Type="http://schemas.openxmlformats.org/officeDocument/2006/relationships/hyperlink" Id="rId56" Target="https://ideaapps.cerge-ei.cz/zamestnancistatu/#4b.Po%C4%8Dtyzam.,v%C4%8Detn%C4%9BMVaMZV" TargetMode="External" /><Relationship Type="http://schemas.openxmlformats.org/officeDocument/2006/relationships/hyperlink" Id="rId65" Target="https://ideaapps.cerge-ei.cz/zamestnancistatu/#4c.V%C3%BDdajenaplaty" TargetMode="External" /><Relationship Type="http://schemas.openxmlformats.org/officeDocument/2006/relationships/hyperlink" Id="rId59" Target="https://ideaapps.cerge-ei.cz/zamestnancistatu/#5a.Vre%C3%A1ln%C3%A9mvyj%C3%A1d%C5%99en%C3%AD" TargetMode="External" /><Relationship Type="http://schemas.openxmlformats.org/officeDocument/2006/relationships/hyperlink" Id="rId60" Target="https://ideaapps.cerge-ei.cz/zamestnancistatu/#5b.V%C5%AF%C4%8Dipr%C5%AFm%C4%9Brn%C3%A9mzd%C4%9B" TargetMode="External" /><Relationship Type="http://schemas.openxmlformats.org/officeDocument/2006/relationships/hyperlink" Id="rId57" Target="https://ideaapps.cerge-ei.cz/zamestnancistatu/#9a.Po%C4%8Detzam.ve%C5%99.sektoru" TargetMode="External" /><Relationship Type="http://schemas.openxmlformats.org/officeDocument/2006/relationships/hyperlink" Id="rId51" Target="https://www.mfcr.cz/cs/rozpoctova-politika/statni-rozpocet/plneni-statniho-rozpoct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1719</Words>
  <Characters>9785</Characters>
  <Application>Microsoft Office Word</Application>
  <DocSecurity>0</DocSecurity>
  <Lines>160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2026-05-21T23:12:11Z</dcterms:created>
  <dcterms:modified xsi:type="dcterms:W3CDTF">2026-05-21T23:12:11Z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