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3FB8027F" w14:textId="77777777" w:rsidR="005E262D" w:rsidRDefault="005E262D"/>
    <w:p w14:paraId="11449C47" w14:textId="77777777" w:rsidR="005E262D" w:rsidRDefault="005E262D"/>
    <w:p w14:paraId="102C16FA" w14:textId="77777777" w:rsidR="005E262D" w:rsidRDefault="005E24D9">
      <w:r>
        <w:t>Authors:</w:t>
      </w:r>
    </w:p>
    <w:p w14:paraId="067A3DBB" w14:textId="4500334B" w:rsidR="005E262D" w:rsidRDefault="005E24D9">
      <w:r>
        <w:t>Linda Visser</w:t>
      </w:r>
      <w:r>
        <w:rPr>
          <w:rStyle w:val="FootnoteAnchor"/>
        </w:rPr>
        <w:footnoteReference w:id="2"/>
      </w:r>
      <w:r>
        <w:t>, Julia Kalmar</w:t>
      </w:r>
      <w:r>
        <w:rPr>
          <w:vertAlign w:val="superscript"/>
        </w:rPr>
        <w:t>1</w:t>
      </w:r>
      <w:r>
        <w:t xml:space="preserve">, </w:t>
      </w:r>
      <w:r w:rsidR="001578B4">
        <w:t>Janosch Linkersdörfer</w:t>
      </w:r>
      <w:r w:rsidR="001578B4">
        <w:rPr>
          <w:vertAlign w:val="superscript"/>
        </w:rPr>
        <w:t>1</w:t>
      </w:r>
      <w:r w:rsidR="001578B4">
        <w:t xml:space="preserve">, </w:t>
      </w:r>
      <w:r>
        <w:t>Ruth Görgen, Josefine Rothe, Marcus Hasselhorn, Gerd Schulte-Körne</w:t>
      </w:r>
    </w:p>
    <w:p w14:paraId="1A9ED84C" w14:textId="77777777" w:rsidR="005E262D" w:rsidRDefault="005E262D"/>
    <w:p w14:paraId="5ADC9946" w14:textId="77777777" w:rsidR="005E262D" w:rsidRDefault="005E262D"/>
    <w:p w14:paraId="5BF0FF13" w14:textId="77777777" w:rsidR="005E262D" w:rsidRDefault="005E24D9">
      <w:r>
        <w:t>To be submitted to:</w:t>
      </w:r>
    </w:p>
    <w:p w14:paraId="23F1D29C" w14:textId="14835D68" w:rsidR="005E262D" w:rsidRDefault="005E24D9">
      <w:pPr>
        <w:pStyle w:val="ListParagraph"/>
        <w:numPr>
          <w:ilvl w:val="0"/>
          <w:numId w:val="1"/>
        </w:numPr>
        <w:rPr>
          <w:lang w:val="en-GB"/>
        </w:rPr>
      </w:pPr>
      <w:r>
        <w:rPr>
          <w:lang w:val="en-GB"/>
        </w:rPr>
        <w:t>Journal of Clinical Child &amp; Adolescent Psychology (IF 5.0, “11,000 words (i.e., 35 pages), including references, footnotes, figures, and tables”)</w:t>
      </w:r>
    </w:p>
    <w:p w14:paraId="0F2963D8" w14:textId="77777777" w:rsidR="005E262D" w:rsidRDefault="005E262D">
      <w:pPr>
        <w:jc w:val="right"/>
        <w:rPr>
          <w:lang w:val="en-GB"/>
        </w:rPr>
      </w:pPr>
    </w:p>
    <w:p w14:paraId="41E81FA6" w14:textId="7BC017FB" w:rsidR="005E262D" w:rsidRDefault="005E24D9">
      <w:pPr>
        <w:rPr>
          <w:lang w:val="en-GB"/>
        </w:rPr>
      </w:pPr>
      <w:r>
        <w:rPr>
          <w:lang w:val="en-GB"/>
        </w:rPr>
        <w:t xml:space="preserve">Number of words: </w:t>
      </w:r>
      <w:r w:rsidR="00987906">
        <w:rPr>
          <w:lang w:val="en-GB"/>
        </w:rPr>
        <w:t>9.797</w:t>
      </w:r>
      <w:r>
        <w:br w:type="page"/>
      </w:r>
    </w:p>
    <w:p w14:paraId="0112F668" w14:textId="77777777" w:rsidR="005E262D" w:rsidRDefault="005E24D9">
      <w:pPr>
        <w:spacing w:line="480" w:lineRule="auto"/>
        <w:outlineLvl w:val="0"/>
      </w:pPr>
      <w:r>
        <w:lastRenderedPageBreak/>
        <w:t>Abstract</w:t>
      </w:r>
    </w:p>
    <w:p w14:paraId="4F8391C0" w14:textId="19D3528B"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anxiety, depression, ADHD, and</w:t>
      </w:r>
      <w:r w:rsidR="005149C9">
        <w:t>/or</w:t>
      </w:r>
      <w:r>
        <w:t xml:space="preserve"> conduct disorder. The sample consisted of 3014 German children from grades 3 and 4 </w:t>
      </w:r>
      <w:r w:rsidR="00B9294F" w:rsidRPr="00B9294F">
        <w:t>(</w:t>
      </w:r>
      <w:r w:rsidR="00C24FC8" w:rsidRPr="00C24FC8">
        <w:t xml:space="preserve">mean 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Children </w:t>
      </w:r>
      <w:bookmarkStart w:id="2" w:name="_GoBack"/>
      <w:bookmarkEnd w:id="2"/>
      <w:r w:rsidR="00673F15" w:rsidRPr="00673F15">
        <w:t>with SLD</w:t>
      </w:r>
      <w:r w:rsidR="003644CB" w:rsidRPr="003644CB">
        <w:t xml:space="preserve"> </w:t>
      </w:r>
      <w:r>
        <w:t>in multiple learning domains had a higher risk for</w:t>
      </w:r>
      <w:r w:rsidR="00E71D63">
        <w:t xml:space="preserve"> </w:t>
      </w:r>
      <w:r w:rsidR="008B40EC">
        <w:t>psychopathology</w:t>
      </w:r>
      <w:r>
        <w:t xml:space="preserve"> and had a broader spectrum 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77777777" w:rsidR="005E262D" w:rsidRDefault="005E24D9">
      <w:pPr>
        <w:spacing w:line="480" w:lineRule="auto"/>
        <w:outlineLvl w:val="0"/>
      </w:pPr>
      <w:r>
        <w:lastRenderedPageBreak/>
        <w:t>1 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77777777"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in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7D63">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7D63">
        <w:rPr>
          <w:lang w:val="nl-NL"/>
        </w:rPr>
        <w:t xml:space="preserve">, Schuchardt et al. </w:t>
      </w:r>
      <w:r>
        <w:fldChar w:fldCharType="begin"/>
      </w:r>
      <w:r w:rsidRPr="00BA7D63">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7D63">
        <w:rPr>
          <w:lang w:val="nl-NL"/>
        </w:rPr>
        <w:t>(</w:t>
      </w:r>
      <w:bookmarkStart w:id="373" w:name="__Fieldmark__1286_2416921879"/>
      <w:r w:rsidRPr="00BA7D63">
        <w:rPr>
          <w:lang w:val="nl-NL"/>
        </w:rPr>
        <w:t>2</w:t>
      </w:r>
      <w:bookmarkStart w:id="374" w:name="__Fieldmark__930_3122512796"/>
      <w:r w:rsidRPr="00BA7D63">
        <w:rPr>
          <w:lang w:val="nl-NL"/>
        </w:rPr>
        <w:t>0</w:t>
      </w:r>
      <w:bookmarkStart w:id="375" w:name="__Fieldmark__866_2702219440"/>
      <w:r w:rsidRPr="00BA7D63">
        <w:rPr>
          <w:lang w:val="nl-NL"/>
        </w:rPr>
        <w:t>1</w:t>
      </w:r>
      <w:bookmarkStart w:id="376" w:name="__Fieldmark__902_173841316"/>
      <w:r w:rsidRPr="00BA7D63">
        <w:rPr>
          <w:lang w:val="nl-NL"/>
        </w:rPr>
        <w:t>5</w:t>
      </w:r>
      <w:bookmarkStart w:id="377" w:name="__Fieldmark__1056_188362136"/>
      <w:bookmarkStart w:id="378" w:name="__Fieldmark__1039_2309953158"/>
      <w:bookmarkStart w:id="379" w:name="__Fieldmark__1129_3969131622"/>
      <w:r w:rsidRPr="00BA7D63">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7D63">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w:t>
      </w:r>
      <w:r>
        <w:lastRenderedPageBreak/>
        <w:t>Escovar, &amp; Menon, 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BB49D9">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BB49D9">
        <w:rPr>
          <w:lang w:val="de-DE"/>
        </w:rPr>
        <w:t>(</w:t>
      </w:r>
      <w:bookmarkStart w:id="467" w:name="__Fieldmark__1586_2416921879"/>
      <w:r w:rsidRPr="00BB49D9">
        <w:rPr>
          <w:lang w:val="de-DE"/>
        </w:rPr>
        <w:t>F</w:t>
      </w:r>
      <w:bookmarkStart w:id="468" w:name="__Fieldmark__1189_3122512796"/>
      <w:r w:rsidRPr="00BB49D9">
        <w:rPr>
          <w:lang w:val="de-DE"/>
        </w:rPr>
        <w:t>i</w:t>
      </w:r>
      <w:bookmarkStart w:id="469" w:name="__Fieldmark__1109_2702219440"/>
      <w:r w:rsidRPr="00BB49D9">
        <w:rPr>
          <w:lang w:val="de-DE"/>
        </w:rPr>
        <w:t>s</w:t>
      </w:r>
      <w:bookmarkStart w:id="470" w:name="__Fieldmark__1133_173841316"/>
      <w:r w:rsidRPr="00BB49D9">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BB49D9">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BB49D9">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77777777" w:rsidR="005E262D" w:rsidRDefault="005E24D9">
      <w:pPr>
        <w:pStyle w:val="Heading"/>
        <w:spacing w:line="480" w:lineRule="auto"/>
        <w:outlineLvl w:val="0"/>
      </w:pPr>
      <w:r>
        <w:t xml:space="preserve">2 Methods </w:t>
      </w:r>
    </w:p>
    <w:p w14:paraId="0D7CDEA0" w14:textId="77777777" w:rsidR="005E262D" w:rsidRDefault="005E24D9">
      <w:pPr>
        <w:pStyle w:val="Heading"/>
        <w:spacing w:line="480" w:lineRule="auto"/>
        <w:outlineLvl w:val="0"/>
      </w:pPr>
      <w:r>
        <w:t xml:space="preserve">2.1 Recruitment </w:t>
      </w:r>
    </w:p>
    <w:p w14:paraId="0A756B36" w14:textId="77777777" w:rsidR="005E262D" w:rsidRDefault="005E24D9">
      <w:pPr>
        <w:spacing w:line="480" w:lineRule="auto"/>
      </w:pPr>
      <w:r>
        <w:lastRenderedPageBreak/>
        <w:t>We invited families with their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77777777" w:rsidR="005E262D" w:rsidRDefault="005E24D9">
      <w:pPr>
        <w:spacing w:line="480" w:lineRule="auto"/>
      </w:pPr>
      <w:r>
        <w:t>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German Institute for International Educational Research Frankfurt am Main.</w:t>
      </w:r>
    </w:p>
    <w:p w14:paraId="40A8A6A5" w14:textId="6C3D41B7" w:rsidR="005E262D" w:rsidRDefault="005E262D">
      <w:pPr>
        <w:spacing w:line="480" w:lineRule="auto"/>
      </w:pPr>
    </w:p>
    <w:p w14:paraId="4BB748B3" w14:textId="24B3D84F" w:rsidR="008B2FC0" w:rsidRDefault="008B2FC0" w:rsidP="008B2FC0">
      <w:pPr>
        <w:pStyle w:val="Heading"/>
        <w:spacing w:line="480" w:lineRule="auto"/>
        <w:outlineLvl w:val="0"/>
      </w:pPr>
      <w:r>
        <w:t>2.</w:t>
      </w:r>
      <w:r w:rsidR="00AD0378">
        <w:t>2</w:t>
      </w:r>
      <w:r>
        <w:t xml:space="preserve"> Participants</w:t>
      </w:r>
    </w:p>
    <w:p w14:paraId="516CDC6F" w14:textId="2E0BB58D"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t xml:space="preserve">of </w:t>
      </w:r>
      <w:r w:rsidR="008F31BF" w:rsidRPr="008F31BF">
        <w:t xml:space="preserve">&lt;&lt;n_filtered&gt;&gt; children with a mean age of &lt;&lt;age_mean_y&gt;&gt;;&lt;&lt;age_mean_m&gt;&gt; years (SD = &lt;&lt;age_sd&gt;&gt; months; range &lt;&lt;age_min_y&gt;&gt;;&lt;&lt;age_min_m&gt;&gt; to &lt;&lt;age_max_y&gt;&gt;;&lt;&lt;age_max_m&gt;&gt;). </w:t>
      </w:r>
      <w:r w:rsidRPr="003644CB">
        <w:t>The mean age</w:t>
      </w:r>
      <w:r w:rsidRPr="00722EA8">
        <w:t xml:space="preserve"> for 3</w:t>
      </w:r>
      <w:r w:rsidRPr="005316FB">
        <w:rPr>
          <w:vertAlign w:val="superscript"/>
        </w:rPr>
        <w:t>rd</w:t>
      </w:r>
      <w:r w:rsidRPr="00722EA8">
        <w:t xml:space="preserve"> grade children was </w:t>
      </w:r>
      <w:bookmarkStart w:id="512" w:name="_Hlk531781176"/>
      <w:r w:rsidR="008F31BF" w:rsidRPr="008F31BF">
        <w:t xml:space="preserve">&lt;&lt;age_mean_y_grade3&gt;&gt;;&lt;&lt;age_mean_m_grade3&gt;&gt; </w:t>
      </w:r>
      <w:r w:rsidRPr="00CE75D6">
        <w:t xml:space="preserve">years </w:t>
      </w:r>
      <w:r w:rsidRPr="00722EA8">
        <w:t>and for 4</w:t>
      </w:r>
      <w:r w:rsidRPr="005316FB">
        <w:rPr>
          <w:vertAlign w:val="superscript"/>
        </w:rPr>
        <w:t>th</w:t>
      </w:r>
      <w:r w:rsidRPr="00722EA8">
        <w:t xml:space="preserve"> grade </w:t>
      </w:r>
      <w:bookmarkEnd w:id="512"/>
      <w:r w:rsidR="008F31BF" w:rsidRPr="008F31BF">
        <w:t>&lt;&lt;age_mean_y_grade4&gt;&gt;;&lt;&lt;age_mean_m_grade4&gt;&gt; years</w:t>
      </w:r>
      <w:r>
        <w:t xml:space="preserve">. Table 1 displays the sample distribution with respect to gender, grade, state, as well as several indicators of </w:t>
      </w:r>
      <w:r>
        <w:lastRenderedPageBreak/>
        <w:t xml:space="preserve">representativeness. The sample is approximately equally distributed in terms of gender and 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7B3B6BEA" w:rsidR="00AD0378" w:rsidRDefault="00AD0378" w:rsidP="00AD0378">
      <w:pPr>
        <w:pStyle w:val="Heading"/>
        <w:spacing w:line="480" w:lineRule="auto"/>
        <w:outlineLvl w:val="0"/>
      </w:pPr>
      <w:r>
        <w:t>2.3 Drop-out and exclusion</w:t>
      </w:r>
    </w:p>
    <w:p w14:paraId="5C29EECC" w14:textId="77777777" w:rsidR="008F31BF" w:rsidRDefault="00AD0378" w:rsidP="008F31BF">
      <w:pPr>
        <w:spacing w:line="480" w:lineRule="auto"/>
      </w:pPr>
      <w:r>
        <w:t xml:space="preserve">For the current study, we excluded cases from the analyses for which the child did not complete all tests up to session four </w:t>
      </w:r>
      <w:r w:rsidR="008F31BF">
        <w:t>(&lt;&lt;n_test_incompl&gt;&gt;; &lt;&lt;perc_test_incompl&gt;&gt;%) or the parent did not complete all questionnaires (&lt;&lt;n_question_incompl&gt;&gt;; &lt;&lt;perc_question_incompl&gt;&gt;%).</w:t>
      </w:r>
    </w:p>
    <w:p w14:paraId="6287F8C2" w14:textId="604D1FDD" w:rsidR="00F94C2F" w:rsidRDefault="008F31BF" w:rsidP="008F31BF">
      <w:pPr>
        <w:spacing w:line="480" w:lineRule="auto"/>
      </w:pPr>
      <w:r>
        <w:t>The sample included &lt;&lt;n_siblings&gt;&gt; sibling pairs. To avoid statistical dependence in the sample, we randomly excluded the data of one sibling per pair. In addition, we excluded &lt;&lt;n_iq_low&gt;&gt; (&lt;&lt;perc_iq_low&gt;&gt;%) cases because of an IQ of 70 or lower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children.</w:t>
      </w:r>
    </w:p>
    <w:p w14:paraId="09CC3F40" w14:textId="77777777" w:rsidR="008F31BF" w:rsidRDefault="008F31BF" w:rsidP="008F31BF">
      <w:pPr>
        <w:spacing w:line="480" w:lineRule="auto"/>
      </w:pPr>
    </w:p>
    <w:p w14:paraId="210DD9EA" w14:textId="51EBAF2C" w:rsidR="005E262D" w:rsidRDefault="005E24D9">
      <w:pPr>
        <w:pStyle w:val="Heading"/>
        <w:spacing w:line="480" w:lineRule="auto"/>
        <w:outlineLvl w:val="0"/>
      </w:pPr>
      <w:r>
        <w:t>2.</w:t>
      </w:r>
      <w:r w:rsidR="00AD0378">
        <w:t>4</w:t>
      </w:r>
      <w:r>
        <w:t xml:space="preserve"> 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 xml:space="preserve">s to an online tablet/smartphone version and additionally embedded in a story frame around a magician to motivate children to do the tests. Using either a smartphone or tablet, participants worked on the tests and questionnaires </w:t>
      </w:r>
      <w:r>
        <w:lastRenderedPageBreak/>
        <w:t>independently at home. For the children tests and questionnaires were grouped into four sessions which had to be worked on for four days</w:t>
      </w:r>
      <w:r w:rsidR="0065123E">
        <w:t>. There was</w:t>
      </w:r>
      <w:r>
        <w:t xml:space="preserve"> one session for the assessment of 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0D5FA28C" w:rsidR="005E262D" w:rsidRDefault="005E24D9">
      <w:pPr>
        <w:pStyle w:val="Heading"/>
        <w:spacing w:line="480" w:lineRule="auto"/>
        <w:outlineLvl w:val="0"/>
      </w:pPr>
      <w:r>
        <w:t>2.</w:t>
      </w:r>
      <w:r w:rsidR="00AD0378">
        <w:t>5</w:t>
      </w:r>
      <w:r>
        <w:t xml:space="preserve"> 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 xml:space="preserve">The CODY-M 2-4 includes nine subtests focusing on basic number processing (counting, magnitude comparisons), complex number processing (number </w:t>
      </w:r>
      <w:r w:rsidRPr="00987906">
        <w:lastRenderedPageBreak/>
        <w:t>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w:t>
      </w:r>
      <w:r>
        <w:lastRenderedPageBreak/>
        <w:t xml:space="preserve">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184D1CE4" w:rsidR="005E262D" w:rsidRDefault="005E24D9">
      <w:pPr>
        <w:pStyle w:val="Heading"/>
        <w:spacing w:line="480" w:lineRule="auto"/>
        <w:outlineLvl w:val="0"/>
      </w:pPr>
      <w:r>
        <w:t>2.</w:t>
      </w:r>
      <w:r w:rsidR="00AD0378">
        <w:t>6</w:t>
      </w:r>
      <w:r>
        <w:t>. Data preparation</w:t>
      </w:r>
    </w:p>
    <w:p w14:paraId="7C7AB366" w14:textId="0881397F"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8F31BF" w:rsidRPr="008F31BF">
        <w:t xml:space="preserve">version &lt;&lt;r_version&gt;&gt;) </w:t>
      </w:r>
      <w:r w:rsidR="003644CB" w:rsidRPr="003644CB">
        <w:t xml:space="preserve">for </w:t>
      </w:r>
      <w:r>
        <w:t>data analysis. Data and analysis code are available on the Open Science Framework (https://osf.io/</w:t>
      </w:r>
      <w:r w:rsidR="006E72B9" w:rsidRPr="006E72B9">
        <w:t>9mxp2</w:t>
      </w:r>
      <w:r>
        <w:t>/).</w:t>
      </w:r>
    </w:p>
    <w:p w14:paraId="0A4151FC" w14:textId="77777777" w:rsidR="005E262D" w:rsidRDefault="005E262D">
      <w:pPr>
        <w:spacing w:line="480" w:lineRule="auto"/>
      </w:pPr>
    </w:p>
    <w:p w14:paraId="06F2E2D4" w14:textId="41EF3EBF" w:rsidR="005E262D" w:rsidRDefault="005E24D9">
      <w:pPr>
        <w:pStyle w:val="Heading"/>
        <w:spacing w:line="480" w:lineRule="auto"/>
        <w:outlineLvl w:val="0"/>
      </w:pPr>
      <w:r>
        <w:t>2.</w:t>
      </w:r>
      <w:r w:rsidR="00AD0378">
        <w:t>6</w:t>
      </w:r>
      <w:r>
        <w:t>.1 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w:t>
      </w:r>
      <w:r>
        <w:lastRenderedPageBreak/>
        <w:t xml:space="preserve">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412A37B3" w:rsidR="005E262D" w:rsidRDefault="005E24D9">
      <w:pPr>
        <w:spacing w:line="480" w:lineRule="auto"/>
      </w:pPr>
      <w:bookmarkStart w:id="754" w:name="_Hlk527450931"/>
      <w:r>
        <w:t xml:space="preserve">In total, we </w:t>
      </w:r>
      <w:bookmarkEnd w:id="754"/>
      <w:r w:rsidR="003644CB" w:rsidRPr="003644CB">
        <w:t xml:space="preserve">excluded </w:t>
      </w:r>
      <w:r w:rsidR="008F31BF" w:rsidRPr="008F31BF">
        <w:t xml:space="preserve">&lt;&lt;n_implausible&gt;&gt; (&lt;&lt;perc_implausible&gt;&gt;%) cases </w:t>
      </w:r>
      <w:r>
        <w:t>because of implausible data. No data of parent questionnaires appeared to be implausible.</w:t>
      </w:r>
    </w:p>
    <w:p w14:paraId="3778DF6F" w14:textId="77777777" w:rsidR="005E262D" w:rsidRDefault="005E262D">
      <w:pPr>
        <w:spacing w:line="480" w:lineRule="auto"/>
      </w:pPr>
    </w:p>
    <w:p w14:paraId="33207400" w14:textId="55D7F57C" w:rsidR="005E262D" w:rsidRDefault="005E24D9">
      <w:pPr>
        <w:pStyle w:val="Heading"/>
        <w:spacing w:line="480" w:lineRule="auto"/>
        <w:outlineLvl w:val="0"/>
        <w:rPr>
          <w:lang w:val="en-GB"/>
        </w:rPr>
      </w:pPr>
      <w:r>
        <w:t>2.</w:t>
      </w:r>
      <w:r w:rsidR="00AD0378">
        <w:t>6</w:t>
      </w:r>
      <w:r>
        <w:t xml:space="preserve">.2 </w:t>
      </w:r>
      <w:r w:rsidR="005149C9">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w:t>
      </w:r>
      <w:r>
        <w:lastRenderedPageBreak/>
        <w:t xml:space="preserve">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389608AF" w:rsidR="005E262D" w:rsidRDefault="005E24D9">
      <w:pPr>
        <w:pStyle w:val="Heading"/>
        <w:spacing w:line="480" w:lineRule="auto"/>
        <w:outlineLvl w:val="0"/>
      </w:pPr>
      <w:r>
        <w:t>2.</w:t>
      </w:r>
      <w:r w:rsidR="00AD0378">
        <w:t>6</w:t>
      </w:r>
      <w:r>
        <w:t>.</w:t>
      </w:r>
      <w:r w:rsidR="00AD0378">
        <w:t>3</w:t>
      </w:r>
      <w:r>
        <w:t xml:space="preserve"> 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w:t>
      </w:r>
      <w:r>
        <w:lastRenderedPageBreak/>
        <w:t xml:space="preserve">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 xml:space="preserve">that </w:t>
      </w:r>
      <w:r w:rsidR="004B050D">
        <w:lastRenderedPageBreak/>
        <w:t>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417813AA" w:rsidR="005E262D" w:rsidRDefault="005E24D9">
      <w:pPr>
        <w:pStyle w:val="Heading"/>
        <w:spacing w:line="480" w:lineRule="auto"/>
        <w:outlineLvl w:val="0"/>
      </w:pPr>
      <w:r>
        <w:lastRenderedPageBreak/>
        <w:t>2.</w:t>
      </w:r>
      <w:r w:rsidR="00AD0378">
        <w:t>7</w:t>
      </w:r>
      <w:r>
        <w:t xml:space="preserve"> 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w:t>
      </w:r>
      <w:r>
        <w:lastRenderedPageBreak/>
        <w:t xml:space="preserve">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77777777" w:rsidR="005E262D" w:rsidRDefault="005E24D9">
      <w:pPr>
        <w:spacing w:line="480" w:lineRule="auto"/>
        <w:outlineLvl w:val="0"/>
      </w:pPr>
      <w:r>
        <w:t>3 Results</w:t>
      </w:r>
    </w:p>
    <w:p w14:paraId="6CA1BFDB" w14:textId="77777777" w:rsidR="005E262D" w:rsidRDefault="005E24D9">
      <w:pPr>
        <w:pStyle w:val="Heading"/>
        <w:spacing w:line="480" w:lineRule="auto"/>
        <w:outlineLvl w:val="0"/>
      </w:pPr>
      <w:r w:rsidRPr="00987906">
        <w:t xml:space="preserve">3.1 Descriptive statistics </w:t>
      </w:r>
      <w:r w:rsidR="0065123E" w:rsidRPr="00987906">
        <w:t xml:space="preserve">for </w:t>
      </w:r>
      <w:r w:rsidRPr="00987906">
        <w:t>the SLD groups</w:t>
      </w:r>
      <w:r>
        <w:t xml:space="preserve"> </w:t>
      </w:r>
    </w:p>
    <w:p w14:paraId="4DDD14D3" w14:textId="77777777" w:rsidR="008F31BF" w:rsidRDefault="005E24D9" w:rsidP="008F31BF">
      <w:pPr>
        <w:spacing w:line="480" w:lineRule="auto"/>
      </w:pPr>
      <w:r>
        <w:t xml:space="preserve">Table 2 shows the numbers of children that were categorized into each of the eight SLD groups and their average intelligence quotients (IQ; CFT-20R) as well as reading (WLLP-R), </w:t>
      </w:r>
      <w:r w:rsidR="008F31BF">
        <w:t>spelling (WRT), and arithmetic (Cody-M 2-4) T-scores. An isolated spelling disorder occurs in &lt;&lt;n_iso_spell&gt;&gt; cases (&lt;&lt;perc_iso_spell&gt;&gt;%) within the sample; an isolated reading disorder in &lt;&lt;n_iso_read&gt;&gt; cases (&lt;&lt;perc_iso_read&gt;&gt;%), and arithmetic disorder in &lt;&lt;n_iso_math&gt;&gt; cases (&lt;&lt;perc_iso_math&gt;&gt;%). We refer to Table 2 for the numbers and percentages of children with the various forms of comorbid SLDs.</w:t>
      </w:r>
    </w:p>
    <w:p w14:paraId="794DA2D5" w14:textId="3574BCB8" w:rsidR="005E262D" w:rsidRDefault="008F31BF" w:rsidP="008F31BF">
      <w:pPr>
        <w:spacing w:line="480" w:lineRule="auto"/>
      </w:pPr>
      <w:r>
        <w:t xml:space="preserve">The average IQ is lower for children with an isolated arithmetic disorder than for children with an isolated reading or spelling disorder (&lt;&lt;iq_math&gt;&gt; vs. &lt;&lt;iq_read&gt;&gt; respectively &lt;&lt;iq_math&gt;&gt; vs. &lt;&lt;iq_spell&gt;&gt;). </w:t>
      </w:r>
      <w:r w:rsidR="0090313C">
        <w:t>The reading, spelling, and arithmetic T-scores reflect the criteria chosen in the grouping procedure</w:t>
      </w:r>
      <w:r w:rsidR="005E24D9">
        <w:t>.</w:t>
      </w:r>
    </w:p>
    <w:p w14:paraId="326CB506" w14:textId="77777777" w:rsidR="005E262D" w:rsidRDefault="005E262D">
      <w:pPr>
        <w:spacing w:line="480" w:lineRule="auto"/>
      </w:pPr>
    </w:p>
    <w:p w14:paraId="0F697389" w14:textId="77777777" w:rsidR="005E262D" w:rsidRDefault="005E24D9">
      <w:pPr>
        <w:pStyle w:val="Heading"/>
        <w:spacing w:line="480" w:lineRule="auto"/>
        <w:outlineLvl w:val="0"/>
      </w:pPr>
      <w:r w:rsidRPr="00987906">
        <w:t>3.2 Numbers and percentages of children with psychopathology per SLD group</w:t>
      </w:r>
      <w:r>
        <w:t xml:space="preserve"> </w:t>
      </w:r>
    </w:p>
    <w:p w14:paraId="46546827" w14:textId="77777777" w:rsidR="008F31BF" w:rsidRDefault="005E24D9" w:rsidP="008F31BF">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 xml:space="preserve">The only exception is the occurrence of conduct disorder in children </w:t>
      </w:r>
      <w:r w:rsidRPr="00E30CC7">
        <w:lastRenderedPageBreak/>
        <w:t>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8F31BF">
        <w:t>disorder (&lt;&lt;perc_com_read_spell_des&gt;&gt;%), of conduct disorder in children with comorbid reading and arithmetic disorder (&lt;&lt;perc_com_read_math_ssv&gt;&gt;%), and of ADHD in children with combined spelling and arithmetic disorder (&lt;&lt;perc_com_spell_math_adhs&gt;&gt;%). For children classified as having any SLD, the occurrence of comorbid psychopathology are &lt;&lt;perc_any_sca&gt;&gt;% (anxiety), &lt;&lt;perc_any_des&gt;&gt;% (depression), &lt;&lt;perc_any_adhs&gt;&gt;% (ADHD), and &lt;&lt;perc_any_ssv&gt;&gt;% (conduct disorder).</w:t>
      </w:r>
    </w:p>
    <w:p w14:paraId="2624167B" w14:textId="2F2C6B06" w:rsidR="005E262D" w:rsidRDefault="008F31BF" w:rsidP="008F31BF">
      <w:pPr>
        <w:spacing w:line="480" w:lineRule="auto"/>
      </w:pPr>
      <w:r>
        <w:t xml:space="preserve">Figure 1 displays the number of areas with psychopathology for the more broadly defined groups of children with SLD: “any SLD” (n = &lt;&lt;n_sld_any&gt;&gt;), “reading disorder” (n = &lt;&lt;n_sld_read&gt;&gt;), “spelling disorder” (n = &lt;&lt;n_sld_spell&gt;&gt;), and “arithmetic disorder” (n = &lt;&lt;n_sld_math&gt;&gt;). The </w:t>
      </w:r>
      <w:r w:rsidR="005E24D9">
        <w:t xml:space="preserve">percentage of </w:t>
      </w:r>
      <w:bookmarkStart w:id="860" w:name="_Hlk534639595"/>
      <w:r w:rsidR="005E24D9">
        <w:t>children w</w:t>
      </w:r>
      <w:r w:rsidR="002A21DF">
        <w:t xml:space="preserve">ithout </w:t>
      </w:r>
      <w:r w:rsidR="005E24D9">
        <w:t xml:space="preserve">any </w:t>
      </w:r>
      <w:r w:rsidR="008B40EC">
        <w:t>psychopathology</w:t>
      </w:r>
      <w:r w:rsidR="005E24D9">
        <w:t xml:space="preserve"> </w:t>
      </w:r>
      <w:bookmarkEnd w:id="860"/>
      <w:r w:rsidR="005E24D9">
        <w:t xml:space="preserve">is clearly lower in children with </w:t>
      </w:r>
      <w:r w:rsidR="0055074A">
        <w:t xml:space="preserve">an SLD </w:t>
      </w:r>
      <w:r w:rsidR="005E24D9">
        <w:t xml:space="preserve">than </w:t>
      </w:r>
      <w:r w:rsidR="0055074A">
        <w:t xml:space="preserve">in those </w:t>
      </w:r>
      <w:r w:rsidR="005E24D9">
        <w:t xml:space="preserve">without an SLD. </w:t>
      </w:r>
      <w:r w:rsidR="00C112C3">
        <w:t>While t</w:t>
      </w:r>
      <w:r w:rsidR="005533F9">
        <w:t xml:space="preserve">he percentage of children with psychopathology </w:t>
      </w:r>
      <w:r w:rsidR="0055074A">
        <w:t xml:space="preserve">in a 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77777777" w:rsidR="005E262D" w:rsidRPr="003F77F6" w:rsidRDefault="005E24D9">
      <w:pPr>
        <w:pStyle w:val="Heading"/>
        <w:spacing w:line="480" w:lineRule="auto"/>
        <w:outlineLvl w:val="0"/>
      </w:pPr>
      <w:r w:rsidRPr="00987906">
        <w:t>3.3 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xml:space="preserve">. </w:t>
      </w:r>
      <w:r>
        <w:lastRenderedPageBreak/>
        <w:t>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77777777" w:rsidR="005E262D" w:rsidRDefault="005E24D9">
      <w:pPr>
        <w:pStyle w:val="Heading"/>
        <w:spacing w:line="480" w:lineRule="auto"/>
        <w:outlineLvl w:val="0"/>
      </w:pPr>
      <w:r w:rsidRPr="00987906">
        <w:t>3.4 Difference in psychopathology between children with and without SLD</w:t>
      </w:r>
      <w:r>
        <w:t xml:space="preserve"> </w:t>
      </w:r>
    </w:p>
    <w:p w14:paraId="6EC3C070" w14:textId="77777777" w:rsidR="006D2433" w:rsidRDefault="005E24D9" w:rsidP="006D2433">
      <w:pPr>
        <w:spacing w:line="480" w:lineRule="auto"/>
      </w:pPr>
      <w:r>
        <w:t xml:space="preserve">Table 4 shows the results of the inferential statistical analysis of the association between SLD status and the presence of anxiety, depression, conduct disorder, and ADHD using Fisher’s exact tests. The occurrence of all four </w:t>
      </w:r>
      <w:r w:rsidR="0085486E">
        <w:t>different psychopathologies</w:t>
      </w:r>
      <w:r>
        <w:t xml:space="preserve"> is significantly higher in children with than without SLD (p&lt;.01 for all </w:t>
      </w:r>
      <w:r w:rsidR="008B40EC">
        <w:t>types of psychopathology</w:t>
      </w:r>
      <w:r>
        <w:t xml:space="preserve">). </w:t>
      </w:r>
      <w:r w:rsidR="004A5189">
        <w:t>T</w:t>
      </w:r>
      <w:r>
        <w:t xml:space="preserve">he odds of </w:t>
      </w:r>
      <w:r w:rsidR="006C3C44">
        <w:t xml:space="preserve">having </w:t>
      </w:r>
    </w:p>
    <w:p w14:paraId="30DB5A9A" w14:textId="6E480281" w:rsidR="008F31BF" w:rsidRDefault="006D2433" w:rsidP="008F31BF">
      <w:pPr>
        <w:spacing w:line="480" w:lineRule="auto"/>
      </w:pPr>
      <w:r>
        <w:t xml:space="preserve">ADHD </w:t>
      </w:r>
      <w:r w:rsidR="008F31BF">
        <w:t>are &lt;&lt;or_any_adhs&gt;&gt; times higher if a child has an SLD. For depression, the odds are &lt;&lt;or_any_des&gt;&gt; times higher, for anxiety &lt;&lt;or_any_sca&gt;&gt;, and for conduct disorder &lt;&lt;or_any_ssv&gt;&gt; times higher, compared to children without SLD.</w:t>
      </w:r>
    </w:p>
    <w:p w14:paraId="5B6B0AE9" w14:textId="5B950998" w:rsidR="006D2433" w:rsidRDefault="008F31BF" w:rsidP="008F31BF">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(&lt;&lt;or_range_des&gt;&gt;). ADHD appears more prevalent in children with arithmetic &lt;&lt;or_math_adhs&gt;&gt; or spelling &lt;&lt;or_spell_adhs&gt;&gt; disorder than in children with reading disorder &lt;&lt;or_read_adhs&gt;&gt;.</w:t>
      </w:r>
    </w:p>
    <w:p w14:paraId="7F9DFA6F" w14:textId="77777777" w:rsidR="008F31BF" w:rsidRDefault="008F31BF" w:rsidP="008F31BF">
      <w:pPr>
        <w:spacing w:line="480" w:lineRule="auto"/>
      </w:pPr>
    </w:p>
    <w:p w14:paraId="348E7D43" w14:textId="77777777" w:rsidR="006D2433" w:rsidRDefault="006D2433" w:rsidP="006D2433">
      <w:pPr>
        <w:spacing w:line="480" w:lineRule="auto"/>
      </w:pPr>
      <w:r>
        <w:t>3.5 Relationship between the number of SLDs and the risk for psychopathology</w:t>
      </w:r>
    </w:p>
    <w:p w14:paraId="5498C5AC" w14:textId="77777777" w:rsidR="00925335" w:rsidRDefault="00925335" w:rsidP="00925335">
      <w:pPr>
        <w:spacing w:line="480" w:lineRule="auto"/>
      </w:pPr>
      <w:r>
        <w:t xml:space="preserve">The risk for psychopathology increases with increasing number of SLDs. The trend tests show a significant positive trend for the rates of all four disorders (anxiety: &lt;&lt;trend_sign_sca&gt;&gt;; depression: &lt;&lt;trend_sign_des&gt;&gt;; ADHD: &lt;&lt;trend_sign_adhs&gt;&gt;; conduct disorder: &lt;&lt;trend_sign_ssv&gt;&gt;) over the three levels “no SLD”, “isolated SLD”, and “comorbid SLD”. </w:t>
      </w:r>
      <w:r>
        <w:lastRenderedPageBreak/>
        <w:t>The estimates for the trend are similarly high for depression (&lt;&lt;trend_or_des&gt;&gt;) and ADHD (&lt;&lt;trend_or_adhs&gt;&gt;), indicating that the odds of having the specific psychopathology increase by a factor of 2.5 per level. The estimates for anxiety (&lt;&lt;trend_or_sca&gt;&gt;) and conduct disorder (&lt;&lt;trend_or_ssv&gt;&gt;) are somewhat lower, indicating an increase in odds by around 50% per level.</w:t>
      </w:r>
    </w:p>
    <w:p w14:paraId="116E4EFF" w14:textId="03E42C88" w:rsidR="006D2433" w:rsidRDefault="00925335" w:rsidP="00925335">
      <w:pPr>
        <w:spacing w:line="480" w:lineRule="auto"/>
      </w:pPr>
      <w:r>
        <w:t xml:space="preserve">The results of the post-hoc one-sided Fisher’s exact tests show that the occurrence of depression increases significantly over the three levels (no vs. isolated SLD: &lt;&lt;posthoc_12_des&gt;&gt;; isolated vs. comorbid SLD: &lt;&lt;posthoc_23_des&gt;&gt;). In contrast, for the other three types of psychopathology, the trend is mostly explained by a higher occurrence in children with an isolated SLD than in children without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psychopathological disorders with the number </w:t>
      </w:r>
      <w:r w:rsidR="006D2433">
        <w:t>of SLDs.</w:t>
      </w:r>
    </w:p>
    <w:p w14:paraId="4FD959AA" w14:textId="77777777" w:rsidR="006D2433" w:rsidRDefault="006D2433" w:rsidP="006D2433">
      <w:pPr>
        <w:spacing w:line="480" w:lineRule="auto"/>
      </w:pPr>
    </w:p>
    <w:p w14:paraId="60519E1B" w14:textId="77777777" w:rsidR="006D2433" w:rsidRDefault="006D2433" w:rsidP="006D2433">
      <w:pPr>
        <w:spacing w:line="480" w:lineRule="auto"/>
      </w:pPr>
      <w:r>
        <w:t>3.6 Relationship between the number of SLDs and the number of psychopathologies</w:t>
      </w:r>
    </w:p>
    <w:p w14:paraId="20C3A2CC" w14:textId="1AD83B95" w:rsidR="005E262D" w:rsidRDefault="006D2433" w:rsidP="006D2433">
      <w:pPr>
        <w:spacing w:line="480" w:lineRule="auto"/>
      </w:pPr>
      <w:r>
        <w:t xml:space="preserve">The Poisson regression model describing a child’s number of psychopathologies as a function of its number of SLDs shows a significant positive relationship between the two variables. </w:t>
      </w:r>
      <w:r w:rsidR="00925335" w:rsidRPr="00925335">
        <w:t>The estimate for the intercept, exponentiated for ease of interpretation, is &lt;&lt;poisson_intercept&gt;&gt;, which means that the predicted number of psychopathologies for a child without SLD is about 0.5. The (exponentiated) estimate for the slope is &lt;&lt;poisson_slope&gt;&gt;. This means that the predicted number of psychopathologies increases by 66% when the number of SLDs increases by 1.</w:t>
      </w:r>
    </w:p>
    <w:p w14:paraId="0C493C96" w14:textId="77777777" w:rsidR="005E262D" w:rsidRDefault="005E262D">
      <w:pPr>
        <w:spacing w:line="480" w:lineRule="auto"/>
        <w:rPr>
          <w:color w:val="auto"/>
          <w:lang w:val="en-GB"/>
        </w:rPr>
      </w:pPr>
    </w:p>
    <w:p w14:paraId="70A5FD1D" w14:textId="77777777" w:rsidR="005E262D" w:rsidRDefault="005E24D9">
      <w:pPr>
        <w:spacing w:line="480" w:lineRule="auto"/>
        <w:outlineLvl w:val="0"/>
      </w:pPr>
      <w:r>
        <w:t>4 Discussion</w:t>
      </w:r>
    </w:p>
    <w:p w14:paraId="2AEC2B56" w14:textId="409C4B8F" w:rsidR="005E262D" w:rsidRDefault="005E24D9">
      <w:pPr>
        <w:spacing w:line="480" w:lineRule="auto"/>
      </w:pPr>
      <w:r>
        <w:lastRenderedPageBreak/>
        <w:t xml:space="preserve">In the current study, we </w:t>
      </w:r>
      <w:bookmarkStart w:id="861" w:name="_Hlk523935644"/>
      <w:r>
        <w:t xml:space="preserve">explored </w:t>
      </w:r>
      <w:bookmarkEnd w:id="861"/>
      <w:r>
        <w:t>the occurrence of anxiety</w:t>
      </w:r>
      <w:r w:rsidR="00B871C5">
        <w:t xml:space="preserve"> disorder</w:t>
      </w:r>
      <w:r>
        <w:t xml:space="preserve">, depression, ADHD, and conduct disorder in children with SLD in reading, spelling, and/or arithmetic skills. We further examined </w:t>
      </w:r>
      <w:bookmarkStart w:id="862" w:name="_Hlk523935694"/>
      <w:bookmarkStart w:id="863" w:name="_Hlk523935744"/>
      <w:r>
        <w:t xml:space="preserve">comorbidities between the different forms of </w:t>
      </w:r>
      <w:bookmarkEnd w:id="862"/>
      <w:r>
        <w:t xml:space="preserve">psychopathology </w:t>
      </w:r>
      <w:bookmarkEnd w:id="863"/>
      <w:r>
        <w:t xml:space="preserve">in children with SLD and differences in occurrence of psychopathology between children with an isolated SLD </w:t>
      </w:r>
      <w:r w:rsidR="00DD10F9">
        <w:t>versus</w:t>
      </w:r>
      <w:r>
        <w:t xml:space="preserve"> comorbid learning disorders.</w:t>
      </w:r>
    </w:p>
    <w:p w14:paraId="41474800" w14:textId="19C96AA5" w:rsidR="005E262D" w:rsidRDefault="005E24D9">
      <w:pPr>
        <w:spacing w:line="480" w:lineRule="auto"/>
      </w:pPr>
      <w:r>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925335" w:rsidRPr="00925335">
        <w:t xml:space="preserve">disorders than children with no SLD. For children with any SLD the occurrence rates are &lt;&lt;perc_any_sca&gt;&gt;% (anxiety), &lt;&lt;perc_any_des&gt;&gt;% (depression), &lt;&lt;perc_any_adhs&gt;&gt;% (ADHD), and &lt;&lt;perc_any_ssv&gt;&gt;% (conduct disorder). ADHD </w:t>
      </w:r>
      <w:r w:rsidR="006D2433" w:rsidRPr="006D2433">
        <w:t xml:space="preserve">is more prevalent in children </w:t>
      </w:r>
      <w:r>
        <w:t xml:space="preserve">with arithmetic or spelling disorder, compared to 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4" w:name="__Fieldmark__2928_1538433521"/>
      <w:r>
        <w:t>W</w:t>
      </w:r>
      <w:bookmarkStart w:id="865" w:name="__Fieldmark__3489_2416921879"/>
      <w:r>
        <w:t>i</w:t>
      </w:r>
      <w:bookmarkStart w:id="866" w:name="__Fieldmark__2814_3122512796"/>
      <w:r>
        <w:t>l</w:t>
      </w:r>
      <w:bookmarkStart w:id="867" w:name="__Fieldmark__2839_2702219440"/>
      <w:r>
        <w:t>l</w:t>
      </w:r>
      <w:bookmarkStart w:id="868" w:name="__Fieldmark__3757_173841316"/>
      <w:r>
        <w:t>cutt et al., 2013)</w:t>
      </w:r>
      <w:r>
        <w:fldChar w:fldCharType="end"/>
      </w:r>
      <w:bookmarkEnd w:id="864"/>
      <w:bookmarkEnd w:id="865"/>
      <w:bookmarkEnd w:id="866"/>
      <w:bookmarkEnd w:id="867"/>
      <w:bookmarkEnd w:id="868"/>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9" w:name="__Fieldmark__2947_1538433521"/>
      <w:r>
        <w:t>(</w:t>
      </w:r>
      <w:bookmarkStart w:id="870" w:name="__Fieldmark__3504_2416921879"/>
      <w:r>
        <w:t>S</w:t>
      </w:r>
      <w:bookmarkStart w:id="871" w:name="__Fieldmark__2825_3122512796"/>
      <w:r>
        <w:t>e</w:t>
      </w:r>
      <w:bookmarkStart w:id="872" w:name="__Fieldmark__2846_2702219440"/>
      <w:r>
        <w:t>x</w:t>
      </w:r>
      <w:bookmarkStart w:id="873" w:name="__Fieldmark__3762_173841316"/>
      <w:r>
        <w:t>ton et al., 2012)</w:t>
      </w:r>
      <w:r>
        <w:fldChar w:fldCharType="end"/>
      </w:r>
      <w:bookmarkEnd w:id="869"/>
      <w:bookmarkEnd w:id="870"/>
      <w:bookmarkEnd w:id="871"/>
      <w:bookmarkEnd w:id="872"/>
      <w:bookmarkEnd w:id="873"/>
      <w:r>
        <w:rPr>
          <w:lang w:val="en-GB"/>
        </w:rPr>
        <w:t xml:space="preserve">, we found similarly high comorbidity rates also for depression. </w:t>
      </w:r>
    </w:p>
    <w:p w14:paraId="70CB7FA9" w14:textId="4B1E3E4B" w:rsidR="005E262D" w:rsidRPr="00BB49D9"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4" w:name="__Fieldmark__2968_1538433521"/>
      <w:r>
        <w:t>(</w:t>
      </w:r>
      <w:bookmarkStart w:id="875" w:name="__Fieldmark__3524_2416921879"/>
      <w:r>
        <w:t>W</w:t>
      </w:r>
      <w:bookmarkStart w:id="876" w:name="__Fieldmark__2836_3122512796"/>
      <w:r>
        <w:t>i</w:t>
      </w:r>
      <w:bookmarkStart w:id="877" w:name="__Fieldmark__2855_2702219440"/>
      <w:r>
        <w:t>l</w:t>
      </w:r>
      <w:bookmarkStart w:id="878" w:name="__Fieldmark__3778_173841316"/>
      <w:r>
        <w:t>lcutt &amp; Pennington, 2000; Willcutt et al., 2013)</w:t>
      </w:r>
      <w:r>
        <w:fldChar w:fldCharType="end"/>
      </w:r>
      <w:bookmarkEnd w:id="874"/>
      <w:bookmarkEnd w:id="875"/>
      <w:bookmarkEnd w:id="876"/>
      <w:bookmarkEnd w:id="877"/>
      <w:bookmarkEnd w:id="878"/>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9" w:name="__Fieldmark__2991_1538433521"/>
      <w:r>
        <w:t>(</w:t>
      </w:r>
      <w:bookmarkStart w:id="880" w:name="__Fieldmark__3549_2416921879"/>
      <w:r>
        <w:t>2</w:t>
      </w:r>
      <w:bookmarkStart w:id="881" w:name="__Fieldmark__2849_3122512796"/>
      <w:r>
        <w:t>0</w:t>
      </w:r>
      <w:bookmarkStart w:id="882" w:name="__Fieldmark__2865_2702219440"/>
      <w:r>
        <w:t>1</w:t>
      </w:r>
      <w:bookmarkStart w:id="883" w:name="__Fieldmark__3800_173841316"/>
      <w:r>
        <w:t>5)</w:t>
      </w:r>
      <w:r>
        <w:fldChar w:fldCharType="end"/>
      </w:r>
      <w:bookmarkEnd w:id="879"/>
      <w:bookmarkEnd w:id="880"/>
      <w:bookmarkEnd w:id="881"/>
      <w:bookmarkEnd w:id="882"/>
      <w:bookmarkEnd w:id="883"/>
      <w:r>
        <w:t xml:space="preserve">, we did find an increased occurrence of ADHD in children with arithmetic SLD. In fact, ADHD was more prevalent in children with isolated arithmetic disorder (25%) than in children with isolated reading disorder (16%) in our sample. The </w:t>
      </w:r>
      <w:r>
        <w:lastRenderedPageBreak/>
        <w:t>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BB49D9">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4" w:name="__Fieldmark__3013_1538433521"/>
      <w:r w:rsidRPr="00BB49D9">
        <w:rPr>
          <w:lang w:val="de-DE"/>
        </w:rPr>
        <w:t>(</w:t>
      </w:r>
      <w:bookmarkStart w:id="885" w:name="__Fieldmark__3572_2416921879"/>
      <w:r w:rsidRPr="00BB49D9">
        <w:rPr>
          <w:lang w:val="de-DE"/>
        </w:rPr>
        <w:t>F</w:t>
      </w:r>
      <w:bookmarkStart w:id="886" w:name="__Fieldmark__2860_3122512796"/>
      <w:r w:rsidRPr="00BB49D9">
        <w:rPr>
          <w:lang w:val="de-DE"/>
        </w:rPr>
        <w:t>i</w:t>
      </w:r>
      <w:bookmarkStart w:id="887" w:name="__Fieldmark__2872_2702219440"/>
      <w:r w:rsidRPr="00BB49D9">
        <w:rPr>
          <w:lang w:val="de-DE"/>
        </w:rPr>
        <w:t>s</w:t>
      </w:r>
      <w:bookmarkStart w:id="888" w:name="__Fieldmark__3814_173841316"/>
      <w:r w:rsidRPr="00BB49D9">
        <w:rPr>
          <w:lang w:val="de-DE"/>
        </w:rPr>
        <w:t>chbach et al., 2010; Kohn et al., 2013; Martínez &amp; Semrud-Clikeman, 2004; Willcutt et al., 2013)</w:t>
      </w:r>
      <w:r>
        <w:fldChar w:fldCharType="end"/>
      </w:r>
      <w:bookmarkEnd w:id="884"/>
      <w:bookmarkEnd w:id="885"/>
      <w:bookmarkEnd w:id="886"/>
      <w:bookmarkEnd w:id="887"/>
      <w:bookmarkEnd w:id="888"/>
      <w:r w:rsidRPr="00BB49D9">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This could be related to the fact that children with dyscalculia are known to have difficulties </w:t>
      </w:r>
      <w:bookmarkStart w:id="889"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90" w:name="__Fieldmark__3036_1538433521"/>
      <w:r>
        <w:t>(</w:t>
      </w:r>
      <w:bookmarkStart w:id="891" w:name="__Fieldmark__3597_2416921879"/>
      <w:r>
        <w:t>M</w:t>
      </w:r>
      <w:bookmarkStart w:id="892" w:name="__Fieldmark__2922_3122512796"/>
      <w:r>
        <w:t>ä</w:t>
      </w:r>
      <w:bookmarkStart w:id="893" w:name="__Fieldmark__2918_2702219440"/>
      <w:r>
        <w:t>h</w:t>
      </w:r>
      <w:bookmarkStart w:id="894" w:name="__Fieldmark__3925_173841316"/>
      <w:r>
        <w:t>ler &amp; Schuchardt, 2012; Simms, Clayton, Cragg, Gilmore, &amp; Johnson, 2016)</w:t>
      </w:r>
      <w:r>
        <w:fldChar w:fldCharType="end"/>
      </w:r>
      <w:bookmarkEnd w:id="890"/>
      <w:bookmarkEnd w:id="891"/>
      <w:bookmarkEnd w:id="892"/>
      <w:bookmarkEnd w:id="893"/>
      <w:bookmarkEnd w:id="894"/>
      <w:r>
        <w:t xml:space="preserve"> </w:t>
      </w:r>
      <w:bookmarkEnd w:id="889"/>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F94C2F">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5" w:name="__Fieldmark__3057_1538433521"/>
      <w:r>
        <w:rPr>
          <w:lang w:val="de-DE"/>
        </w:rPr>
        <w:t>C</w:t>
      </w:r>
      <w:bookmarkStart w:id="896" w:name="__Fieldmark__3618_2416921879"/>
      <w:r>
        <w:rPr>
          <w:lang w:val="de-DE"/>
        </w:rPr>
        <w:t>r</w:t>
      </w:r>
      <w:bookmarkStart w:id="897" w:name="__Fieldmark__2935_3122512796"/>
      <w:r>
        <w:rPr>
          <w:lang w:val="de-DE"/>
        </w:rPr>
        <w:t>a</w:t>
      </w:r>
      <w:bookmarkStart w:id="898" w:name="__Fieldmark__2932_2702219440"/>
      <w:r>
        <w:rPr>
          <w:lang w:val="de-DE"/>
        </w:rPr>
        <w:t>g</w:t>
      </w:r>
      <w:bookmarkStart w:id="899" w:name="__Fieldmark__3940_173841316"/>
      <w:r>
        <w:rPr>
          <w:lang w:val="de-DE"/>
        </w:rPr>
        <w:t>g &amp; Gilmore, 2014</w:t>
      </w:r>
      <w:r>
        <w:fldChar w:fldCharType="end"/>
      </w:r>
      <w:bookmarkEnd w:id="895"/>
      <w:bookmarkEnd w:id="896"/>
      <w:bookmarkEnd w:id="897"/>
      <w:bookmarkEnd w:id="898"/>
      <w:bookmarkEnd w:id="899"/>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145D045B" w:rsidR="009F77B6" w:rsidRDefault="009F77B6" w:rsidP="00001AE0">
      <w:pPr>
        <w:pStyle w:val="Heading"/>
        <w:spacing w:line="480" w:lineRule="auto"/>
        <w:outlineLvl w:val="0"/>
      </w:pPr>
      <w:r>
        <w:t xml:space="preserve">4.1 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900" w:name="_Hlk523938685"/>
      <w:r>
        <w:t xml:space="preserve">the classification into </w:t>
      </w:r>
      <w:bookmarkEnd w:id="900"/>
      <w:r>
        <w:t xml:space="preserve">the various groups resulted in relatively small group sizes. In the </w:t>
      </w:r>
      <w:bookmarkStart w:id="901" w:name="_Hlk523984865"/>
      <w:r>
        <w:t>subsequent inferential statistical analysis</w:t>
      </w:r>
      <w:bookmarkEnd w:id="901"/>
      <w:r>
        <w:t>, we used more general, and thus larger, classifications of SLDs to ensure sufficient power.</w:t>
      </w:r>
    </w:p>
    <w:p w14:paraId="54439585" w14:textId="30ACAA7D"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2" w:name="__Fieldmark__3096_1538433521"/>
      <w:r>
        <w:t>(</w:t>
      </w:r>
      <w:bookmarkStart w:id="903" w:name="__Fieldmark__3662_2416921879"/>
      <w:r>
        <w:t>R</w:t>
      </w:r>
      <w:bookmarkStart w:id="904" w:name="__Fieldmark__2969_3122512796"/>
      <w:r>
        <w:t>a</w:t>
      </w:r>
      <w:bookmarkStart w:id="905" w:name="__Fieldmark__2967_2702219440"/>
      <w:r>
        <w:t>m</w:t>
      </w:r>
      <w:bookmarkStart w:id="906" w:name="__Fieldmark__3992_173841316"/>
      <w:r>
        <w:t>aa, 2014)</w:t>
      </w:r>
      <w:r>
        <w:fldChar w:fldCharType="end"/>
      </w:r>
      <w:bookmarkEnd w:id="902"/>
      <w:bookmarkEnd w:id="903"/>
      <w:bookmarkEnd w:id="904"/>
      <w:bookmarkEnd w:id="905"/>
      <w:bookmarkEnd w:id="906"/>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7" w:name="__Fieldmark__3115_1538433521"/>
      <w:r>
        <w:t>(</w:t>
      </w:r>
      <w:bookmarkStart w:id="908" w:name="__Fieldmark__3677_2416921879"/>
      <w:r>
        <w:t>M</w:t>
      </w:r>
      <w:bookmarkStart w:id="909" w:name="__Fieldmark__2980_3122512796"/>
      <w:r>
        <w:t>e</w:t>
      </w:r>
      <w:bookmarkStart w:id="910" w:name="__Fieldmark__2974_2702219440"/>
      <w:r>
        <w:t>r</w:t>
      </w:r>
      <w:bookmarkStart w:id="911" w:name="__Fieldmark__4006_173841316"/>
      <w:r>
        <w:t>z, Tottenham, &amp; Noble, 2018; Okamura et al., 2016)</w:t>
      </w:r>
      <w:r>
        <w:fldChar w:fldCharType="end"/>
      </w:r>
      <w:bookmarkEnd w:id="907"/>
      <w:bookmarkEnd w:id="908"/>
      <w:bookmarkEnd w:id="909"/>
      <w:bookmarkEnd w:id="910"/>
      <w:bookmarkEnd w:id="911"/>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2" w:name="__Fieldmark__3134_1538433521"/>
      <w:r>
        <w:t>(</w:t>
      </w:r>
      <w:bookmarkStart w:id="913" w:name="__Fieldmark__3692_2416921879"/>
      <w:r>
        <w:t>G</w:t>
      </w:r>
      <w:bookmarkStart w:id="914" w:name="__Fieldmark__2991_3122512796"/>
      <w:r>
        <w:t>o</w:t>
      </w:r>
      <w:bookmarkStart w:id="915" w:name="__Fieldmark__2981_2702219440"/>
      <w:r>
        <w:t>u</w:t>
      </w:r>
      <w:bookmarkStart w:id="916" w:name="__Fieldmark__4013_173841316"/>
      <w:r>
        <w:t xml:space="preserve">ld, Coventry, Olson, &amp; Byrne, 2018; Morgan et al., 2016; Rowland et al., 2018; </w:t>
      </w:r>
      <w:r>
        <w:lastRenderedPageBreak/>
        <w:t>Russell, Ford, Williams, &amp; Russell, 2016; Russell, Ford, Rosenberg, &amp; Kelly, 2014)</w:t>
      </w:r>
      <w:r>
        <w:fldChar w:fldCharType="end"/>
      </w:r>
      <w:bookmarkEnd w:id="912"/>
      <w:bookmarkEnd w:id="913"/>
      <w:bookmarkEnd w:id="914"/>
      <w:bookmarkEnd w:id="915"/>
      <w:bookmarkEnd w:id="916"/>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7" w:name="__Fieldmark__3153_1538433521"/>
      <w:r>
        <w:t>(</w:t>
      </w:r>
      <w:bookmarkStart w:id="918" w:name="__Fieldmark__3707_2416921879"/>
      <w:r>
        <w:t>M</w:t>
      </w:r>
      <w:bookmarkStart w:id="919" w:name="__Fieldmark__3002_3122512796"/>
      <w:r>
        <w:t>a</w:t>
      </w:r>
      <w:bookmarkStart w:id="920" w:name="__Fieldmark__2988_2702219440"/>
      <w:r>
        <w:t>t</w:t>
      </w:r>
      <w:bookmarkStart w:id="921" w:name="__Fieldmark__4027_173841316"/>
      <w:r>
        <w:t>thys &amp; Lochman, 2017; Morgan et al., 2016)</w:t>
      </w:r>
      <w:r>
        <w:fldChar w:fldCharType="end"/>
      </w:r>
      <w:bookmarkEnd w:id="917"/>
      <w:bookmarkEnd w:id="918"/>
      <w:bookmarkEnd w:id="919"/>
      <w:bookmarkEnd w:id="920"/>
      <w:bookmarkEnd w:id="921"/>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 xml:space="preserve">extend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2" w:name="_Hlk523986017"/>
      <w:r w:rsidRPr="00987906">
        <w:t xml:space="preserve">in a web-based </w:t>
      </w:r>
      <w:bookmarkEnd w:id="922"/>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3" w:name="_Hlk523988959"/>
      <w:r>
        <w:t xml:space="preserve">choice of which </w:t>
      </w:r>
      <w:bookmarkEnd w:id="923"/>
      <w:r>
        <w:t xml:space="preserve">cut-off to use may have influenced the presented results. To avoid this influence, future research could analyze the relation between SLDs and </w:t>
      </w:r>
      <w:r>
        <w:lastRenderedPageBreak/>
        <w:t>psychopathological symptoms in a continuous manner. In addition, the identification of subgroups of children with specific combinations of SLDs and psychopatholog</w:t>
      </w:r>
      <w:bookmarkStart w:id="924" w:name="_Hlk523989925"/>
      <w:r w:rsidR="00F72E8C">
        <w:t>y</w:t>
      </w:r>
      <w:r>
        <w:t xml:space="preserve"> could be a topic for future research</w:t>
      </w:r>
      <w:bookmarkEnd w:id="924"/>
      <w:r>
        <w:t xml:space="preserve">. Besides, </w:t>
      </w:r>
      <w:bookmarkStart w:id="925" w:name="_Hlk523990315"/>
      <w:r>
        <w:t xml:space="preserve">because of its cross-sectional nature, </w:t>
      </w:r>
      <w:bookmarkEnd w:id="925"/>
      <w:r>
        <w:t xml:space="preserve">this study cannot make assumptions about </w:t>
      </w:r>
      <w:bookmarkStart w:id="926" w:name="_Hlk523990247"/>
      <w:r>
        <w:t>the causal mechanisms underlying the studied relationships</w:t>
      </w:r>
      <w:bookmarkEnd w:id="926"/>
      <w:r>
        <w:t>. Future research using longitudinal designs is needed to identify the causal pathways leading to the 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57668189" w:rsidR="009E70B6" w:rsidRDefault="009E70B6" w:rsidP="009E70B6">
      <w:pPr>
        <w:pStyle w:val="Heading"/>
        <w:spacing w:line="480" w:lineRule="auto"/>
        <w:outlineLvl w:val="0"/>
      </w:pPr>
      <w:r>
        <w:t xml:space="preserve">4.2 </w:t>
      </w: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7" w:name="_Hlk523992542"/>
      <w:r>
        <w:t>the support of children with SLD in daily praxis</w:t>
      </w:r>
      <w:bookmarkEnd w:id="927"/>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8" w:name="__Fieldmark__3203_1538433521"/>
      <w:r>
        <w:t>(</w:t>
      </w:r>
      <w:bookmarkStart w:id="929" w:name="__Fieldmark__3759_2416921879"/>
      <w:r>
        <w:t>M</w:t>
      </w:r>
      <w:bookmarkStart w:id="930" w:name="__Fieldmark__3041_3122512796"/>
      <w:r>
        <w:t>a</w:t>
      </w:r>
      <w:bookmarkStart w:id="931" w:name="__Fieldmark__3024_2702219440"/>
      <w:r>
        <w:t>s</w:t>
      </w:r>
      <w:bookmarkStart w:id="932" w:name="__Fieldmark__4097_173841316"/>
      <w:r>
        <w:t>colo, Flanagan, &amp; Alfonso, 2014)</w:t>
      </w:r>
      <w:r>
        <w:fldChar w:fldCharType="end"/>
      </w:r>
      <w:bookmarkEnd w:id="928"/>
      <w:bookmarkEnd w:id="929"/>
      <w:bookmarkEnd w:id="930"/>
      <w:bookmarkEnd w:id="931"/>
      <w:bookmarkEnd w:id="932"/>
      <w:r>
        <w:t xml:space="preserve">. </w:t>
      </w:r>
    </w:p>
    <w:p w14:paraId="7F5705DA" w14:textId="552E11DB" w:rsidR="009E70B6" w:rsidRPr="001578B4" w:rsidRDefault="00B65391" w:rsidP="009E70B6">
      <w:pPr>
        <w:spacing w:line="480" w:lineRule="auto"/>
      </w:pPr>
      <w:r w:rsidRPr="001578B4">
        <w:lastRenderedPageBreak/>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77777777" w:rsidR="005E262D" w:rsidRDefault="005E24D9">
      <w:pPr>
        <w:spacing w:line="480" w:lineRule="auto"/>
        <w:outlineLvl w:val="0"/>
      </w:pPr>
      <w:r>
        <w:t>5 Conclusion</w:t>
      </w:r>
    </w:p>
    <w:p w14:paraId="7185405B" w14:textId="7B964717" w:rsidR="005E262D" w:rsidRDefault="005E24D9">
      <w:pPr>
        <w:spacing w:line="480" w:lineRule="auto"/>
      </w:pPr>
      <w:r>
        <w:lastRenderedPageBreak/>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These findings underline the relevance of detecting psychiatric comorbidities in children with SLD in order to provide the best possible support to affected children.</w:t>
      </w:r>
      <w:r w:rsidR="00FF5863">
        <w:t xml:space="preserve"> Possibilities to implement psychotherapeutic methods in interventions for SLD are discussed. </w:t>
      </w:r>
      <w:r>
        <w:br w:type="page"/>
      </w:r>
    </w:p>
    <w:p w14:paraId="2002D4E0" w14:textId="77777777" w:rsidR="005E262D" w:rsidRDefault="005E24D9">
      <w:pPr>
        <w:spacing w:line="480" w:lineRule="auto"/>
        <w:outlineLvl w:val="0"/>
        <w:rPr>
          <w:b/>
          <w:lang w:val="en-GB"/>
        </w:rPr>
      </w:pPr>
      <w:r>
        <w:rPr>
          <w:b/>
          <w:lang w:val="en-GB"/>
        </w:rPr>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3"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w:t>
      </w:r>
      <w:r w:rsidRPr="00982D0D">
        <w:lastRenderedPageBreak/>
        <w:t xml:space="preserve">economic 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4" w:name="__Fieldmark__3783_2416921879"/>
    <w:p w14:paraId="7335630A" w14:textId="6EF81C38" w:rsidR="00001AE0" w:rsidRDefault="005E24D9" w:rsidP="0016573A">
      <w:pPr>
        <w:pStyle w:val="Bibliography"/>
        <w:ind w:left="0" w:firstLine="0"/>
      </w:pPr>
      <w:r>
        <w:fldChar w:fldCharType="end"/>
      </w:r>
      <w:bookmarkStart w:id="935" w:name="__Fieldmark__3057_3122512796"/>
      <w:bookmarkEnd w:id="933"/>
      <w:bookmarkEnd w:id="934"/>
      <w:bookmarkEnd w:id="935"/>
    </w:p>
    <w:sectPr w:rsidR="00001AE0">
      <w:headerReference w:type="default" r:id="rId8"/>
      <w:footerReference w:type="default" r:id="rId9"/>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3ECC" w14:textId="77777777" w:rsidR="003D6302" w:rsidRDefault="003D6302">
      <w:pPr>
        <w:spacing w:line="240" w:lineRule="auto"/>
      </w:pPr>
      <w:r>
        <w:separator/>
      </w:r>
    </w:p>
  </w:endnote>
  <w:endnote w:type="continuationSeparator" w:id="0">
    <w:p w14:paraId="5DFBF9C3" w14:textId="77777777" w:rsidR="003D6302" w:rsidRDefault="003D6302">
      <w:pPr>
        <w:spacing w:line="240" w:lineRule="auto"/>
      </w:pPr>
      <w:r>
        <w:continuationSeparator/>
      </w:r>
    </w:p>
  </w:endnote>
  <w:endnote w:type="continuationNotice" w:id="1">
    <w:p w14:paraId="539E2F2A" w14:textId="77777777" w:rsidR="003D6302" w:rsidRDefault="003D63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16573A">
          <w:rPr>
            <w:noProof/>
          </w:rPr>
          <w:t>33</w:t>
        </w:r>
        <w:r>
          <w:fldChar w:fldCharType="end"/>
        </w:r>
      </w:p>
      <w:p w14:paraId="086A821F" w14:textId="77777777" w:rsidR="005C3314" w:rsidRDefault="003D630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2E8DC" w14:textId="77777777" w:rsidR="003D6302" w:rsidRDefault="003D6302"/>
  </w:footnote>
  <w:footnote w:type="continuationSeparator" w:id="0">
    <w:p w14:paraId="5B065455" w14:textId="77777777" w:rsidR="003D6302" w:rsidRDefault="003D6302">
      <w:r>
        <w:continuationSeparator/>
      </w:r>
    </w:p>
  </w:footnote>
  <w:footnote w:type="continuationNotice" w:id="1">
    <w:p w14:paraId="115783A3" w14:textId="77777777" w:rsidR="003D6302" w:rsidRDefault="003D6302">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62D"/>
    <w:rsid w:val="00001AE0"/>
    <w:rsid w:val="000223A0"/>
    <w:rsid w:val="00031F0B"/>
    <w:rsid w:val="0005432D"/>
    <w:rsid w:val="0007745B"/>
    <w:rsid w:val="00077B34"/>
    <w:rsid w:val="00090753"/>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D0342"/>
    <w:rsid w:val="003D6302"/>
    <w:rsid w:val="003F2AC0"/>
    <w:rsid w:val="003F77F6"/>
    <w:rsid w:val="004551BD"/>
    <w:rsid w:val="00456D1A"/>
    <w:rsid w:val="00465129"/>
    <w:rsid w:val="0048565E"/>
    <w:rsid w:val="00495312"/>
    <w:rsid w:val="004A074A"/>
    <w:rsid w:val="004A1F54"/>
    <w:rsid w:val="004A5189"/>
    <w:rsid w:val="004B050D"/>
    <w:rsid w:val="004B7C90"/>
    <w:rsid w:val="004C7283"/>
    <w:rsid w:val="004E156F"/>
    <w:rsid w:val="0050495A"/>
    <w:rsid w:val="00504FB3"/>
    <w:rsid w:val="005149C9"/>
    <w:rsid w:val="0051787E"/>
    <w:rsid w:val="00520637"/>
    <w:rsid w:val="005316FB"/>
    <w:rsid w:val="0055074A"/>
    <w:rsid w:val="00552549"/>
    <w:rsid w:val="005533F9"/>
    <w:rsid w:val="005707B6"/>
    <w:rsid w:val="005808E5"/>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4585E"/>
    <w:rsid w:val="00850EA2"/>
    <w:rsid w:val="00851325"/>
    <w:rsid w:val="0085486E"/>
    <w:rsid w:val="008B2FC0"/>
    <w:rsid w:val="008B40EC"/>
    <w:rsid w:val="008B7DE7"/>
    <w:rsid w:val="008C187C"/>
    <w:rsid w:val="008F31BF"/>
    <w:rsid w:val="0090313C"/>
    <w:rsid w:val="00906823"/>
    <w:rsid w:val="00907541"/>
    <w:rsid w:val="009076DC"/>
    <w:rsid w:val="009235B4"/>
    <w:rsid w:val="00925335"/>
    <w:rsid w:val="00926C67"/>
    <w:rsid w:val="009348BC"/>
    <w:rsid w:val="00982D0D"/>
    <w:rsid w:val="009841C7"/>
    <w:rsid w:val="00987906"/>
    <w:rsid w:val="009E70B6"/>
    <w:rsid w:val="009F27F7"/>
    <w:rsid w:val="009F3F7F"/>
    <w:rsid w:val="009F4724"/>
    <w:rsid w:val="009F6CBF"/>
    <w:rsid w:val="009F77B6"/>
    <w:rsid w:val="00A2761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E2133"/>
    <w:rsid w:val="00CE75D6"/>
    <w:rsid w:val="00D11D79"/>
    <w:rsid w:val="00D3238E"/>
    <w:rsid w:val="00D656C6"/>
    <w:rsid w:val="00D6684F"/>
    <w:rsid w:val="00D718A3"/>
    <w:rsid w:val="00D749F7"/>
    <w:rsid w:val="00D772C4"/>
    <w:rsid w:val="00D77EAD"/>
    <w:rsid w:val="00D85434"/>
    <w:rsid w:val="00D94FF1"/>
    <w:rsid w:val="00DC7E4E"/>
    <w:rsid w:val="00DD10F9"/>
    <w:rsid w:val="00DD19CC"/>
    <w:rsid w:val="00DD2B88"/>
    <w:rsid w:val="00E1022D"/>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2E8C"/>
    <w:rsid w:val="00F75ABD"/>
    <w:rsid w:val="00F94C2F"/>
    <w:rsid w:val="00FC4775"/>
    <w:rsid w:val="00FD2026"/>
    <w:rsid w:val="00FD5A5C"/>
    <w:rsid w:val="00FF1CA2"/>
    <w:rsid w:val="00FF1F3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7977362A-F971-034F-9264-71BB86CE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C89D8-7587-F942-BCE2-FFBF29BC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35935</Words>
  <Characters>204832</Characters>
  <Application>Microsoft Office Word</Application>
  <DocSecurity>0</DocSecurity>
  <Lines>1706</Lines>
  <Paragraphs>480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Janosch Linkersdörfer</cp:lastModifiedBy>
  <cp:revision>20</cp:revision>
  <cp:lastPrinted>2018-10-29T09:12:00Z</cp:lastPrinted>
  <dcterms:created xsi:type="dcterms:W3CDTF">2019-01-07T08:27:00Z</dcterms:created>
  <dcterms:modified xsi:type="dcterms:W3CDTF">2019-01-08T18:41:00Z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zotero-version="5.0.58"&gt;&lt;session id="b0nmrTJ9"/&gt;&lt;style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