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30D27B27" w:rsidR="002868E2" w:rsidRPr="00376CC5" w:rsidRDefault="00D076D7" w:rsidP="00376CC5">
      <w:pPr>
        <w:pStyle w:val="Title"/>
      </w:pPr>
      <w:r w:rsidRPr="00D076D7">
        <w:t>Comorbidities between specific learning disorders and psychopathology</w:t>
      </w:r>
      <w:r>
        <w:t xml:space="preserve"> </w:t>
      </w:r>
      <w:r w:rsidRPr="00147EA5">
        <w:t>in</w:t>
      </w:r>
      <w:r w:rsidRPr="00D076D7">
        <w:t xml:space="preserve"> elementary school children in Germany</w:t>
      </w:r>
    </w:p>
    <w:p w14:paraId="337586F1" w14:textId="76EBFA98" w:rsidR="002868E2" w:rsidRPr="005C0E9F" w:rsidRDefault="00D076D7" w:rsidP="00651CA2">
      <w:pPr>
        <w:pStyle w:val="AuthorList"/>
        <w:rPr>
          <w:lang w:val="de-DE"/>
        </w:rPr>
      </w:pPr>
      <w:r w:rsidRPr="005C0E9F">
        <w:rPr>
          <w:lang w:val="de-DE"/>
        </w:rPr>
        <w:t>Linda Visser</w:t>
      </w:r>
      <w:r w:rsidR="00A75F87" w:rsidRPr="005C0E9F">
        <w:rPr>
          <w:vertAlign w:val="superscript"/>
          <w:lang w:val="de-DE"/>
        </w:rPr>
        <w:t>1</w:t>
      </w:r>
      <w:r w:rsidRPr="005C0E9F">
        <w:rPr>
          <w:vertAlign w:val="superscript"/>
          <w:lang w:val="de-DE"/>
        </w:rPr>
        <w:t>,2*</w:t>
      </w:r>
      <w:r w:rsidR="002868E2" w:rsidRPr="005C0E9F">
        <w:rPr>
          <w:lang w:val="de-DE"/>
        </w:rPr>
        <w:t xml:space="preserve">, </w:t>
      </w:r>
      <w:r w:rsidRPr="005C0E9F">
        <w:rPr>
          <w:lang w:val="de-DE"/>
        </w:rPr>
        <w:t>Julia Kalmar</w:t>
      </w:r>
      <w:r w:rsidRPr="005C0E9F">
        <w:rPr>
          <w:vertAlign w:val="superscript"/>
          <w:lang w:val="de-DE"/>
        </w:rPr>
        <w:t>3,4</w:t>
      </w:r>
      <w:r w:rsidR="00746505" w:rsidRPr="005C0E9F">
        <w:rPr>
          <w:vertAlign w:val="superscript"/>
          <w:lang w:val="de-DE"/>
        </w:rPr>
        <w:t>*</w:t>
      </w:r>
      <w:r w:rsidR="002868E2" w:rsidRPr="005C0E9F">
        <w:rPr>
          <w:lang w:val="de-DE"/>
        </w:rPr>
        <w:t xml:space="preserve">, </w:t>
      </w:r>
      <w:r w:rsidRPr="005C0E9F">
        <w:rPr>
          <w:lang w:val="de-DE"/>
        </w:rPr>
        <w:t>Janosch Linkersdörfer</w:t>
      </w:r>
      <w:r w:rsidR="00A75F87" w:rsidRPr="005C0E9F">
        <w:rPr>
          <w:vertAlign w:val="superscript"/>
          <w:lang w:val="de-DE"/>
        </w:rPr>
        <w:t>1,2</w:t>
      </w:r>
      <w:r w:rsidRPr="005C0E9F">
        <w:rPr>
          <w:vertAlign w:val="superscript"/>
          <w:lang w:val="de-DE"/>
        </w:rPr>
        <w:t>*</w:t>
      </w:r>
      <w:r w:rsidRPr="005C0E9F">
        <w:rPr>
          <w:lang w:val="de-DE"/>
        </w:rPr>
        <w:t>, Ruth Görgen</w:t>
      </w:r>
      <w:r w:rsidRPr="005C0E9F">
        <w:rPr>
          <w:vertAlign w:val="superscript"/>
          <w:lang w:val="de-DE"/>
        </w:rPr>
        <w:t>3</w:t>
      </w:r>
      <w:r w:rsidRPr="005C0E9F">
        <w:rPr>
          <w:lang w:val="de-DE"/>
        </w:rPr>
        <w:t>, Josefine Rothe</w:t>
      </w:r>
      <w:r w:rsidRPr="005C0E9F">
        <w:rPr>
          <w:vertAlign w:val="superscript"/>
          <w:lang w:val="de-DE"/>
        </w:rPr>
        <w:t>3,5</w:t>
      </w:r>
      <w:r w:rsidRPr="005C0E9F">
        <w:rPr>
          <w:lang w:val="de-DE"/>
        </w:rPr>
        <w:t>, Marcus Hasselhorn</w:t>
      </w:r>
      <w:r w:rsidRPr="005C0E9F">
        <w:rPr>
          <w:vertAlign w:val="superscript"/>
          <w:lang w:val="de-DE"/>
        </w:rPr>
        <w:t>1,2</w:t>
      </w:r>
      <w:r w:rsidRPr="005C0E9F">
        <w:rPr>
          <w:lang w:val="de-DE"/>
        </w:rPr>
        <w:t>, Gerd Schulte-Körne</w:t>
      </w:r>
      <w:r w:rsidRPr="005C0E9F">
        <w:rPr>
          <w:vertAlign w:val="superscript"/>
          <w:lang w:val="de-DE"/>
        </w:rPr>
        <w:t>3</w:t>
      </w:r>
    </w:p>
    <w:p w14:paraId="3EC68EFD" w14:textId="28978393" w:rsidR="002868E2" w:rsidRPr="00376CC5" w:rsidRDefault="002868E2" w:rsidP="006B2D5B">
      <w:pPr>
        <w:spacing w:before="240" w:after="0"/>
        <w:rPr>
          <w:rFonts w:cs="Times New Roman"/>
          <w:b/>
          <w:szCs w:val="24"/>
        </w:rPr>
      </w:pPr>
      <w:r w:rsidRPr="00376CC5">
        <w:rPr>
          <w:rFonts w:cs="Times New Roman"/>
          <w:szCs w:val="24"/>
          <w:vertAlign w:val="superscript"/>
        </w:rPr>
        <w:t>1</w:t>
      </w:r>
      <w:r w:rsidR="00D076D7" w:rsidRPr="00D076D7">
        <w:rPr>
          <w:rFonts w:cs="Times New Roman"/>
          <w:szCs w:val="24"/>
        </w:rPr>
        <w:t xml:space="preserve">DIPF | Leibniz Institute for Research and Information in Education, </w:t>
      </w:r>
      <w:r w:rsidR="00D076D7">
        <w:rPr>
          <w:rFonts w:cs="Times New Roman"/>
          <w:szCs w:val="24"/>
        </w:rPr>
        <w:t>Frankfurt am Main, Germany</w:t>
      </w:r>
    </w:p>
    <w:p w14:paraId="626845AB" w14:textId="2A9E4068" w:rsidR="002868E2" w:rsidRDefault="002868E2" w:rsidP="006B2D5B">
      <w:pPr>
        <w:spacing w:after="0"/>
        <w:rPr>
          <w:rFonts w:cs="Times New Roman"/>
          <w:szCs w:val="24"/>
        </w:rPr>
      </w:pPr>
      <w:r w:rsidRPr="00376CC5">
        <w:rPr>
          <w:rFonts w:cs="Times New Roman"/>
          <w:szCs w:val="24"/>
          <w:vertAlign w:val="superscript"/>
        </w:rPr>
        <w:t>2</w:t>
      </w:r>
      <w:r w:rsidR="00D076D7" w:rsidRPr="00D076D7">
        <w:rPr>
          <w:rFonts w:cs="Times New Roman"/>
          <w:szCs w:val="24"/>
        </w:rPr>
        <w:t>Cent</w:t>
      </w:r>
      <w:r w:rsidR="00D076D7">
        <w:rPr>
          <w:rFonts w:cs="Times New Roman"/>
          <w:szCs w:val="24"/>
        </w:rPr>
        <w:t>er</w:t>
      </w:r>
      <w:r w:rsidR="00D076D7" w:rsidRPr="00D076D7">
        <w:rPr>
          <w:rFonts w:cs="Times New Roman"/>
          <w:szCs w:val="24"/>
        </w:rPr>
        <w:t xml:space="preserve"> for Research on Individual Development </w:t>
      </w:r>
      <w:r w:rsidR="006D5BDE">
        <w:rPr>
          <w:rFonts w:cs="Times New Roman"/>
          <w:szCs w:val="24"/>
        </w:rPr>
        <w:t xml:space="preserve">and </w:t>
      </w:r>
      <w:r w:rsidR="00D076D7" w:rsidRPr="00D076D7">
        <w:rPr>
          <w:rFonts w:cs="Times New Roman"/>
          <w:szCs w:val="24"/>
        </w:rPr>
        <w:t xml:space="preserve">Adaptive Education </w:t>
      </w:r>
      <w:r w:rsidR="006D5BDE">
        <w:rPr>
          <w:rFonts w:cs="Times New Roman"/>
          <w:szCs w:val="24"/>
        </w:rPr>
        <w:t>of</w:t>
      </w:r>
      <w:r w:rsidR="006D5BDE" w:rsidRPr="00D076D7">
        <w:rPr>
          <w:rFonts w:cs="Times New Roman"/>
          <w:szCs w:val="24"/>
        </w:rPr>
        <w:t xml:space="preserve"> </w:t>
      </w:r>
      <w:r w:rsidR="00D076D7" w:rsidRPr="00D076D7">
        <w:rPr>
          <w:rFonts w:cs="Times New Roman"/>
          <w:szCs w:val="24"/>
        </w:rPr>
        <w:t>Children at Risk (IDeA), Frankfurt am Main, Germany</w:t>
      </w:r>
    </w:p>
    <w:p w14:paraId="7A3D7216" w14:textId="11542903" w:rsidR="00D076D7" w:rsidRDefault="00D076D7" w:rsidP="006B2D5B">
      <w:pPr>
        <w:spacing w:after="0"/>
        <w:rPr>
          <w:rFonts w:cs="Times New Roman"/>
          <w:szCs w:val="24"/>
        </w:rPr>
      </w:pPr>
      <w:r>
        <w:rPr>
          <w:rFonts w:cs="Times New Roman"/>
          <w:szCs w:val="24"/>
          <w:vertAlign w:val="superscript"/>
        </w:rPr>
        <w:t>3</w:t>
      </w:r>
      <w:r w:rsidRPr="00D076D7">
        <w:rPr>
          <w:rFonts w:cs="Times New Roman"/>
          <w:szCs w:val="24"/>
        </w:rPr>
        <w:t>Ludwig-Maximilian-University Munich, Department of Child and Adolescent Psychiatry, Psychosomatic and Psychotherapy, Munich, Germany</w:t>
      </w:r>
    </w:p>
    <w:p w14:paraId="09022D6E" w14:textId="3D7D07BA" w:rsidR="00D076D7" w:rsidRDefault="00D076D7" w:rsidP="006B2D5B">
      <w:pPr>
        <w:spacing w:after="0"/>
        <w:rPr>
          <w:rFonts w:cs="Times New Roman"/>
          <w:szCs w:val="24"/>
        </w:rPr>
      </w:pPr>
      <w:r>
        <w:rPr>
          <w:rFonts w:cs="Times New Roman"/>
          <w:szCs w:val="24"/>
          <w:vertAlign w:val="superscript"/>
        </w:rPr>
        <w:t>4</w:t>
      </w:r>
      <w:r w:rsidRPr="00D076D7">
        <w:rPr>
          <w:rFonts w:cs="Times New Roman"/>
          <w:szCs w:val="24"/>
        </w:rPr>
        <w:t>Center for Psychological Psychotherapy, University of Heidelberg, Heidelberg, Germany</w:t>
      </w:r>
    </w:p>
    <w:p w14:paraId="7534027E" w14:textId="6017666A" w:rsidR="00D076D7" w:rsidRPr="00D076D7" w:rsidRDefault="00D076D7" w:rsidP="006B2D5B">
      <w:pPr>
        <w:spacing w:after="0"/>
        <w:rPr>
          <w:rFonts w:cs="Times New Roman"/>
          <w:szCs w:val="24"/>
        </w:rPr>
      </w:pPr>
      <w:r>
        <w:rPr>
          <w:rFonts w:cs="Times New Roman"/>
          <w:szCs w:val="24"/>
          <w:vertAlign w:val="superscript"/>
        </w:rPr>
        <w:t>5</w:t>
      </w:r>
      <w:r w:rsidR="00416E7B">
        <w:rPr>
          <w:rFonts w:cs="Times New Roman"/>
          <w:szCs w:val="24"/>
        </w:rPr>
        <w:t>University Hospital C</w:t>
      </w:r>
      <w:r w:rsidRPr="00D076D7">
        <w:rPr>
          <w:rFonts w:cs="Times New Roman"/>
          <w:szCs w:val="24"/>
        </w:rPr>
        <w:t>arl Gustav Carus</w:t>
      </w:r>
      <w:r w:rsidR="00416E7B">
        <w:rPr>
          <w:rFonts w:cs="Times New Roman"/>
          <w:szCs w:val="24"/>
        </w:rPr>
        <w:t>, Technical University Dresden, Dresden, Germany</w:t>
      </w:r>
    </w:p>
    <w:p w14:paraId="55458F15" w14:textId="1D5AF15E" w:rsidR="002868E2" w:rsidRPr="00376CC5" w:rsidRDefault="002868E2" w:rsidP="00671D9A">
      <w:pPr>
        <w:spacing w:before="240" w:after="0"/>
        <w:rPr>
          <w:rFonts w:cs="Times New Roman"/>
          <w:b/>
          <w:szCs w:val="24"/>
        </w:rPr>
      </w:pPr>
      <w:r w:rsidRPr="00376CC5">
        <w:rPr>
          <w:rFonts w:cs="Times New Roman"/>
          <w:b/>
          <w:szCs w:val="24"/>
        </w:rPr>
        <w:t xml:space="preserve">* </w:t>
      </w:r>
      <w:r w:rsidR="00416E7B" w:rsidRPr="00416E7B">
        <w:rPr>
          <w:rFonts w:cs="Times New Roman"/>
          <w:b/>
          <w:szCs w:val="24"/>
        </w:rPr>
        <w:t>Co-first author</w:t>
      </w:r>
      <w:r w:rsidR="00416E7B">
        <w:rPr>
          <w:rFonts w:cs="Times New Roman"/>
          <w:b/>
          <w:szCs w:val="24"/>
        </w:rPr>
        <w:t xml:space="preserve">. </w:t>
      </w:r>
      <w:r w:rsidRPr="00376CC5">
        <w:rPr>
          <w:rFonts w:cs="Times New Roman"/>
          <w:b/>
          <w:szCs w:val="24"/>
        </w:rPr>
        <w:t xml:space="preserve">Correspondence: </w:t>
      </w:r>
      <w:r w:rsidR="00671D9A" w:rsidRPr="00376CC5">
        <w:rPr>
          <w:rFonts w:cs="Times New Roman"/>
          <w:b/>
          <w:szCs w:val="24"/>
        </w:rPr>
        <w:br/>
      </w:r>
      <w:r w:rsidR="00416E7B" w:rsidRPr="00416E7B">
        <w:rPr>
          <w:rFonts w:cs="Times New Roman"/>
          <w:szCs w:val="24"/>
        </w:rPr>
        <w:t>Linda Visser, Julia Kalmar, Janosch Link</w:t>
      </w:r>
      <w:r w:rsidR="00416E7B">
        <w:rPr>
          <w:rFonts w:cs="Times New Roman"/>
          <w:szCs w:val="24"/>
        </w:rPr>
        <w:t>ersdörfer</w:t>
      </w:r>
      <w:r w:rsidR="00671D9A" w:rsidRPr="00376CC5">
        <w:rPr>
          <w:rFonts w:cs="Times New Roman"/>
          <w:szCs w:val="24"/>
        </w:rPr>
        <w:br/>
      </w:r>
      <w:r w:rsidR="00416E7B">
        <w:rPr>
          <w:rFonts w:cs="Times New Roman"/>
          <w:szCs w:val="24"/>
        </w:rPr>
        <w:t>Linda.Visser@dipf.de, J</w:t>
      </w:r>
      <w:r w:rsidR="00416E7B" w:rsidRPr="00416E7B">
        <w:rPr>
          <w:rFonts w:cs="Times New Roman"/>
          <w:szCs w:val="24"/>
        </w:rPr>
        <w:t>ulia.</w:t>
      </w:r>
      <w:r w:rsidR="00416E7B">
        <w:rPr>
          <w:rFonts w:cs="Times New Roman"/>
          <w:szCs w:val="24"/>
        </w:rPr>
        <w:t>K</w:t>
      </w:r>
      <w:r w:rsidR="00416E7B" w:rsidRPr="00416E7B">
        <w:rPr>
          <w:rFonts w:cs="Times New Roman"/>
          <w:szCs w:val="24"/>
        </w:rPr>
        <w:t>almar@zpp.uni-hd.de</w:t>
      </w:r>
      <w:r w:rsidR="00416E7B">
        <w:rPr>
          <w:rFonts w:cs="Times New Roman"/>
          <w:szCs w:val="24"/>
        </w:rPr>
        <w:t xml:space="preserve">, </w:t>
      </w:r>
      <w:r w:rsidR="00416E7B" w:rsidRPr="00416E7B">
        <w:rPr>
          <w:rFonts w:cs="Times New Roman"/>
          <w:szCs w:val="24"/>
        </w:rPr>
        <w:t>Linkersdoerfer@dipf.de</w:t>
      </w:r>
    </w:p>
    <w:p w14:paraId="6A1C88A6" w14:textId="6D9FC1F6" w:rsidR="003577A1" w:rsidRDefault="003577A1" w:rsidP="00651CA2">
      <w:pPr>
        <w:pStyle w:val="AuthorList"/>
      </w:pPr>
      <w:r>
        <w:t>Number of Words: 4.</w:t>
      </w:r>
      <w:r w:rsidR="00043A8A" w:rsidRPr="00043A8A">
        <w:t xml:space="preserve"> </w:t>
      </w:r>
      <w:r w:rsidR="00043A8A">
        <w:t>939</w:t>
      </w:r>
      <w:bookmarkStart w:id="0" w:name="_GoBack"/>
      <w:bookmarkEnd w:id="0"/>
    </w:p>
    <w:p w14:paraId="396ECB34" w14:textId="209752D7" w:rsidR="003577A1" w:rsidRDefault="003577A1" w:rsidP="00651CA2">
      <w:pPr>
        <w:pStyle w:val="AuthorList"/>
      </w:pPr>
      <w:r>
        <w:t>Number of Figures: 3</w:t>
      </w:r>
    </w:p>
    <w:p w14:paraId="688EE9ED" w14:textId="6A765A49" w:rsidR="00EA3D3C" w:rsidRPr="00376CC5" w:rsidRDefault="00817DD6" w:rsidP="00651CA2">
      <w:pPr>
        <w:pStyle w:val="AuthorList"/>
      </w:pPr>
      <w:r w:rsidRPr="00376CC5">
        <w:t xml:space="preserve">Keywords: </w:t>
      </w:r>
      <w:r w:rsidR="00416E7B" w:rsidRPr="00416E7B">
        <w:t>specific learning disorder</w:t>
      </w:r>
      <w:r w:rsidR="00416E7B">
        <w:t>,</w:t>
      </w:r>
      <w:r w:rsidR="00416E7B" w:rsidRPr="00416E7B">
        <w:t xml:space="preserve"> ADHD</w:t>
      </w:r>
      <w:r w:rsidR="00416E7B">
        <w:t>,</w:t>
      </w:r>
      <w:r w:rsidR="00416E7B" w:rsidRPr="00416E7B">
        <w:t xml:space="preserve"> depression</w:t>
      </w:r>
      <w:r w:rsidR="00416E7B">
        <w:t>,</w:t>
      </w:r>
      <w:r w:rsidR="00416E7B" w:rsidRPr="00416E7B">
        <w:t xml:space="preserve"> anxiety</w:t>
      </w:r>
      <w:r w:rsidR="00416E7B">
        <w:t>,</w:t>
      </w:r>
      <w:r w:rsidR="00416E7B" w:rsidRPr="00416E7B">
        <w:t xml:space="preserve"> conduct disorder</w:t>
      </w:r>
      <w:r w:rsidRPr="00376CC5">
        <w:t>.</w:t>
      </w:r>
    </w:p>
    <w:p w14:paraId="4DB10602" w14:textId="77777777" w:rsidR="008E2B54" w:rsidRPr="00376CC5" w:rsidRDefault="00EA3D3C" w:rsidP="00147395">
      <w:pPr>
        <w:pStyle w:val="AuthorList"/>
      </w:pPr>
      <w:r w:rsidRPr="00376CC5">
        <w:t>Abstract</w:t>
      </w:r>
    </w:p>
    <w:p w14:paraId="0F5200D5" w14:textId="408C5C70" w:rsidR="00EA3D3C" w:rsidRPr="00376CC5" w:rsidRDefault="00416E7B" w:rsidP="00147395">
      <w:pPr>
        <w:rPr>
          <w:b/>
          <w:szCs w:val="24"/>
        </w:rPr>
      </w:pPr>
      <w:r w:rsidRPr="00416E7B">
        <w:rPr>
          <w:szCs w:val="24"/>
        </w:rPr>
        <w:t>Children with reading and/or spelling disorders have increased rates of behavioral and emotional problems and combinations of these. Some studies also find increased rates of attention-deficit-/hyperactivity disorder (ADHD), conduct disorder, anxiety disorder, and depression. However, the comorbidities of e.g. arithmetic disorders with ADHD, anxiety, and depression have been addressed only rarely. The current study explored the probability of children with specific learning disorders (SLD) in reading, spelling, and/or arithmetic to also have anxiety, depression, ADHD, and/or conduct disorder. The sample consisted of 3014 German children from grades 3 and 4 (mean 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Children with SLD in multiple learning domains had a higher risk for psychopathology and had a broader spectrum of psychopathology than children with an isolated SLD. The results highlight the importance of screening for and diagnosing psychiatric comorbidities in children with SLD.</w:t>
      </w:r>
    </w:p>
    <w:p w14:paraId="57F6A29A" w14:textId="77777777" w:rsidR="00EA3D3C" w:rsidRPr="00376CC5" w:rsidRDefault="00EA3D3C" w:rsidP="00D9503C">
      <w:pPr>
        <w:pStyle w:val="Heading1"/>
      </w:pPr>
      <w:r w:rsidRPr="00376CC5">
        <w:t>Introduction</w:t>
      </w:r>
    </w:p>
    <w:p w14:paraId="7F9CA51B" w14:textId="1C1E3907" w:rsidR="00416E7B" w:rsidRPr="00416E7B" w:rsidRDefault="00416E7B" w:rsidP="003B707E">
      <w:pPr>
        <w:rPr>
          <w:szCs w:val="24"/>
        </w:rPr>
      </w:pPr>
      <w:r w:rsidRPr="00416E7B">
        <w:rPr>
          <w:szCs w:val="24"/>
        </w:rPr>
        <w:lastRenderedPageBreak/>
        <w:t>Children with specific learning disorders (SLD) do not only exhibit difficulties in reading, spelling, and/or arithmetic. They also often struggle with externalizing and internalizing problems such as attention deficits and hyperactivity, conduct problems, anxiety disorder, and depression</w:t>
      </w:r>
      <w:r w:rsidR="003B707E">
        <w:rPr>
          <w:szCs w:val="24"/>
        </w:rPr>
        <w:t xml:space="preserve"> (</w:t>
      </w:r>
      <w:r w:rsidR="003B707E" w:rsidRPr="003B707E">
        <w:rPr>
          <w:szCs w:val="24"/>
        </w:rPr>
        <w:t>Hendren</w:t>
      </w:r>
      <w:r w:rsidR="003B707E">
        <w:rPr>
          <w:szCs w:val="24"/>
        </w:rPr>
        <w:t>,</w:t>
      </w:r>
      <w:r w:rsidR="003B707E" w:rsidRPr="003B707E">
        <w:rPr>
          <w:szCs w:val="24"/>
        </w:rPr>
        <w:t xml:space="preserve"> Haft, Black,White</w:t>
      </w:r>
      <w:r w:rsidR="003B707E">
        <w:rPr>
          <w:szCs w:val="24"/>
        </w:rPr>
        <w:t>, &amp;</w:t>
      </w:r>
      <w:r w:rsidR="003B707E" w:rsidRPr="003B707E">
        <w:rPr>
          <w:szCs w:val="24"/>
        </w:rPr>
        <w:t xml:space="preserve"> Hoeft</w:t>
      </w:r>
      <w:r w:rsidR="003B707E">
        <w:rPr>
          <w:szCs w:val="24"/>
        </w:rPr>
        <w:t xml:space="preserve">, </w:t>
      </w:r>
      <w:r w:rsidR="003B707E" w:rsidRPr="003B707E">
        <w:rPr>
          <w:szCs w:val="24"/>
        </w:rPr>
        <w:t>2018</w:t>
      </w:r>
      <w:r w:rsidR="003B707E">
        <w:rPr>
          <w:szCs w:val="24"/>
        </w:rPr>
        <w:t>)</w:t>
      </w:r>
      <w:r w:rsidRPr="00416E7B">
        <w:rPr>
          <w:szCs w:val="24"/>
        </w:rPr>
        <w:t xml:space="preserve">. There is some evidence for the increased risk of symptoms and the diagnosis of attention-deficit-/hyperactivity disorder (ADHD) in children with reading and/or spelling disorder (Goldston et al., 2007; Sexton, Gelhorn, Bell, &amp; Classi, 2012; Willcutt et al., 2013). In a representative German sample of 2nd and 3rd graders, a comorbid ADHD diagnosis was found in 17.2% (isolated reading disorder), 20.3% (isolated spelling disorder), and 22.2% (combined reading and spelling disorder) of subjects with SLD (Schuchardt, Fischbach, Balke-Melcher, &amp; Mähler, 2015). In contrast, in a general population sample in Germany only 5% of the 7- to 10-year old children met the criteria for ADHD (Ravens-Sieberer et al., 2008); worldwide ADHD prevalence was estimated 3.5% (95% CI = 2.6%–4.5%) (Polanczyk, Salum, Sugaya, Caye, &amp; Rohde, 2015).  </w:t>
      </w:r>
    </w:p>
    <w:p w14:paraId="3777009C" w14:textId="77777777" w:rsidR="00416E7B" w:rsidRPr="00416E7B" w:rsidRDefault="00416E7B" w:rsidP="00416E7B">
      <w:pPr>
        <w:rPr>
          <w:szCs w:val="24"/>
        </w:rPr>
      </w:pPr>
      <w:r w:rsidRPr="00416E7B">
        <w:rPr>
          <w:szCs w:val="24"/>
        </w:rPr>
        <w:t xml:space="preserve">Another frequently replicated result is the association between anxiety and dyslexia (Carroll, Maughan, Goodman, &amp; Meltzer, 2005; Goldston et al., 2007; Willcutt et al., 2013). Carroll et al. (2005) showed that anxiety disorders were more than twice as prevalent in children with dyslexia compared to children without dyslexia. </w:t>
      </w:r>
    </w:p>
    <w:p w14:paraId="6B5F27A0" w14:textId="77777777" w:rsidR="00416E7B" w:rsidRPr="00416E7B" w:rsidRDefault="00416E7B" w:rsidP="00416E7B">
      <w:pPr>
        <w:rPr>
          <w:szCs w:val="24"/>
        </w:rPr>
      </w:pPr>
      <w:r w:rsidRPr="00416E7B">
        <w:rPr>
          <w:szCs w:val="24"/>
        </w:rPr>
        <w:t xml:space="preserve">Results regarding the relationship between depression and dyslexia are ambiguous. While Goldston et al. (2007) report an association between the two disorders (seemingly moderated by symptoms of inattention); Carroll et al. (2005) did not find such an association. Finally, Willcutt et al. (2013) reported higher rates of depression in children and adolescents with reading difficulties, independent of the presence of ADHD. </w:t>
      </w:r>
    </w:p>
    <w:p w14:paraId="3C8025DA" w14:textId="77777777" w:rsidR="00416E7B" w:rsidRPr="00416E7B" w:rsidRDefault="00416E7B" w:rsidP="00416E7B">
      <w:pPr>
        <w:rPr>
          <w:szCs w:val="24"/>
        </w:rPr>
      </w:pPr>
      <w:r w:rsidRPr="00416E7B">
        <w:rPr>
          <w:szCs w:val="24"/>
        </w:rP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(Sexton et al., 2012). </w:t>
      </w:r>
    </w:p>
    <w:p w14:paraId="1B38F849" w14:textId="77777777" w:rsidR="00416E7B" w:rsidRPr="00416E7B" w:rsidRDefault="00416E7B" w:rsidP="00416E7B">
      <w:pPr>
        <w:rPr>
          <w:szCs w:val="24"/>
        </w:rPr>
      </w:pPr>
      <w:r w:rsidRPr="00416E7B">
        <w:rPr>
          <w:szCs w:val="24"/>
        </w:rPr>
        <w:t xml:space="preserve">The co-occurrence of dyscalculia and mental disorders is still poorly investigated. Willcutt et al. (2013) reported that children and adolescents with dyscalculia were more likely to meet the criteria for ADHD, conduct disorders, anxiety disorder, and depression. However, the diagnosis of conduct disorder revealed to be fulfilled only by those children and adolescents with dyscalculia who also met the criteria for ADHD, indicating that the relationship between conduct disorder and dyscalculia is moderated by ADHD. A study investigating SLDs in representative school samples from 2nd to 6th grade in Brazil revealed an association between ADHD and dyscalculia (Fortes et al., 2016). In contrast, Schuchardt et al. (2015) did not find elevated rates of ADHD in children with dyscalculia. In a longitudinal study investigating the co-occurrence of internalizing symptoms (anxiety, depression), children and adolescents with dyscalculia generally exhibited higher symptom levels than control subjects, although in the normal range (Graefen, Kohn, Wyschkon, &amp; Esser, 2015). Similar to research results in dyslexic children, the elevation of anxiety scores in subjects with dyscalculia might be domain-specific (Wu, Willcutt, Escovar, &amp; Menon, 2014). On the other hand, the aforementioned Brazilian study found an association between anxiety disorders and dyscalculia in 2nd to 6th graders (Fortes et al., 2016). </w:t>
      </w:r>
    </w:p>
    <w:p w14:paraId="7399C50F" w14:textId="77777777" w:rsidR="00416E7B" w:rsidRPr="00416E7B" w:rsidRDefault="00416E7B" w:rsidP="00416E7B">
      <w:pPr>
        <w:rPr>
          <w:szCs w:val="24"/>
        </w:rPr>
      </w:pPr>
      <w:r w:rsidRPr="00416E7B">
        <w:rPr>
          <w:szCs w:val="24"/>
        </w:rPr>
        <w:t xml:space="preserve">Subjects with deficits in more than one domain of academic achievement exhibit more psychopathological symptoms (Fischbach, Schuchardt, Mähler, &amp; Hasselhorn, 2010; Willcutt et al., 2013). Thus, the worse children and adolescents perform academically, the more psychological distress they exhibit. </w:t>
      </w:r>
    </w:p>
    <w:p w14:paraId="6D29C7A8" w14:textId="77777777" w:rsidR="00416E7B" w:rsidRPr="00416E7B" w:rsidRDefault="00416E7B" w:rsidP="00416E7B">
      <w:pPr>
        <w:rPr>
          <w:szCs w:val="24"/>
        </w:rPr>
      </w:pPr>
      <w:r w:rsidRPr="00416E7B">
        <w:rPr>
          <w:szCs w:val="24"/>
        </w:rPr>
        <w:lastRenderedPageBreak/>
        <w:t>In the present study, we used a large non-clinical sample of 3rd and 4th grade children in Germany to shed more light upon the co-occurrence of different SLD subtypes and psychopathology. This is of great practical importance, as unidentified mental problems and mental disorders may impede treatment success in SLD. As opposed to earlier studies, we took into account various subtypes of SLD and various domains of psychopathology. Hence, not only the comorbidity between the various types of SLD and psychopathology could be studied, but also the comorbidities between the different types of psychopathology in children with SLD.</w:t>
      </w:r>
    </w:p>
    <w:p w14:paraId="2BC8C2C4" w14:textId="76DD77EE" w:rsidR="00310124" w:rsidRPr="00376CC5" w:rsidRDefault="00416E7B" w:rsidP="00416E7B">
      <w:pPr>
        <w:rPr>
          <w:szCs w:val="24"/>
        </w:rPr>
      </w:pPr>
      <w:r w:rsidRPr="00416E7B">
        <w:rPr>
          <w:szCs w:val="24"/>
        </w:rPr>
        <w:t>We explore the occurrence of anxiety, depression, ADHD, and conduct disorder in children with an SLD in reading, spelling, arithmetic, or a combination of these. Additionally, we investigate to which extent the different psychopathologies co-occur within the different SLD groups. We hypothesize that children with reading and/or spelling and/or arithmetic disorder more often have depression, anxiety, ADHD, and conduct disorder than children without SLD; the more academic domains are affected, the higher the risk for more psychopathological symptoms. We further expect that the more academic domains affected by SLD, the higher the number of areas in which a child, on average, exhibits psychopathology.</w:t>
      </w:r>
    </w:p>
    <w:p w14:paraId="4FE4A45B" w14:textId="685A98FC" w:rsidR="00DE23E8" w:rsidRDefault="00416E7B" w:rsidP="00AC0270">
      <w:pPr>
        <w:pStyle w:val="Heading1"/>
      </w:pPr>
      <w:r>
        <w:t>Materials and Methods</w:t>
      </w:r>
    </w:p>
    <w:p w14:paraId="1D454C70" w14:textId="09AA89AB" w:rsidR="00416E7B" w:rsidRPr="00416E7B" w:rsidRDefault="00416E7B" w:rsidP="00416E7B">
      <w:pPr>
        <w:pStyle w:val="Heading2"/>
      </w:pPr>
      <w:r>
        <w:t>Recruitment</w:t>
      </w:r>
    </w:p>
    <w:p w14:paraId="654398F4" w14:textId="77777777" w:rsidR="00416E7B" w:rsidRPr="00416E7B" w:rsidRDefault="00416E7B" w:rsidP="00416E7B">
      <w:pPr>
        <w:rPr>
          <w:szCs w:val="24"/>
        </w:rPr>
      </w:pPr>
      <w:r w:rsidRPr="00416E7B">
        <w:rPr>
          <w:szCs w:val="24"/>
        </w:rPr>
        <w:t xml:space="preserve">We invited families with 3rd and/or 4th grade children from the two German federal states Hesse (through the Hessian Ministry of Culture; n = 25.000) and Bavaria (addresses provided by local registration offices; n = 27.734) to participate in this study. The families were randomly chosen in a way that the population of selected families was approximately representative in terms of gender and age (8.8 to 10.8 years; Bavaria) respectively grade (Hesse). </w:t>
      </w:r>
    </w:p>
    <w:p w14:paraId="11821805" w14:textId="121C514D" w:rsidR="00303DE6" w:rsidRDefault="00416E7B" w:rsidP="00416E7B">
      <w:pPr>
        <w:rPr>
          <w:szCs w:val="24"/>
        </w:rPr>
      </w:pPr>
      <w:r w:rsidRPr="00416E7B">
        <w:rPr>
          <w:szCs w:val="24"/>
        </w:rPr>
        <w:t>Children and their parents were invited to download and use a web-based application to assess the academic skills and psychopathological profile of the children autonomously within eight weeks. All parents and children gave informed consent. The study was approved by the ethics committees of the University Hospital of the Ludwig-Maximilians-University Munich and the DIPF | Leibniz Institute for Research and Information in Education, Frankfurt am Main.</w:t>
      </w:r>
      <w:r w:rsidR="003A527E" w:rsidRPr="003A527E">
        <w:t xml:space="preserve"> </w:t>
      </w:r>
      <w:r w:rsidR="003A527E" w:rsidRPr="00147EA5">
        <w:rPr>
          <w:szCs w:val="24"/>
        </w:rPr>
        <w:t>All subjects gave written informed consent in accordance with the Declaration of Helsinki.</w:t>
      </w:r>
    </w:p>
    <w:p w14:paraId="540BF2AD" w14:textId="38492E6A" w:rsidR="00416E7B" w:rsidRPr="00416E7B" w:rsidRDefault="00416E7B" w:rsidP="00416E7B">
      <w:pPr>
        <w:pStyle w:val="Heading2"/>
      </w:pPr>
      <w:r>
        <w:t>Participants</w:t>
      </w:r>
    </w:p>
    <w:p w14:paraId="03DBA0D8" w14:textId="351783CB" w:rsidR="00416E7B" w:rsidRDefault="00416E7B" w:rsidP="00416E7B">
      <w:pPr>
        <w:rPr>
          <w:rStyle w:val="Hyperlink"/>
          <w:color w:val="auto"/>
          <w:szCs w:val="24"/>
          <w:u w:val="none"/>
        </w:rPr>
      </w:pPr>
      <w:r w:rsidRPr="00416E7B">
        <w:rPr>
          <w:rStyle w:val="Hyperlink"/>
          <w:color w:val="auto"/>
          <w:szCs w:val="24"/>
          <w:u w:val="none"/>
        </w:rPr>
        <w:t xml:space="preserve">A total of 4542 families started using the application (response rate 8.6%). Reasons for non-participation were not requested. After applying all filtering and exclusion criteria as described in the section below, the final sample consisted of &lt;&lt;n_filtered&gt;&gt; children with a mean age of &lt;&lt;age_mean_y&gt;&gt;;&lt;&lt;age_mean_m&gt;&gt; years (SD = &lt;&lt;age_sd&gt;&gt; months; range &lt;&lt;age_min_y&gt;&gt;;&lt;&lt;age_min_m&gt;&gt; to &lt;&lt;age_max_y&gt;&gt;;&lt;&lt;age_max_m&gt;&gt;). The sample is approximately equally distributed in terms of gender </w:t>
      </w:r>
      <w:r w:rsidR="00147EA5" w:rsidRPr="00147EA5">
        <w:rPr>
          <w:rStyle w:val="Hyperlink"/>
          <w:color w:val="auto"/>
          <w:szCs w:val="24"/>
          <w:u w:val="none"/>
        </w:rPr>
        <w:t>(&lt;&lt;n_male&gt;&gt; [&lt;&lt;perc_male&gt;&gt;%] boys and &lt;&lt;n_female&gt;&gt; [&lt;&lt;perc_female&gt;&gt;%] girls) and grade (&lt;&lt;n_grade3&gt;&gt; [&lt;&lt;perc_grade3&gt;&gt;%] 3rd and &lt;&lt;n_grade4&gt;&gt; [&lt;&lt;perc_grade4&gt;&gt;%] 4th grade)</w:t>
      </w:r>
      <w:r w:rsidRPr="00416E7B">
        <w:rPr>
          <w:rStyle w:val="Hyperlink"/>
          <w:color w:val="auto"/>
          <w:szCs w:val="24"/>
          <w:u w:val="none"/>
        </w:rPr>
        <w:t>. In Hesse</w:t>
      </w:r>
      <w:r w:rsidR="00147EA5">
        <w:rPr>
          <w:rStyle w:val="Hyperlink"/>
          <w:color w:val="auto"/>
          <w:szCs w:val="24"/>
          <w:u w:val="none"/>
        </w:rPr>
        <w:t xml:space="preserve">, </w:t>
      </w:r>
      <w:r w:rsidR="00147EA5" w:rsidRPr="00147EA5">
        <w:rPr>
          <w:rStyle w:val="Hyperlink"/>
          <w:color w:val="auto"/>
          <w:szCs w:val="24"/>
          <w:u w:val="none"/>
        </w:rPr>
        <w:t>&lt;&lt;n_hesse&gt;&gt; (&lt;&lt;perc_hesse&gt;&gt;%)</w:t>
      </w:r>
      <w:r w:rsidR="00147EA5">
        <w:rPr>
          <w:rStyle w:val="Hyperlink"/>
          <w:color w:val="auto"/>
          <w:szCs w:val="24"/>
          <w:u w:val="none"/>
        </w:rPr>
        <w:t xml:space="preserve"> </w:t>
      </w:r>
      <w:r w:rsidRPr="00416E7B">
        <w:rPr>
          <w:rStyle w:val="Hyperlink"/>
          <w:color w:val="auto"/>
          <w:szCs w:val="24"/>
          <w:u w:val="none"/>
        </w:rPr>
        <w:t xml:space="preserve">families participated and in Bavaria </w:t>
      </w:r>
      <w:r w:rsidR="00147EA5" w:rsidRPr="00147EA5">
        <w:rPr>
          <w:rStyle w:val="Hyperlink"/>
          <w:color w:val="auto"/>
          <w:szCs w:val="24"/>
          <w:u w:val="none"/>
        </w:rPr>
        <w:t>&lt;&lt;n_bavaria&gt;&gt; (&lt;&lt;perc_bavaria&gt;&gt;%)</w:t>
      </w:r>
      <w:r w:rsidRPr="00416E7B">
        <w:rPr>
          <w:rStyle w:val="Hyperlink"/>
          <w:color w:val="auto"/>
          <w:szCs w:val="24"/>
          <w:u w:val="none"/>
        </w:rPr>
        <w:t xml:space="preserve">. In both states, gender is roughly balanced per grade. Mothers with a high educational level, implying high SES, are overrepresented: </w:t>
      </w:r>
      <w:r w:rsidR="00147EA5" w:rsidRPr="00147EA5">
        <w:rPr>
          <w:rStyle w:val="Hyperlink"/>
          <w:color w:val="auto"/>
          <w:szCs w:val="24"/>
          <w:u w:val="none"/>
        </w:rPr>
        <w:t>&lt;&lt;n_abitur&gt;&gt; (&lt;&lt;perc_abitur&gt;&gt;%)</w:t>
      </w:r>
      <w:r w:rsidRPr="00416E7B">
        <w:rPr>
          <w:rStyle w:val="Hyperlink"/>
          <w:color w:val="auto"/>
          <w:szCs w:val="24"/>
          <w:u w:val="none"/>
        </w:rPr>
        <w:t xml:space="preserve"> mothers had absolved Gymnasium, the highest school certificate in Germany, as opposed to 42.9% in the population (Federal Office of Statistics, 2016). The percentage with non-German nationality </w:t>
      </w:r>
      <w:r w:rsidR="00147EA5" w:rsidRPr="00147EA5">
        <w:rPr>
          <w:rStyle w:val="Hyperlink"/>
          <w:color w:val="auto"/>
          <w:szCs w:val="24"/>
          <w:u w:val="none"/>
        </w:rPr>
        <w:t>(&lt;&lt;n_nongerman&gt;&gt;; &lt;&lt;perc_nongerman&gt;&gt;%)</w:t>
      </w:r>
      <w:r w:rsidRPr="00416E7B">
        <w:rPr>
          <w:rStyle w:val="Hyperlink"/>
          <w:color w:val="auto"/>
          <w:szCs w:val="24"/>
          <w:u w:val="none"/>
        </w:rPr>
        <w:t xml:space="preserve"> </w:t>
      </w:r>
      <w:r w:rsidRPr="00416E7B">
        <w:rPr>
          <w:rStyle w:val="Hyperlink"/>
          <w:color w:val="auto"/>
          <w:szCs w:val="24"/>
          <w:u w:val="none"/>
        </w:rPr>
        <w:lastRenderedPageBreak/>
        <w:t>is lower than what would be expected based on demographic data (10.5%; Statistisches Bundesamt, 2017b, 2017a). Native German speakers are slightly overrepresented (Eurobarometer, 2012).</w:t>
      </w:r>
    </w:p>
    <w:p w14:paraId="78FCCD75" w14:textId="2E751FE3" w:rsidR="00416E7B" w:rsidRPr="00416E7B" w:rsidRDefault="00416E7B" w:rsidP="00416E7B">
      <w:pPr>
        <w:pStyle w:val="Heading2"/>
      </w:pPr>
      <w:r>
        <w:t>Drop-out and Exclusion</w:t>
      </w:r>
    </w:p>
    <w:p w14:paraId="401DE300" w14:textId="370DD0D2" w:rsidR="00416E7B" w:rsidRDefault="00416E7B" w:rsidP="00416E7B">
      <w:pPr>
        <w:rPr>
          <w:rStyle w:val="Hyperlink"/>
          <w:color w:val="auto"/>
          <w:szCs w:val="24"/>
          <w:u w:val="none"/>
        </w:rPr>
      </w:pPr>
      <w:r w:rsidRPr="00416E7B">
        <w:rPr>
          <w:rStyle w:val="Hyperlink"/>
          <w:color w:val="auto"/>
          <w:szCs w:val="24"/>
          <w:u w:val="none"/>
        </w:rPr>
        <w:t>We excluded cases for which the child did not complete all tests up to session four (&lt;&lt;n_test_incompl&gt;&gt;; &lt;&lt;perc_test_incompl&gt;&gt;%) or the parent did not complete all questionnaires (&lt;&lt;n_question_incompl&gt;&gt;; &lt;&lt;perc_question_incompl&gt;&gt;%). To avoid statistical dependence, we randomly excluded the data of one sibling per pair (</w:t>
      </w:r>
      <w:r w:rsidR="00147EA5">
        <w:rPr>
          <w:rStyle w:val="Hyperlink"/>
          <w:color w:val="auto"/>
          <w:szCs w:val="24"/>
          <w:u w:val="none"/>
        </w:rPr>
        <w:t xml:space="preserve">n = </w:t>
      </w:r>
      <w:r w:rsidRPr="00416E7B">
        <w:rPr>
          <w:rStyle w:val="Hyperlink"/>
          <w:color w:val="auto"/>
          <w:szCs w:val="24"/>
          <w:u w:val="none"/>
        </w:rPr>
        <w:t>&lt;&lt;n_siblings&gt;&gt;). We excluded &lt;&lt;n_iq_low&gt;&gt; (&lt;&lt;perc_iq_low&gt;&gt;%) cases because of an IQ ≤ 70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children.</w:t>
      </w:r>
    </w:p>
    <w:p w14:paraId="1DC283B1" w14:textId="4C261E86" w:rsidR="00416E7B" w:rsidRPr="00416E7B" w:rsidRDefault="008B5029" w:rsidP="00416E7B">
      <w:pPr>
        <w:pStyle w:val="Heading2"/>
      </w:pPr>
      <w:r>
        <w:t>Collection of Data</w:t>
      </w:r>
    </w:p>
    <w:p w14:paraId="01A9FC5A" w14:textId="08D69D97" w:rsidR="00416E7B" w:rsidRDefault="008B5029" w:rsidP="00416E7B">
      <w:pPr>
        <w:rPr>
          <w:rStyle w:val="Hyperlink"/>
          <w:color w:val="auto"/>
          <w:szCs w:val="24"/>
          <w:u w:val="none"/>
        </w:rPr>
      </w:pPr>
      <w:r w:rsidRPr="008B5029">
        <w:rPr>
          <w:rStyle w:val="Hyperlink"/>
          <w:color w:val="auto"/>
          <w:szCs w:val="24"/>
          <w:u w:val="none"/>
        </w:rPr>
        <w:t>For this study, a software company transformed all standardized psychometric tests and questionnaires from their paper-pencil versions to an online tablet/smartphone version. Participants worked on the tests and questionnaires independently at home. For the children, tests and questionnaires were grouped into sessions which had to be worked on for four separate days. Children were asked to complete an optional fifth session (they would get their reward also without doing this) which included a newly developed spelling test (not reported in this manuscript). Each session lasted 30 to 45 minutes. There was one session for the assessment of parent (or other caregiver) ratings.</w:t>
      </w:r>
    </w:p>
    <w:p w14:paraId="78EE4136" w14:textId="5FC30F3D" w:rsidR="008B5029" w:rsidRPr="00416E7B" w:rsidRDefault="008B5029" w:rsidP="008B5029">
      <w:pPr>
        <w:pStyle w:val="Heading2"/>
      </w:pPr>
      <w:r>
        <w:t>Measures</w:t>
      </w:r>
    </w:p>
    <w:p w14:paraId="1D8D6B9E"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Reading achievement was assessed using the ‘Wuerzburger Silent Reading Test – Revised’ (WLLP-R; Schneider, Blanke, Faust, &amp; Küspert, 2011; parallel-test reliability r = .93 for 3rd grade and r = .82 for 4th grade). Children were presented with a series of written words and asked to select the corresponding image among four options within five minutes. Spelling performance was assessed using the long versions of the ‘Weingarten spelling test for basic vocabulary’ (WRT 3+ for 3rd graders; Birkel, 2007; parallel-test reliability r &gt; .91, and WRT4+ for 4th graders; Birkel, 2007b; parallel-test reliability r &gt; .90). Children had to fill in the blanks of missing words using the correct spelling without a time limit. Arithmetic achievement was assessed using the computer-assisted ‘CODY math test’ (CODY-M 2-4; Kuhn, Schwenk, Raddatz, Dobel, &amp; Holling, 2017). The CODY-M 2-4 includes nine subtests focusing on basic number processing (counting, magnitude comparisons), complex number processing (number dictation, number line, domino count comparison,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 (Galuschka &amp; Schulte-Körne, 2016) or dyscalculia (Deutsche Gesellschaft für Kinder- und Jugendpsychiatrie, Psychosomatik und Psychotherapie, 2018). </w:t>
      </w:r>
    </w:p>
    <w:p w14:paraId="55665634" w14:textId="6AA5BA25" w:rsidR="008B5029" w:rsidRPr="008B5029" w:rsidRDefault="008B5029" w:rsidP="008B5029">
      <w:pPr>
        <w:rPr>
          <w:rStyle w:val="Hyperlink"/>
          <w:color w:val="auto"/>
          <w:szCs w:val="24"/>
          <w:u w:val="none"/>
        </w:rPr>
      </w:pPr>
      <w:r w:rsidRPr="008B5029">
        <w:rPr>
          <w:rStyle w:val="Hyperlink"/>
          <w:color w:val="auto"/>
          <w:szCs w:val="24"/>
          <w:u w:val="none"/>
        </w:rPr>
        <w:t xml:space="preserve">Nonverbal intellectual ability was assessed using three of the four subtests (sequences of drawing, classifications, matrices) of the short version of the ‘Culture Fair Intelligence Test’ (CFT 20-R; Weiß, </w:t>
      </w:r>
      <w:r w:rsidRPr="00147EA5">
        <w:rPr>
          <w:rStyle w:val="Hyperlink"/>
          <w:color w:val="auto"/>
          <w:szCs w:val="24"/>
          <w:u w:val="none"/>
        </w:rPr>
        <w:t>20</w:t>
      </w:r>
      <w:r w:rsidR="000A5218" w:rsidRPr="00147EA5">
        <w:rPr>
          <w:rStyle w:val="Hyperlink"/>
          <w:color w:val="auto"/>
          <w:szCs w:val="24"/>
          <w:u w:val="none"/>
        </w:rPr>
        <w:t>06</w:t>
      </w:r>
      <w:r w:rsidRPr="008B5029">
        <w:rPr>
          <w:rStyle w:val="Hyperlink"/>
          <w:color w:val="auto"/>
          <w:szCs w:val="24"/>
          <w:u w:val="none"/>
        </w:rPr>
        <w:t xml:space="preserve">; test reliability r = .92). The fourth subtest could not be adapted to an online version. Because it contains fewer items than the other subtests, i.e., it contributes less to the total raw score, </w:t>
      </w:r>
      <w:r w:rsidRPr="008B5029">
        <w:rPr>
          <w:rStyle w:val="Hyperlink"/>
          <w:color w:val="auto"/>
          <w:szCs w:val="24"/>
          <w:u w:val="none"/>
        </w:rPr>
        <w:lastRenderedPageBreak/>
        <w:t>and is often too difficult for children in the age range of our study, the resulting IQ-scores nevertheless form a good approximation of the intelligence of the children. The parental survey started with a questionnaire about family and child background containing questions about parental educational level and work, ethnic background and language, family history, children’s developmental problems, psychopathology, and learning (interventions), and learning problems and psychopathology in the family.</w:t>
      </w:r>
    </w:p>
    <w:p w14:paraId="625581D6" w14:textId="5205DF82" w:rsidR="008B5029" w:rsidRDefault="008B5029" w:rsidP="008B5029">
      <w:pPr>
        <w:rPr>
          <w:rStyle w:val="Hyperlink"/>
          <w:color w:val="auto"/>
          <w:szCs w:val="24"/>
          <w:u w:val="none"/>
        </w:rPr>
      </w:pPr>
      <w:r w:rsidRPr="008B5029">
        <w:rPr>
          <w:rStyle w:val="Hyperlink"/>
          <w:color w:val="auto"/>
          <w:szCs w:val="24"/>
          <w:u w:val="none"/>
        </w:rPr>
        <w:t>To assess children’s psychopathology, parents completed standardized rating scales for ADHD (FBB-ADHS; Cronbach’s α = .86–.94), conduct disorder (FBB-SSV; Cronbach’s α = .63-.93), and depression (FFB-DES; Cronbach’s α = .89) of the widely-used ‘Diagnostic System of Mental Disorders for Children and Adolescents – II’ (DISYPS-II; Döpfner, Görtz-Dorten, &amp; Lehmkuhl, 2008). Anxiety was assessed using the ‘Screen for Child Anxiety Related Emotional Disorders’, German version (SCARED-D; Essau, Muris, &amp; Ederer, 2002; Cronbach’s α = .91).</w:t>
      </w:r>
    </w:p>
    <w:p w14:paraId="1FA991F0" w14:textId="6681E9E8" w:rsidR="008B5029" w:rsidRPr="00416E7B" w:rsidRDefault="008B5029" w:rsidP="008B5029">
      <w:pPr>
        <w:pStyle w:val="Heading2"/>
      </w:pPr>
      <w:r>
        <w:t>Data Preparation</w:t>
      </w:r>
    </w:p>
    <w:p w14:paraId="325C084F" w14:textId="0F818ADA" w:rsidR="008B5029" w:rsidRDefault="008B5029" w:rsidP="008B5029">
      <w:pPr>
        <w:rPr>
          <w:rStyle w:val="Hyperlink"/>
          <w:color w:val="auto"/>
          <w:szCs w:val="24"/>
          <w:u w:val="none"/>
        </w:rPr>
      </w:pPr>
      <w:r w:rsidRPr="008B5029">
        <w:rPr>
          <w:rStyle w:val="Hyperlink"/>
          <w:color w:val="auto"/>
          <w:szCs w:val="24"/>
          <w:u w:val="none"/>
        </w:rPr>
        <w:t>We used REDCap (Harris et al., 2009) for data management and R (R Core Team, 2018); version 3.5.0) for data analysis. Data and analysis code are available on the Open Science Framework (https://osf.io/9mxp2/). As described in the Supplemental Material, we normalized all diagnostic tests used to the complete sample that used the web-based application and we applied plausibility checks to the data, as we were unable to directly monitor the participants’ behavior. In total, we excluded &lt;&lt;n_implausible&gt;&gt; (&lt;&lt;perc_implausible&gt;&gt;%) cases because of implausible data.</w:t>
      </w:r>
    </w:p>
    <w:p w14:paraId="72C2BD6B" w14:textId="168B5949" w:rsidR="008B5029" w:rsidRPr="00416E7B" w:rsidRDefault="008B5029" w:rsidP="008B5029">
      <w:pPr>
        <w:pStyle w:val="Heading2"/>
      </w:pPr>
      <w:r w:rsidRPr="008B5029">
        <w:t>Classification of SLDs and psychopathology</w:t>
      </w:r>
    </w:p>
    <w:p w14:paraId="7C46B9E1"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As criterion to classify children as having an SLD, we used a z-score of ≤ -1.5 in the respective standardized test of academic achievement, following the recommendation by the Diagnostic and Statistical Manual of Mental Disorders, 5th edition (DSM-5; American Psychiatric Association, 2013). As we could not assess other information indicating an elevated likelihood for SLD (e.g., clinical or qualitative information), in which case the DSM-5 recommends a cut-off of 1 SD, we classified children with a z-score of &gt; -1 as not having an SLD and excluded children with a z-score of &gt; -1.5 and ≤ -1, to ensure optimally distinct classifications. </w:t>
      </w:r>
    </w:p>
    <w:p w14:paraId="4055EB71" w14:textId="77777777" w:rsidR="008B5029" w:rsidRPr="008B5029" w:rsidRDefault="008B5029" w:rsidP="008B5029">
      <w:pPr>
        <w:rPr>
          <w:rStyle w:val="Hyperlink"/>
          <w:color w:val="auto"/>
          <w:szCs w:val="24"/>
          <w:u w:val="none"/>
        </w:rPr>
      </w:pPr>
      <w:r w:rsidRPr="008B5029">
        <w:rPr>
          <w:rStyle w:val="Hyperlink"/>
          <w:color w:val="auto"/>
          <w:szCs w:val="24"/>
          <w:u w:val="none"/>
        </w:rPr>
        <w:t xml:space="preserve">For the different analyses, we created four types of variables indicating SLD status. First, we created a categorical variable grouping children into eight categories that differentiated between isolated SLDs and all possible combinations of SLDs in the different domains. Children with z-scores of &gt; -1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as having specific combinations of comorbid SLDs. As described above, children with a z-score of &gt; -1.5 and ≤ -1 in at least one of the three learning domains were excluded. Second, for the inferential statistical analysis, we created four categorical variables that reflect SLD status more broadly. First, “any SLD” indicated whether a child had an SLD in any of the three domains or not. Children were classified as having any SLD if at least one of their reading, spelling, and/or arithmetic z-scores was ≤ -1.5, and as having no SLD if all three z-scores were &gt; -1. Second, “reading disorder” categorized children as having any form (both isolated and non-isolated) of reading disorder, or not. The variable classified children as having an SLD in reading if their reading z-score was ≤ -1.5 and as having no SLD in reading if this z-score was &gt; -1, independent from their test scores in the spelling and arithmetic domains. This variable was constructed in a similar way for “spelling disorder” and </w:t>
      </w:r>
      <w:r w:rsidRPr="008B5029">
        <w:rPr>
          <w:rStyle w:val="Hyperlink"/>
          <w:color w:val="auto"/>
          <w:szCs w:val="24"/>
          <w:u w:val="none"/>
        </w:rPr>
        <w:lastRenderedPageBreak/>
        <w:t>“arithmetic disorder”. Third, a count variable indicated the number of domains in which the child had an SLD (possible values: 0, 1, 2, or 3). For example, a child who was classified as having an SLD in reading and in spelling, but not in arithmetic, received a value of 2. Children with a z-score between &gt; -1.5 and ≤ -1 in at least one of the three domains were excluded. Fourth, based on the count variable, we created a categorical variable indicating whether a child had “no SLD” (number of SLDs = 0), an “isolated SLD” (number of SLDs = 1), or “comorbid SLDs” (number of SLDs &gt; 1).</w:t>
      </w:r>
    </w:p>
    <w:p w14:paraId="2D67A774" w14:textId="3B362DE2" w:rsidR="008B5029" w:rsidRDefault="008B5029" w:rsidP="008B5029">
      <w:pPr>
        <w:rPr>
          <w:rStyle w:val="Hyperlink"/>
          <w:color w:val="auto"/>
          <w:szCs w:val="24"/>
          <w:u w:val="none"/>
        </w:rPr>
      </w:pPr>
      <w:r w:rsidRPr="008B5029">
        <w:rPr>
          <w:rStyle w:val="Hyperlink"/>
          <w:color w:val="auto"/>
          <w:szCs w:val="24"/>
          <w:u w:val="none"/>
        </w:rPr>
        <w:t>In line with the cut-off of more than 1 SD used in the original DISYPS-II, we classified children as fulfilling the cut-off score for each of the disorders anxiety, depression, ADHD, or conduct disorder when they had a z-score of ≥ 1 in the respective questionnaire. We created a categorical variable for each area of psychopathology that indicated whether a child had the respective psychopathology. Based on these four variables, we created an additional variable indicating the number of areas in which the cut-off score for a psychopathology was fulfilled (range: 0–4).</w:t>
      </w:r>
    </w:p>
    <w:p w14:paraId="7364163F" w14:textId="7069878F" w:rsidR="008B5029" w:rsidRPr="00416E7B" w:rsidRDefault="008B5029" w:rsidP="008B5029">
      <w:pPr>
        <w:pStyle w:val="Heading2"/>
      </w:pPr>
      <w:r>
        <w:t>Statistical Analyses</w:t>
      </w:r>
    </w:p>
    <w:p w14:paraId="26FA0B70"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descriptive statistics to compare the children in the different SLD-groups with regard to the occurrence of anxiety, depression, ADHD, and conduct disorder. To illustrate the overlap of the different psychopathologies in children with and without SLD, we used the visualization technique “UpSet” (Lex, Gehlenborg, Strobelt, Vuillemot, &amp; Pfister, 2014). We first compared the overlap of the different psychopathologies between children with and without SLD. In a second step, we compared the overlap between the different SLDs.</w:t>
      </w:r>
    </w:p>
    <w:p w14:paraId="61958EB8"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one-sided Fisher’s exact tests to test whether the occurrence of psychopathology in the respective areas was significantly increased in cases of SLD. We computed this test for each of the four areas of psychopathology and for the presence of SLD in general, as well as separately for reading, spelling, and arithmetic SLD. The odds ratio (OR) with 95% confidence intervals based on the adjusted inverse hyperbolic sine transformation procedure (with pseudo-frequencies ψ1 = 0.6 and ψ2 = 0.4; Fagerland &amp; Newcombe, 2013) provided a measure of effect size.</w:t>
      </w:r>
    </w:p>
    <w:p w14:paraId="41910A2D"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more academic domains are affected, the higher the risk for psychopathology, we used a trend test based on the generalized linear model with logit link function (logistic regression) and the Wald test statistic (see Fagerland, Lydersen, &amp; Laake, 2017). Additionally, we computed an estimate for the trend as OR and the associated 95% Wald confidence interval. For each of the four areas of psychopathology, we tested for a positive trend (i.e., one-sided test) in their occurrence over the levels no SLD, isolated SLD, and comorbid SLD. As post-hoc tests, we used one-sided Fisher’s exact tests.</w:t>
      </w:r>
    </w:p>
    <w:p w14:paraId="74403850"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number of psychopathological areas increases with the number of SLDs, we used a generalized linear model with log link function (Poisson regression), with the number of SLDs as predictor and the number of psychopathological areas as outcome variable.</w:t>
      </w:r>
    </w:p>
    <w:p w14:paraId="4B69BB05" w14:textId="5EBD3857" w:rsidR="008B5029" w:rsidRPr="00376CC5" w:rsidRDefault="008B5029" w:rsidP="008B5029">
      <w:pPr>
        <w:tabs>
          <w:tab w:val="left" w:pos="2818"/>
        </w:tabs>
        <w:rPr>
          <w:rStyle w:val="Hyperlink"/>
          <w:color w:val="auto"/>
          <w:szCs w:val="24"/>
          <w:u w:val="none"/>
        </w:rPr>
      </w:pPr>
      <w:r w:rsidRPr="008B5029">
        <w:rPr>
          <w:rStyle w:val="Hyperlink"/>
          <w:color w:val="auto"/>
          <w:szCs w:val="24"/>
          <w:u w:val="none"/>
        </w:rPr>
        <w:t>For each of the hypotheses, we corrected for multiple testing by setting the false discovery rate (FDR) to .05 using the modified FDR procedure by Benjamini and Yekutieli (2001).</w:t>
      </w:r>
      <w:r>
        <w:rPr>
          <w:rStyle w:val="Hyperlink"/>
          <w:color w:val="auto"/>
          <w:szCs w:val="24"/>
          <w:u w:val="none"/>
        </w:rPr>
        <w:tab/>
      </w:r>
    </w:p>
    <w:p w14:paraId="46E02CF1" w14:textId="01C84682" w:rsidR="001D5C23" w:rsidRPr="00376CC5" w:rsidRDefault="008B5029" w:rsidP="001D5C23">
      <w:pPr>
        <w:pStyle w:val="Heading1"/>
      </w:pPr>
      <w:r>
        <w:t>Results</w:t>
      </w:r>
    </w:p>
    <w:p w14:paraId="2128EB13" w14:textId="7587FEA6" w:rsidR="00D537FA" w:rsidRPr="00376CC5" w:rsidRDefault="008B5029" w:rsidP="008B5029">
      <w:pPr>
        <w:pStyle w:val="Heading2"/>
      </w:pPr>
      <w:r w:rsidRPr="008B5029">
        <w:t>Numbers and Percentages of Children with Psychopathology per SLD Group</w:t>
      </w:r>
    </w:p>
    <w:p w14:paraId="3A5C056C" w14:textId="77777777" w:rsidR="008B5029" w:rsidRPr="008B5029" w:rsidRDefault="008B5029" w:rsidP="008B5029">
      <w:pPr>
        <w:rPr>
          <w:szCs w:val="24"/>
        </w:rPr>
      </w:pPr>
      <w:r w:rsidRPr="008B5029">
        <w:rPr>
          <w:szCs w:val="24"/>
        </w:rPr>
        <w:lastRenderedPageBreak/>
        <w:t xml:space="preserve">An isolated spelling disorder occurs in &lt;&lt;n_iso_spell&gt;&gt; cases (&lt;&lt;perc_iso_spell&gt;&gt;%) within the sample; an isolated reading disorder in &lt;&lt;n_iso_read&gt;&gt; cases (&lt;&lt;perc_iso_read&gt;&gt;%), and arithmetic disorder in &lt;&lt;n_iso_math&gt;&gt; cases (&lt;&lt;perc_iso_math&gt;&gt;%). Table 1 shows the numbers of children that were categorized into each of the eight SLD groups as well as the numbers within these groups for which the chosen cut-off for anxiety, depression, conduct disorder, or ADHD was fulfilled. We refer to the Table in the Supplemental Material for information about the average intelligence quotients as well as reading, spelling, and arithmetic T-scores per SLD group. </w:t>
      </w:r>
    </w:p>
    <w:p w14:paraId="7748C384" w14:textId="77777777" w:rsidR="008B5029" w:rsidRPr="008B5029" w:rsidRDefault="008B5029" w:rsidP="008B5029">
      <w:pPr>
        <w:rPr>
          <w:szCs w:val="24"/>
        </w:rPr>
      </w:pPr>
      <w:r w:rsidRPr="008B5029">
        <w:rPr>
          <w:szCs w:val="24"/>
        </w:rPr>
        <w:t>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high are the occurrence of depression in children with comorbid reading and spelling disorder (&lt;&lt;perc_com_read_spell_des&gt;&gt;%), conduct disorder in children with comorbid reading and arithmetic disorder (&lt;&lt;perc_com_read_math_ssv&gt;&gt;%), and of ADHD in children with combined spelling and arithmetic disorder (&lt;&lt;perc_com_spell_math_adhs&gt;&gt;%). For children classified as having any SLD, the occurrence of comorbid psychopathology are &lt;&lt;perc_any_sca&gt;&gt;% (anxiety), &lt;&lt;perc_any_des&gt;&gt;% (depression), &lt;&lt;perc_any_adhs&gt;&gt;% (ADHD), and &lt;&lt;perc_any_ssv&gt;&gt;% (conduct disorder).</w:t>
      </w:r>
    </w:p>
    <w:p w14:paraId="39CF035B" w14:textId="3D81A380" w:rsidR="001D5C23" w:rsidRPr="00376CC5" w:rsidRDefault="008B5029" w:rsidP="008B5029">
      <w:pPr>
        <w:rPr>
          <w:szCs w:val="24"/>
        </w:rPr>
      </w:pPr>
      <w:r w:rsidRPr="008B5029">
        <w:rPr>
          <w:szCs w:val="24"/>
        </w:rPr>
        <w:t>Figure 1 displays the number of areas with psychopathology for the more broadly defined groups of children with “any SLD” (n = &lt;&lt;n_sld_any&gt;&gt;), “reading disorder” (n = &lt;&lt;n_sld_read&gt;&gt;), “spelling disorder” (n = &lt;&lt;n_sld_spell&gt;&gt;), and “arithmetic disorder” (n = &lt;&lt;n_sld_math&gt;&gt;). The percentage of children without any psychopathology is clearly lower in children with an SLD than in those without an SLD. While psychopathology in a single area occurs equally often in children with and without SLD, psychopathology in two or more areas occurs more often in children with SLD.</w:t>
      </w:r>
    </w:p>
    <w:p w14:paraId="55C09086" w14:textId="0331BF93" w:rsidR="002F744D" w:rsidRPr="00376CC5" w:rsidRDefault="008B5029" w:rsidP="008B5029">
      <w:pPr>
        <w:pStyle w:val="Heading2"/>
      </w:pPr>
      <w:r w:rsidRPr="008B5029">
        <w:t>Overlap in Psychopathology within the SLD Groups</w:t>
      </w:r>
    </w:p>
    <w:p w14:paraId="4B72DD61" w14:textId="6588E966" w:rsidR="002F744D" w:rsidRPr="008B5029" w:rsidRDefault="008B5029" w:rsidP="008B5029">
      <w:pPr>
        <w:rPr>
          <w:b/>
          <w:szCs w:val="24"/>
        </w:rPr>
      </w:pPr>
      <w:r w:rsidRPr="008B5029">
        <w:rPr>
          <w:szCs w:val="24"/>
        </w:rPr>
        <w:t>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psychopathology. Group (3) is largest in cases of reading-related or arithmetic SLD as well. In children with spelling disorder, the largest group is formed by those with combined ADHD, depression, and conduct disorder, followed by the group with only ADHD. In children with reading disorder, depression occurs relatively frequently as well.</w:t>
      </w:r>
    </w:p>
    <w:p w14:paraId="10A3B5F9" w14:textId="46DD092B" w:rsidR="00117666" w:rsidRPr="00376CC5" w:rsidRDefault="008B5029" w:rsidP="008B5029">
      <w:pPr>
        <w:pStyle w:val="Heading2"/>
      </w:pPr>
      <w:r w:rsidRPr="008B5029">
        <w:t>Difference in Psychopathology between Children with and without SLD</w:t>
      </w:r>
    </w:p>
    <w:p w14:paraId="2254D19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Table 2 shows the results of the Fisher’s exact tests of the association between SLD status and the presence of anxiety, depression, conduct disorder, and ADHD. The occurrence of all four different psychopathologies is significantly higher in children with than without SLD (p&lt;.01). The odds of having ADHD are &lt;&lt;or_any_adhs&gt;&gt; times higher if a child has an SLD. These odds are &lt;&lt;or_any_des&gt;&gt; times higher for depression, &lt;&lt;or_any_sca&gt;&gt; times higher for anxiety, and &lt;&lt;or_any_ssv&gt;&gt; times higher for conduct disorder.</w:t>
      </w:r>
    </w:p>
    <w:p w14:paraId="652120D2" w14:textId="5ADBAE42" w:rsidR="008B5029" w:rsidRPr="00376CC5"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When looking separately at reading, spelling, and arithmetic disorder, psychopathology is also elevated, except for anxiety in children with spelling disorder, which cannot be considered as </w:t>
      </w:r>
      <w:r w:rsidRPr="008B5029">
        <w:rPr>
          <w:rFonts w:eastAsia="Times New Roman" w:cs="Times New Roman"/>
          <w:szCs w:val="24"/>
          <w:lang w:val="en-GB" w:eastAsia="en-GB"/>
        </w:rPr>
        <w:lastRenderedPageBreak/>
        <w:t>significant after FDR correction. For all three SLDs, the highest ORs are found for ADHD and depression. The odds for depression appear comparable between the three SLD-domains (&lt;&lt;or_range_des&gt;&gt;). ADHD is more prevalent in cases of arithmetic (&lt;&lt;or_math_adhs&gt;&gt;) or spelling (&lt;&lt;or_spell_adhs&gt;&gt;) disorder, compared to reading disorder (&lt;&lt;or_read_adhs&gt;&gt;).</w:t>
      </w:r>
    </w:p>
    <w:p w14:paraId="1B5D2755" w14:textId="073C8B01" w:rsidR="008B5029" w:rsidRPr="00376CC5" w:rsidRDefault="008B5029" w:rsidP="008B5029">
      <w:pPr>
        <w:pStyle w:val="Heading2"/>
      </w:pPr>
      <w:r w:rsidRPr="008B5029">
        <w:t>Relationship Between the Number of SLDs and the Risk for Psychopathology</w:t>
      </w:r>
    </w:p>
    <w:p w14:paraId="387B893A"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risk for psychopathology increases with increasing number of SLDs. The trend tests show a significant positive trend for the rates of all four disorders (anxiety: &lt;&lt;trend_sign_sca&gt;&gt;; depression: &lt;&lt;trend_sign_des&gt;&gt;; ADHD: &lt;&lt;trend_sign_adhs&gt;&gt;; conduct disorder: &lt;&lt;trend_sign_ssv&gt;&gt;) over the three levels “no SLD”, “isolated SLD”, and “comorbid SLD”. The estimates for the trend indicate that the odds of having depression or ADHD increase by a factor of 2.5 per level (depression: &lt;&lt;trend_or_des&gt;&gt;; ADHD: &lt;&lt;trend_or_adhs&gt;&gt;). The estimates for anxiety (&lt;&lt;trend_or_sca&gt;&gt;) and conduct disorder (&lt;&lt;trend_or_ssv&gt;&gt;) indicate an increase in odds by around 50% per level.</w:t>
      </w:r>
    </w:p>
    <w:p w14:paraId="5F9C0625" w14:textId="764C4903" w:rsidR="00D537FA"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results of the post-hoc one-sided Fisher’s exact tests show that the occurrence of depression increases significantly over the three levels (no vs. isolated SLD: &lt;&lt;posthoc_12_des&gt;&gt;; isolated vs. comorbid SLD: &lt;&lt;posthoc_23_des&gt;&gt;). For the other three types of psychopathology, the trend is explained by a higher occurrence in children with an isolated SLD compared to no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psychopathologies with the number of SLDs.</w:t>
      </w:r>
    </w:p>
    <w:p w14:paraId="5EB2D67D" w14:textId="2D5ABB37" w:rsidR="008B5029" w:rsidRPr="00376CC5" w:rsidRDefault="008B5029" w:rsidP="008B5029">
      <w:pPr>
        <w:pStyle w:val="Heading2"/>
      </w:pPr>
      <w:r w:rsidRPr="008B5029">
        <w:t>Relationship Between the Number of SLDs and the Number of Psychopathologies</w:t>
      </w:r>
    </w:p>
    <w:p w14:paraId="5D46E6AE" w14:textId="163737B8"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Poisson regression model describing a child’s number of psychopathologies as a function of its number of SLDs shows a significant positive relationship between the two variables. The predicted number of psychopathologies for a child without SLD is about 0.5 (exponentiated intercept = &lt;&lt;poisson_intercept&gt;&gt;). The predicted number of psychopathologies increases by 66% when the number of SLDs increases by 1 (exponentiated slope = &lt;&lt;poisson_slope&gt;&gt;).</w:t>
      </w:r>
    </w:p>
    <w:p w14:paraId="03A4A2FD" w14:textId="6F0CD515" w:rsidR="008B5029" w:rsidRPr="00376CC5" w:rsidRDefault="008B5029" w:rsidP="008B5029">
      <w:pPr>
        <w:pStyle w:val="Heading1"/>
      </w:pPr>
      <w:r>
        <w:t>Discussion</w:t>
      </w:r>
    </w:p>
    <w:p w14:paraId="5FAB2E5C"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we explored the occurrence of anxiety, depression, ADHD, and conduct disorder in children with SLD in reading, spelling, and/or arithmetic skills. We inspected comorbidities between the different forms of psychopathology in children with SLD and differences between children with isolated vs. comorbid SLD in occurrence of psychopathology.</w:t>
      </w:r>
    </w:p>
    <w:p w14:paraId="451E6FE4"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results show that children with SLD more often had psychiatric disorders than children with no SLD. For children with any SLD the occurrence rates are &lt;&lt;perc_any_sca&gt;&gt;% (anxiety), &lt;&lt;perc_any_des&gt;&gt;% (depression), &lt;&lt;perc_any_adhs&gt;&gt;% (ADHD), and &lt;&lt;perc_any_ssv&gt;&gt;% (conduct disorder). ADHD is more prevalent in children with arithmetic or spelling disorder, compared to reading disorder. Conduct disorder was not associated with isolated reading disorder. Children who have SLD in multiple domains have both a higher risk of having a psychiatric disorder and on average a higher number of psychiatric disorders. </w:t>
      </w:r>
    </w:p>
    <w:p w14:paraId="3BB749F5"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higher risk of internalizing and externalizing problems in children with SLD is in line with the results of earlier studies (e.g. Willcutt et al., 2013). Whereas ADHD is often described as the most frequently occurring comorbidity in children with SLD (Sexton et al., 2012), we found similarly high comorbidity rates for depression. </w:t>
      </w:r>
    </w:p>
    <w:p w14:paraId="7A401F26" w14:textId="019D0477"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Earlier research (Willcutt et al., 2013) found an impact of ADHD on the relationship between SLD and other psychopathologies. In our study, we found children with, e.g., conduct disorder both with </w:t>
      </w:r>
      <w:r w:rsidRPr="008B5029">
        <w:rPr>
          <w:rFonts w:eastAsia="Times New Roman" w:cs="Times New Roman"/>
          <w:szCs w:val="24"/>
          <w:lang w:val="en-GB" w:eastAsia="en-GB"/>
        </w:rPr>
        <w:lastRenderedPageBreak/>
        <w:t>and without comorbid ADHD. ADHD does thus not always play a role in the comorbidity between SLD and conduct disorder. However, as we did not explicitly study moderation, we cannot rule out the existence of a moderating effect over the whole group. Contrary to Schuchardt et al. (2015),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psychopathology is consistent with the results of previous research (Fischbach et al., 2010; Willcutt et al., 2013).</w:t>
      </w:r>
    </w:p>
    <w:p w14:paraId="401DDA47" w14:textId="41A60D75" w:rsidR="008B5029" w:rsidRPr="00376CC5" w:rsidRDefault="008B5029" w:rsidP="008B5029">
      <w:pPr>
        <w:pStyle w:val="Heading2"/>
      </w:pPr>
      <w:r w:rsidRPr="008B5029">
        <w:t>Limitations and Directions for Future Research</w:t>
      </w:r>
    </w:p>
    <w:p w14:paraId="4BA5399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Even though our study had a large overall sample, the classification into the various groups resulted in relatively small group sizes. In the subsequent inferential statistical analysis, we used more general, and thus larger, classifications of SLDs to ensure sufficient power.</w:t>
      </w:r>
    </w:p>
    <w:p w14:paraId="1CA00C10"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Mothers with a high educational level, which could hint at high SES, were overrepresented in our sample. Both dyslexia (Peterson &amp; Pennington, 2015) and underachievement in math (Ramaa, 2014) might be more prevalent in children from low SES-families. Low parental education is also related to higher degrees of anxiety and depression in children (Merz, Tottenham, &amp; Noble, 2018) and may constitute a risk factor for children to develop ADHD (Gould, Coventry, Olson, &amp; Byrne, 2018; Russell, Ford, Williams, &amp; Russell, 2016) as well as conduct problems (Matthys &amp; Lochman, 2017). As SES seems related to both learning disorders and psychopathology, the overrepresentation of mothers with high educational background could have influenced the results. However, we cannot examine if and to what extend SES influenced our results, as we did not collect comprehensive demographic data regarding SES. To our knowledge, no research has yet been done on the influence of SES on the relationship between SLD and psychopathology, which we consider to be an important question for future research.</w:t>
      </w:r>
    </w:p>
    <w:p w14:paraId="42FB74FD"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Another point to keep in mind is the fact that we presented tests and questionnaires in a web-based application. Although the content is the same as in the original paper-pencil-versions, the validity of the online instruments and possible differences between writing and typing is still focus of ongoing research. The online format can be seen as a strength of the study as well, as it has made it possible to reach a large sample size and to include the motivational concept.</w:t>
      </w:r>
    </w:p>
    <w:p w14:paraId="43C3EA12"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our study focuses on the comorbidity between SLDs and psychopathology, which can be well studied using norms based on the study sample.</w:t>
      </w:r>
    </w:p>
    <w:p w14:paraId="55B7A744" w14:textId="77B4122F"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the choice for cut-offs to classify children as having or not having a specific SLD or psychopathology may have influenced the results. To avoid this influence, future research could analyze the relation between SLDs and psychopathology in a continuous manner. In addition, the identification of subgroups of children with specific combinations of SLDs and psychopathology could be a topic for future research. Future research using longitudinal designs is needed to identify the causal pathways leading to the comorbidities</w:t>
      </w:r>
      <w:r w:rsidR="003B707E">
        <w:rPr>
          <w:rFonts w:eastAsia="Times New Roman" w:cs="Times New Roman"/>
          <w:szCs w:val="24"/>
          <w:lang w:val="en-GB" w:eastAsia="en-GB"/>
        </w:rPr>
        <w:t>, which are still largely unknown (Hendren et al., 2018)</w:t>
      </w:r>
      <w:r w:rsidRPr="008B5029">
        <w:rPr>
          <w:rFonts w:eastAsia="Times New Roman" w:cs="Times New Roman"/>
          <w:szCs w:val="24"/>
          <w:lang w:val="en-GB" w:eastAsia="en-GB"/>
        </w:rPr>
        <w:t>. In addition, because of the relatively high comorbidity rate not only with psychopathology, but also between different SLDs, a relevant question for future research would be if domain-specific or cross-domain learning interventions are more effective.</w:t>
      </w:r>
    </w:p>
    <w:p w14:paraId="7D4D15B9" w14:textId="32C0C1D3" w:rsidR="008B5029" w:rsidRPr="00376CC5" w:rsidRDefault="008B5029" w:rsidP="008B5029">
      <w:pPr>
        <w:pStyle w:val="Heading2"/>
      </w:pPr>
      <w:r w:rsidRPr="008B5029">
        <w:t>Implications for Practice</w:t>
      </w:r>
    </w:p>
    <w:p w14:paraId="58CB1510"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lastRenderedPageBreak/>
        <w:t xml:space="preserve">Knowledge about the comorbidity between SLDs and anxiety, depression, ADHD, and conduct disorder has important implications for the support of children with SLD in daily praxis. For example, our results mean that children who are suspected or known to have an SLD should especially be screened for symptoms of depression and ADHD, even more so with learning difficulties in multiple domains. Teachers need to be trained in noticing learning as well as psychopathological problems in children in an early stage, so that intervention can prevent more severe problems. In addition, psychopathology should be taken into account when planning a learning intervention, because they might interfere with the effectiveness of the intervention, which is highest when optimally tailored to the child (Mascolo, Flanagan, &amp; Alfonso, 2014). </w:t>
      </w:r>
    </w:p>
    <w:p w14:paraId="01F3F197"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To give an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7FFF4FDA" w14:textId="0687DB1E"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Attention problems, impulsivity, and hyperactivity might also hinder the effectiveness of learning interventions. Children with ADHD often have difficulties to focus on quiet activities, especially when they know they are not good at them (e.g., in the area of their SLD). Positive reinforcement of the child is of great importance, e.g. in the form of token systems in SLD interventions with ADHD children. In summary, in both depression and ADHD, the interaction of psychotherapeutic methods and SLD intervention is imperative.</w:t>
      </w:r>
    </w:p>
    <w:p w14:paraId="369977B4" w14:textId="7021FF50" w:rsidR="008B5029" w:rsidRPr="00376CC5" w:rsidRDefault="008B5029" w:rsidP="008B5029">
      <w:pPr>
        <w:pStyle w:val="Heading2"/>
      </w:pPr>
      <w:r>
        <w:t>Conclusions</w:t>
      </w:r>
    </w:p>
    <w:p w14:paraId="0A14726C" w14:textId="6074ABC2" w:rsidR="000C7E2A" w:rsidRPr="00996D7D" w:rsidRDefault="008B5029" w:rsidP="00996D7D">
      <w:pPr>
        <w:spacing w:before="0" w:after="0"/>
        <w:rPr>
          <w:rFonts w:eastAsia="Times New Roman" w:cs="Times New Roman"/>
          <w:szCs w:val="24"/>
          <w:lang w:val="en-GB" w:eastAsia="en-GB"/>
        </w:rPr>
      </w:pPr>
      <w:r w:rsidRPr="008B5029">
        <w:rPr>
          <w:rFonts w:eastAsia="Times New Roman" w:cs="Times New Roman"/>
          <w:szCs w:val="24"/>
          <w:lang w:val="en-GB" w:eastAsia="en-GB"/>
        </w:rP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 These findings underline the relevance of detecting psychiatric comorbidities in children with SLD in order to provide the best possible support to affected children. Possibilities to implement psychotherapeutic methods in interventions for SLD are discussed.</w:t>
      </w:r>
    </w:p>
    <w:p w14:paraId="4D7649F0" w14:textId="77777777" w:rsidR="00CB43D5" w:rsidRDefault="00CB43D5" w:rsidP="00CB43D5">
      <w:pPr>
        <w:pStyle w:val="Heading1"/>
      </w:pPr>
      <w:r>
        <w:t>Conflict of Interest</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5BFA0696" w14:textId="4392863E" w:rsidR="00996D7D" w:rsidRPr="00045678" w:rsidRDefault="00F12536" w:rsidP="00265660">
      <w:r w:rsidRPr="00147EA5">
        <w:t xml:space="preserve">All authors </w:t>
      </w:r>
      <w:r w:rsidR="00996D7D" w:rsidRPr="00147EA5">
        <w:t>contributed</w:t>
      </w:r>
      <w:r w:rsidRPr="00147EA5">
        <w:t xml:space="preserve"> to the</w:t>
      </w:r>
      <w:r w:rsidR="00996D7D" w:rsidRPr="00147EA5">
        <w:t xml:space="preserve"> </w:t>
      </w:r>
      <w:r w:rsidRPr="00147EA5">
        <w:t>preparation</w:t>
      </w:r>
      <w:r w:rsidR="00996D7D" w:rsidRPr="00147EA5">
        <w:t xml:space="preserve"> of the study</w:t>
      </w:r>
      <w:r w:rsidRPr="00147EA5">
        <w:t xml:space="preserve"> and the data collection</w:t>
      </w:r>
      <w:r w:rsidR="00996D7D" w:rsidRPr="00147EA5">
        <w:t xml:space="preserve">; </w:t>
      </w:r>
      <w:r w:rsidRPr="00147EA5">
        <w:t>Janosch Linkersdörfer and Linda Visser performed the data preparation</w:t>
      </w:r>
      <w:r w:rsidR="00996D7D" w:rsidRPr="00147EA5">
        <w:t xml:space="preserve">; </w:t>
      </w:r>
      <w:r w:rsidRPr="00147EA5">
        <w:t>Janosch Linkersdörfer wrote the scripts for and executed the</w:t>
      </w:r>
      <w:r w:rsidR="00996D7D" w:rsidRPr="00147EA5">
        <w:t xml:space="preserve"> statistical analys</w:t>
      </w:r>
      <w:r w:rsidRPr="00147EA5">
        <w:t>e</w:t>
      </w:r>
      <w:r w:rsidR="00996D7D" w:rsidRPr="00147EA5">
        <w:t>s; Julia Kalmar and Linda Visser wrote the first draft of the manuscript; Janosch Linkersdörfer and Ruth Görgen wrote sections of the manuscript. All authors read and approved the submitted version.</w:t>
      </w:r>
    </w:p>
    <w:p w14:paraId="5722F5F5" w14:textId="77777777" w:rsidR="00AC3EA3" w:rsidRPr="00376CC5" w:rsidRDefault="00AC3EA3" w:rsidP="00A53000">
      <w:pPr>
        <w:pStyle w:val="Heading1"/>
      </w:pPr>
      <w:r w:rsidRPr="00376CC5">
        <w:t>Funding</w:t>
      </w:r>
    </w:p>
    <w:p w14:paraId="7342A04E" w14:textId="657A9226" w:rsidR="00AC3EA3" w:rsidRPr="00376CC5" w:rsidRDefault="00416E7B" w:rsidP="00AC3EA3">
      <w:pPr>
        <w:rPr>
          <w:szCs w:val="24"/>
        </w:rPr>
      </w:pPr>
      <w:r w:rsidRPr="00416E7B">
        <w:rPr>
          <w:szCs w:val="24"/>
        </w:rPr>
        <w:t>This work was supported by the German Federal Ministry of Education and Research (BMBF) [grant numbers 01GJ1601A and 01GJ1601B].</w:t>
      </w:r>
    </w:p>
    <w:p w14:paraId="28720821" w14:textId="7595A68C" w:rsidR="00AC3EA3" w:rsidRPr="00376CC5" w:rsidRDefault="00AC3EA3" w:rsidP="00AC3EA3">
      <w:pPr>
        <w:pStyle w:val="Heading1"/>
      </w:pPr>
      <w:r w:rsidRPr="00376CC5">
        <w:t>Reference</w:t>
      </w:r>
      <w:r w:rsidR="00E2585F">
        <w:t>s</w:t>
      </w:r>
    </w:p>
    <w:p w14:paraId="64A4236B" w14:textId="77777777" w:rsidR="00E2585F" w:rsidRPr="00981159" w:rsidRDefault="00E2585F" w:rsidP="00E2585F">
      <w:pPr>
        <w:pStyle w:val="Bibliography"/>
        <w:spacing w:line="240" w:lineRule="auto"/>
        <w:ind w:left="426" w:hanging="426"/>
        <w:jc w:val="left"/>
      </w:pPr>
      <w:r w:rsidRPr="00981159">
        <w:lastRenderedPageBreak/>
        <w:t xml:space="preserve">American Psychiatric Association. (2013). </w:t>
      </w:r>
      <w:r w:rsidRPr="00981159">
        <w:rPr>
          <w:i/>
          <w:iCs/>
        </w:rPr>
        <w:t>Diagnostic and Statistical Manual of Mental Disorders (DSM) 5</w:t>
      </w:r>
      <w:r w:rsidRPr="00981159">
        <w:t>. Washington DC: American Psychiatric Association.</w:t>
      </w:r>
    </w:p>
    <w:p w14:paraId="07EFAC25" w14:textId="77777777" w:rsidR="00E2585F" w:rsidRPr="0007150A" w:rsidRDefault="00E2585F" w:rsidP="00E2585F">
      <w:pPr>
        <w:pStyle w:val="Bibliography"/>
        <w:spacing w:line="240" w:lineRule="auto"/>
        <w:ind w:left="426" w:hanging="426"/>
        <w:jc w:val="left"/>
        <w:rPr>
          <w:lang w:val="de-DE"/>
        </w:rPr>
      </w:pPr>
      <w:r w:rsidRPr="00981159">
        <w:t xml:space="preserve">Benjamini, Y., &amp; Yekutieli, D. (2001). The control of the false discovery rate in multiple testing under dependency. </w:t>
      </w:r>
      <w:r w:rsidRPr="0007150A">
        <w:rPr>
          <w:i/>
          <w:iCs/>
          <w:lang w:val="de-DE"/>
        </w:rPr>
        <w:t>The Annals of Statistics</w:t>
      </w:r>
      <w:r w:rsidRPr="0007150A">
        <w:rPr>
          <w:lang w:val="de-DE"/>
        </w:rPr>
        <w:t xml:space="preserve">, </w:t>
      </w:r>
      <w:r w:rsidRPr="0007150A">
        <w:rPr>
          <w:i/>
          <w:iCs/>
          <w:lang w:val="de-DE"/>
        </w:rPr>
        <w:t>29</w:t>
      </w:r>
      <w:r w:rsidRPr="0007150A">
        <w:rPr>
          <w:lang w:val="de-DE"/>
        </w:rPr>
        <w:t xml:space="preserve">(4), 1165–1188. </w:t>
      </w:r>
    </w:p>
    <w:p w14:paraId="10ABCCFA"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Birkel, P. (2007a). </w:t>
      </w:r>
      <w:r w:rsidRPr="0007150A">
        <w:rPr>
          <w:i/>
          <w:iCs/>
          <w:lang w:val="de-DE"/>
        </w:rPr>
        <w:t>WRT 3+ Weingartener Grundwortschatz Rechtschreib-Test für dritte und vierte Klassen</w:t>
      </w:r>
      <w:r w:rsidRPr="0007150A">
        <w:rPr>
          <w:lang w:val="de-DE"/>
        </w:rPr>
        <w:t>. Göttingen: Hogrefe.</w:t>
      </w:r>
    </w:p>
    <w:p w14:paraId="29E35BE1" w14:textId="77777777" w:rsidR="00E2585F" w:rsidRPr="00981159" w:rsidRDefault="00E2585F" w:rsidP="00E2585F">
      <w:pPr>
        <w:pStyle w:val="Bibliography"/>
        <w:spacing w:line="240" w:lineRule="auto"/>
        <w:ind w:left="426" w:hanging="426"/>
        <w:jc w:val="left"/>
      </w:pPr>
      <w:r w:rsidRPr="0007150A">
        <w:rPr>
          <w:lang w:val="de-DE"/>
        </w:rPr>
        <w:t xml:space="preserve">Birkel, P. (2007b). </w:t>
      </w:r>
      <w:r w:rsidRPr="0007150A">
        <w:rPr>
          <w:i/>
          <w:iCs/>
          <w:lang w:val="de-DE"/>
        </w:rPr>
        <w:t>WRT 4+ Weingartener Grundwortschatz Rechtschreib-Test für vierte und fünfte Klassen</w:t>
      </w:r>
      <w:r w:rsidRPr="0007150A">
        <w:rPr>
          <w:lang w:val="de-DE"/>
        </w:rPr>
        <w:t xml:space="preserve">. </w:t>
      </w:r>
      <w:r w:rsidRPr="00981159">
        <w:t>Göttingen: Hogrefe.</w:t>
      </w:r>
    </w:p>
    <w:p w14:paraId="12487E0A" w14:textId="77777777" w:rsidR="00E2585F" w:rsidRPr="005C0E9F" w:rsidRDefault="00E2585F" w:rsidP="00E2585F">
      <w:pPr>
        <w:pStyle w:val="Bibliography"/>
        <w:spacing w:line="240" w:lineRule="auto"/>
        <w:ind w:left="426" w:hanging="426"/>
        <w:jc w:val="left"/>
        <w:rPr>
          <w:lang w:val="de-DE"/>
        </w:rPr>
      </w:pPr>
      <w:r w:rsidRPr="00981159">
        <w:t xml:space="preserve">Carroll, J. M., Maughan, B., Goodman, R., &amp; Meltzer, H. (2005). Literacy difficulties and psychiatric disorders: evidence for comorbidity. </w:t>
      </w:r>
      <w:r w:rsidRPr="005C0E9F">
        <w:rPr>
          <w:i/>
          <w:iCs/>
          <w:lang w:val="de-DE"/>
        </w:rPr>
        <w:t>Journal of Child Psychology and Psychiatry, and Allied Disciplines</w:t>
      </w:r>
      <w:r w:rsidRPr="005C0E9F">
        <w:rPr>
          <w:lang w:val="de-DE"/>
        </w:rPr>
        <w:t xml:space="preserve">, </w:t>
      </w:r>
      <w:r w:rsidRPr="005C0E9F">
        <w:rPr>
          <w:i/>
          <w:iCs/>
          <w:lang w:val="de-DE"/>
        </w:rPr>
        <w:t>46</w:t>
      </w:r>
      <w:r w:rsidRPr="005C0E9F">
        <w:rPr>
          <w:lang w:val="de-DE"/>
        </w:rPr>
        <w:t xml:space="preserve">(5), 524–532. </w:t>
      </w:r>
    </w:p>
    <w:p w14:paraId="0217FB10" w14:textId="77777777" w:rsidR="00E2585F" w:rsidRPr="0007150A" w:rsidRDefault="00E2585F" w:rsidP="00E2585F">
      <w:pPr>
        <w:pStyle w:val="Bibliography"/>
        <w:spacing w:line="240" w:lineRule="auto"/>
        <w:ind w:left="426" w:hanging="426"/>
        <w:jc w:val="left"/>
        <w:rPr>
          <w:lang w:val="de-DE"/>
        </w:rPr>
      </w:pPr>
      <w:r w:rsidRPr="0007150A">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6D07357B"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Döpfner, M., Görtz-Dorten, A., &amp; Lehmkuhl, G. (2008). </w:t>
      </w:r>
      <w:r w:rsidRPr="0007150A">
        <w:rPr>
          <w:i/>
          <w:iCs/>
          <w:lang w:val="de-DE"/>
        </w:rPr>
        <w:t>DISYPS-II Diagnostik-System für psychische Störungen nach ICD-10 und DSM-IV für Kinder und Jugendliche - II</w:t>
      </w:r>
      <w:r w:rsidRPr="0007150A">
        <w:rPr>
          <w:lang w:val="de-DE"/>
        </w:rPr>
        <w:t>. Bern: Verlag Hans Huber.</w:t>
      </w:r>
    </w:p>
    <w:p w14:paraId="489B9105" w14:textId="77777777" w:rsidR="00E2585F" w:rsidRPr="00981159" w:rsidRDefault="00E2585F" w:rsidP="00E2585F">
      <w:pPr>
        <w:pStyle w:val="Bibliography"/>
        <w:spacing w:line="240" w:lineRule="auto"/>
        <w:ind w:left="426" w:hanging="426"/>
        <w:jc w:val="left"/>
      </w:pPr>
      <w:r w:rsidRPr="005C0E9F">
        <w:rPr>
          <w:lang w:val="de-DE"/>
        </w:rPr>
        <w:t xml:space="preserve">Essau, C. A., Muris, P., &amp; Ederer, E. M. (2002). </w:t>
      </w:r>
      <w:r w:rsidRPr="00981159">
        <w:t xml:space="preserve">Reliability and validity of the Spence Children’s Anxiety Scale and the Screen for Child Anxiety Related Emotional Disorders in German children. </w:t>
      </w:r>
      <w:r w:rsidRPr="00981159">
        <w:rPr>
          <w:i/>
          <w:iCs/>
        </w:rPr>
        <w:t>Journal of Behavior Therapy and Experimental Psychiatry</w:t>
      </w:r>
      <w:r w:rsidRPr="00981159">
        <w:t xml:space="preserve">, </w:t>
      </w:r>
      <w:r w:rsidRPr="00981159">
        <w:rPr>
          <w:i/>
          <w:iCs/>
        </w:rPr>
        <w:t>33</w:t>
      </w:r>
      <w:r w:rsidRPr="00981159">
        <w:t>(1), 1–18.</w:t>
      </w:r>
    </w:p>
    <w:p w14:paraId="1317356D" w14:textId="77777777" w:rsidR="00E2585F" w:rsidRPr="00981159" w:rsidRDefault="00E2585F" w:rsidP="00E2585F">
      <w:pPr>
        <w:pStyle w:val="Bibliography"/>
        <w:spacing w:line="240" w:lineRule="auto"/>
        <w:ind w:left="426" w:hanging="426"/>
        <w:jc w:val="left"/>
      </w:pPr>
      <w:r w:rsidRPr="00981159">
        <w:t xml:space="preserve">Fagerland, M., Lydersen, S., &amp; Laake, P. (2017). </w:t>
      </w:r>
      <w:r w:rsidRPr="00981159">
        <w:rPr>
          <w:i/>
          <w:iCs/>
        </w:rPr>
        <w:t>Statistical analysis of contingency tables</w:t>
      </w:r>
      <w:r w:rsidRPr="00981159">
        <w:t>. London: Chapman and Hall.</w:t>
      </w:r>
    </w:p>
    <w:p w14:paraId="7C694A72"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Fagerland, M. W., &amp; Newcombe, R. G. (2013). </w:t>
      </w:r>
      <w:r w:rsidRPr="00981159">
        <w:t xml:space="preserve">Confidence intervals for odds ratio and relative risk based on the inverse hyperbolic sine transformation. </w:t>
      </w:r>
      <w:r w:rsidRPr="0007150A">
        <w:rPr>
          <w:i/>
          <w:iCs/>
          <w:lang w:val="de-DE"/>
        </w:rPr>
        <w:t>Statistics in Medicine</w:t>
      </w:r>
      <w:r w:rsidRPr="0007150A">
        <w:rPr>
          <w:lang w:val="de-DE"/>
        </w:rPr>
        <w:t xml:space="preserve">, </w:t>
      </w:r>
      <w:r w:rsidRPr="0007150A">
        <w:rPr>
          <w:i/>
          <w:iCs/>
          <w:lang w:val="de-DE"/>
        </w:rPr>
        <w:t>32</w:t>
      </w:r>
      <w:r w:rsidRPr="0007150A">
        <w:rPr>
          <w:lang w:val="de-DE"/>
        </w:rPr>
        <w:t xml:space="preserve">(16), 2823–2836. </w:t>
      </w:r>
    </w:p>
    <w:p w14:paraId="6E59EBED"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Fischbach, A., Schuchardt, K., Mähler, C., &amp; Hasselhorn, M. (2010). Zeigen Kinder mit schulischen Minderleistungen sozio-emotionale Auffälligkeiten? </w:t>
      </w:r>
      <w:r w:rsidRPr="0007150A">
        <w:rPr>
          <w:i/>
          <w:iCs/>
          <w:lang w:val="de-DE"/>
        </w:rPr>
        <w:t>Zeitschrift Für Entwicklungspsychologie Und Pädagogische Psychologie</w:t>
      </w:r>
      <w:r w:rsidRPr="0007150A">
        <w:rPr>
          <w:lang w:val="de-DE"/>
        </w:rPr>
        <w:t xml:space="preserve">, </w:t>
      </w:r>
      <w:r w:rsidRPr="0007150A">
        <w:rPr>
          <w:i/>
          <w:iCs/>
          <w:lang w:val="de-DE"/>
        </w:rPr>
        <w:t>42</w:t>
      </w:r>
      <w:r w:rsidRPr="0007150A">
        <w:rPr>
          <w:lang w:val="de-DE"/>
        </w:rPr>
        <w:t xml:space="preserve">(4), 201–210. </w:t>
      </w:r>
    </w:p>
    <w:p w14:paraId="0ABCCE53" w14:textId="77777777" w:rsidR="00E2585F" w:rsidRPr="00981159" w:rsidRDefault="00E2585F" w:rsidP="00E2585F">
      <w:pPr>
        <w:pStyle w:val="Bibliography"/>
        <w:spacing w:line="240" w:lineRule="auto"/>
        <w:ind w:left="426" w:hanging="426"/>
        <w:jc w:val="left"/>
      </w:pPr>
      <w:r w:rsidRPr="00981159">
        <w:t xml:space="preserve">Fortes, I. S., Paula, C. S., Oliveira, M. C., Bordin, I. A., de Jesus Mari, J., &amp; Rohde, L. A. (2016). A cross-sectional study to assess the prevalence of DSM-5 specific learning disorders in representative school samples from the second to sixth grade in Brazil. </w:t>
      </w:r>
      <w:r w:rsidRPr="00981159">
        <w:rPr>
          <w:i/>
          <w:iCs/>
        </w:rPr>
        <w:t>European Child &amp; Adolescent Psychiatry</w:t>
      </w:r>
      <w:r w:rsidRPr="00981159">
        <w:t xml:space="preserve">, </w:t>
      </w:r>
      <w:r w:rsidRPr="00981159">
        <w:rPr>
          <w:i/>
          <w:iCs/>
        </w:rPr>
        <w:t>25</w:t>
      </w:r>
      <w:r w:rsidRPr="00981159">
        <w:t xml:space="preserve">(2), 195–207. </w:t>
      </w:r>
    </w:p>
    <w:p w14:paraId="0843F6EF"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Galuschka, K., &amp; Schulte-Körne, G. (2016). </w:t>
      </w:r>
      <w:r w:rsidRPr="00981159">
        <w:t xml:space="preserve">The diagnosis and treatment of reading and/or spelling disorders in children and adolescents. </w:t>
      </w:r>
      <w:r w:rsidRPr="0007150A">
        <w:rPr>
          <w:i/>
          <w:iCs/>
          <w:lang w:val="de-DE"/>
        </w:rPr>
        <w:t>Deutsches Ärzteblatt International</w:t>
      </w:r>
      <w:r w:rsidRPr="0007150A">
        <w:rPr>
          <w:lang w:val="de-DE"/>
        </w:rPr>
        <w:t xml:space="preserve">, </w:t>
      </w:r>
      <w:r w:rsidRPr="0007150A">
        <w:rPr>
          <w:i/>
          <w:iCs/>
          <w:lang w:val="de-DE"/>
        </w:rPr>
        <w:t>113</w:t>
      </w:r>
      <w:r w:rsidRPr="0007150A">
        <w:rPr>
          <w:lang w:val="de-DE"/>
        </w:rPr>
        <w:t xml:space="preserve">(16), 279–286. </w:t>
      </w:r>
    </w:p>
    <w:p w14:paraId="3264EBD1" w14:textId="77777777" w:rsidR="00E2585F" w:rsidRPr="00981159" w:rsidRDefault="00E2585F" w:rsidP="00E2585F">
      <w:pPr>
        <w:pStyle w:val="Bibliography"/>
        <w:spacing w:line="240" w:lineRule="auto"/>
        <w:ind w:left="426" w:hanging="426"/>
        <w:jc w:val="left"/>
      </w:pPr>
      <w:r w:rsidRPr="00BC7AF1">
        <w:rPr>
          <w:lang w:val="de-DE"/>
        </w:rPr>
        <w:t xml:space="preserve">Goldston, D. B., Walsh, A., Mayfield Arnold, E., Reboussin, B., Sergent Daniel, S., Erkanli, A., … </w:t>
      </w:r>
      <w:r w:rsidRPr="005C0E9F">
        <w:t xml:space="preserve">Wood, F. B. (2007). </w:t>
      </w:r>
      <w:r w:rsidRPr="00981159">
        <w:t xml:space="preserve">Reading problems, psychiatric disorders, and functional impairment from mid- to late adolescence. </w:t>
      </w:r>
      <w:r w:rsidRPr="00981159">
        <w:rPr>
          <w:i/>
          <w:iCs/>
        </w:rPr>
        <w:t>Journal of the American Academy of Child and Adolescent Psychiatry</w:t>
      </w:r>
      <w:r w:rsidRPr="00981159">
        <w:t xml:space="preserve">, </w:t>
      </w:r>
      <w:r w:rsidRPr="00981159">
        <w:rPr>
          <w:i/>
          <w:iCs/>
        </w:rPr>
        <w:t>46</w:t>
      </w:r>
      <w:r w:rsidRPr="00981159">
        <w:t xml:space="preserve">(1), 25–32. </w:t>
      </w:r>
    </w:p>
    <w:p w14:paraId="64B78538" w14:textId="77777777" w:rsidR="00E2585F" w:rsidRPr="00981159" w:rsidRDefault="00E2585F" w:rsidP="00E2585F">
      <w:pPr>
        <w:pStyle w:val="Bibliography"/>
        <w:spacing w:line="240" w:lineRule="auto"/>
        <w:ind w:left="426" w:hanging="426"/>
        <w:jc w:val="left"/>
      </w:pPr>
      <w:r w:rsidRPr="00981159">
        <w:t xml:space="preserve">Gould, K. L., Coventry, W. L., Olson, R. K., &amp; Byrne, B. (2018). Gene-environment interactions in ADHD: the roles of SES and chaos. </w:t>
      </w:r>
      <w:r w:rsidRPr="00981159">
        <w:rPr>
          <w:i/>
          <w:iCs/>
        </w:rPr>
        <w:t>Journal of Abnormal Child Psychology</w:t>
      </w:r>
      <w:r w:rsidRPr="00981159">
        <w:t xml:space="preserve">, </w:t>
      </w:r>
      <w:r w:rsidRPr="00981159">
        <w:rPr>
          <w:i/>
          <w:iCs/>
        </w:rPr>
        <w:t>46</w:t>
      </w:r>
      <w:r w:rsidRPr="00981159">
        <w:t xml:space="preserve">(2), 251–263. </w:t>
      </w:r>
    </w:p>
    <w:p w14:paraId="6F7E9C71"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Graefen, J., Kohn, J., Wyschkon, A., &amp; Esser, G. (2015). </w:t>
      </w:r>
      <w:r w:rsidRPr="00981159">
        <w:t xml:space="preserve">Internalizing problems in children and adolescents with math disability. </w:t>
      </w:r>
      <w:r w:rsidRPr="0007150A">
        <w:rPr>
          <w:i/>
          <w:iCs/>
          <w:lang w:val="de-DE"/>
        </w:rPr>
        <w:t>Zeitschrift Für Psychologie</w:t>
      </w:r>
      <w:r w:rsidRPr="0007150A">
        <w:rPr>
          <w:lang w:val="de-DE"/>
        </w:rPr>
        <w:t xml:space="preserve">, </w:t>
      </w:r>
      <w:r w:rsidRPr="0007150A">
        <w:rPr>
          <w:i/>
          <w:iCs/>
          <w:lang w:val="de-DE"/>
        </w:rPr>
        <w:t>223</w:t>
      </w:r>
      <w:r w:rsidRPr="0007150A">
        <w:rPr>
          <w:lang w:val="de-DE"/>
        </w:rPr>
        <w:t xml:space="preserve">(2), 93–101. </w:t>
      </w:r>
    </w:p>
    <w:p w14:paraId="674498DA" w14:textId="77777777" w:rsidR="00E2585F" w:rsidRPr="00981159" w:rsidRDefault="00E2585F" w:rsidP="00E2585F">
      <w:pPr>
        <w:pStyle w:val="Bibliography"/>
        <w:spacing w:line="240" w:lineRule="auto"/>
        <w:ind w:left="426" w:hanging="426"/>
        <w:jc w:val="left"/>
      </w:pPr>
      <w:r w:rsidRPr="00B22B20">
        <w:rPr>
          <w:lang w:val="de-DE"/>
        </w:rPr>
        <w:t xml:space="preserve">Harris, P. A., Taylor, R., Thielke, R., Payne, J., Gonzalez, N., &amp; Conde, J. G. (2009). </w:t>
      </w:r>
      <w:r w:rsidRPr="00981159">
        <w:t xml:space="preserve">Research electronic data capture (REDCap)--a metadata-driven methodology and workflow process for providing translational research informatics support. </w:t>
      </w:r>
      <w:r w:rsidRPr="00981159">
        <w:rPr>
          <w:i/>
          <w:iCs/>
        </w:rPr>
        <w:t>Journal of Biomedical Informatics</w:t>
      </w:r>
      <w:r w:rsidRPr="00981159">
        <w:t xml:space="preserve">, </w:t>
      </w:r>
      <w:r w:rsidRPr="00981159">
        <w:rPr>
          <w:i/>
          <w:iCs/>
        </w:rPr>
        <w:t>42</w:t>
      </w:r>
      <w:r w:rsidRPr="00981159">
        <w:t>(2), 377–381.</w:t>
      </w:r>
    </w:p>
    <w:p w14:paraId="41BD3E75" w14:textId="7BB6A1F1" w:rsidR="003B707E" w:rsidRDefault="003B707E" w:rsidP="003B707E">
      <w:pPr>
        <w:pStyle w:val="Bibliography"/>
        <w:spacing w:line="240" w:lineRule="auto"/>
        <w:ind w:left="426" w:hanging="426"/>
        <w:jc w:val="left"/>
      </w:pPr>
      <w:r>
        <w:t xml:space="preserve">Hendren, R.L., Haft, S.L., Black, J.M., White, N.C., &amp; Hoeft, F. (2018). Recognizing psychiatric comorbidity with reading disorders. </w:t>
      </w:r>
      <w:r w:rsidRPr="003B707E">
        <w:rPr>
          <w:i/>
        </w:rPr>
        <w:t>Frontiers in Psychiatry, 9</w:t>
      </w:r>
      <w:r>
        <w:t xml:space="preserve"> (101), 1-10. doi: 10.3389/fpsyt.2018.00101</w:t>
      </w:r>
    </w:p>
    <w:p w14:paraId="4DA8E27F" w14:textId="1411E0DA" w:rsidR="00E2585F" w:rsidRPr="00981159" w:rsidRDefault="00E2585F" w:rsidP="00DC3418">
      <w:pPr>
        <w:pStyle w:val="Bibliography"/>
        <w:spacing w:line="240" w:lineRule="auto"/>
        <w:ind w:left="425" w:hanging="425"/>
        <w:jc w:val="left"/>
      </w:pPr>
      <w:r w:rsidRPr="00981159">
        <w:lastRenderedPageBreak/>
        <w:t xml:space="preserve">Jaro, M. A. (1989). Advances in Record-Linkage Methodology as Applied to Matching the 1985 Census of Tampa, Florida. </w:t>
      </w:r>
      <w:r w:rsidRPr="00981159">
        <w:rPr>
          <w:i/>
          <w:iCs/>
        </w:rPr>
        <w:t>Journal of the American Statistical Association</w:t>
      </w:r>
      <w:r w:rsidRPr="00981159">
        <w:t xml:space="preserve">, </w:t>
      </w:r>
      <w:r w:rsidRPr="00981159">
        <w:rPr>
          <w:i/>
          <w:iCs/>
        </w:rPr>
        <w:t>84</w:t>
      </w:r>
      <w:r w:rsidRPr="00981159">
        <w:t xml:space="preserve">(406), 414–420. </w:t>
      </w:r>
    </w:p>
    <w:p w14:paraId="63061347"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Kuhn, J.-T., Schwenk, C., Raddatz, J., Dobel, C., &amp; Holling, H. (2017). </w:t>
      </w:r>
      <w:r w:rsidRPr="0007150A">
        <w:rPr>
          <w:i/>
          <w:iCs/>
          <w:lang w:val="de-DE"/>
        </w:rPr>
        <w:t>CODY-Mathetest Mathematiktest für die 2. bis 4. Klasse</w:t>
      </w:r>
      <w:r w:rsidRPr="0007150A">
        <w:rPr>
          <w:lang w:val="de-DE"/>
        </w:rPr>
        <w:t>. Düsseldorf: Kaasa Health.</w:t>
      </w:r>
    </w:p>
    <w:p w14:paraId="7B1E6F45" w14:textId="77777777" w:rsidR="00E2585F" w:rsidRPr="00981159" w:rsidRDefault="00E2585F" w:rsidP="00E2585F">
      <w:pPr>
        <w:pStyle w:val="Bibliography"/>
        <w:spacing w:line="240" w:lineRule="auto"/>
        <w:ind w:left="426" w:hanging="426"/>
        <w:jc w:val="left"/>
      </w:pPr>
      <w:r w:rsidRPr="00B22B20">
        <w:rPr>
          <w:lang w:val="de-DE"/>
        </w:rPr>
        <w:t xml:space="preserve">Lex, A., Gehlenborg, N., Strobelt, H., Vuillemot, R., &amp; Pfister, H. (2014). </w:t>
      </w:r>
      <w:r w:rsidRPr="00981159">
        <w:t xml:space="preserve">UpSet: visualization of intersecting sets. </w:t>
      </w:r>
      <w:r w:rsidRPr="00981159">
        <w:rPr>
          <w:i/>
          <w:iCs/>
        </w:rPr>
        <w:t>IEEE Transactions on Visualization and Computer Graphics</w:t>
      </w:r>
      <w:r w:rsidRPr="00981159">
        <w:t xml:space="preserve">, </w:t>
      </w:r>
      <w:r w:rsidRPr="00981159">
        <w:rPr>
          <w:i/>
          <w:iCs/>
        </w:rPr>
        <w:t>20</w:t>
      </w:r>
      <w:r w:rsidRPr="00981159">
        <w:t xml:space="preserve">(12), 1983–1992. </w:t>
      </w:r>
    </w:p>
    <w:p w14:paraId="34F9EF0D" w14:textId="77777777" w:rsidR="005C0E9F" w:rsidRDefault="005C0E9F" w:rsidP="005C0E9F">
      <w:pPr>
        <w:pStyle w:val="Bibliography"/>
        <w:spacing w:line="240" w:lineRule="auto"/>
        <w:ind w:left="426" w:hanging="426"/>
        <w:jc w:val="left"/>
        <w:rPr>
          <w:lang w:val="de-DE"/>
        </w:rPr>
      </w:pPr>
      <w:r w:rsidRPr="005C0E9F">
        <w:t xml:space="preserve">[Dataset] </w:t>
      </w:r>
      <w:r w:rsidRPr="00925457">
        <w:t>Linkersdörfer, J, &amp; Visser, L.</w:t>
      </w:r>
      <w:r w:rsidRPr="001A0AD9">
        <w:t xml:space="preserve"> </w:t>
      </w:r>
      <w:r w:rsidRPr="005C0E9F">
        <w:t xml:space="preserve">(2019). </w:t>
      </w:r>
      <w:r w:rsidRPr="005C0E9F">
        <w:rPr>
          <w:i/>
        </w:rPr>
        <w:t>Comorbidities between specific learning disorders and psychopathology.</w:t>
      </w:r>
      <w:r w:rsidRPr="005C0E9F">
        <w:t xml:space="preserve"> </w:t>
      </w:r>
      <w:r w:rsidRPr="00043A8A">
        <w:rPr>
          <w:lang w:val="de-DE"/>
        </w:rPr>
        <w:t xml:space="preserve">Open Science Framework. </w:t>
      </w:r>
      <w:r w:rsidRPr="00147EA5">
        <w:rPr>
          <w:lang w:val="de-DE"/>
        </w:rPr>
        <w:t>Version 4. doi: 10.17605/OSF.IO/9MXP2</w:t>
      </w:r>
    </w:p>
    <w:p w14:paraId="599F9A28" w14:textId="35619DC8" w:rsidR="00E2585F" w:rsidRPr="00B22B20" w:rsidRDefault="00E2585F" w:rsidP="00E2585F">
      <w:pPr>
        <w:pStyle w:val="Bibliography"/>
        <w:spacing w:line="240" w:lineRule="auto"/>
        <w:ind w:left="426" w:hanging="426"/>
        <w:jc w:val="left"/>
        <w:rPr>
          <w:lang w:val="de-DE"/>
        </w:rPr>
      </w:pPr>
      <w:r w:rsidRPr="0007150A">
        <w:rPr>
          <w:lang w:val="de-DE"/>
        </w:rPr>
        <w:t xml:space="preserve">Mähler, C., &amp; Schuchardt, K. (2012). </w:t>
      </w:r>
      <w:r w:rsidRPr="0007150A">
        <w:rPr>
          <w:i/>
          <w:iCs/>
          <w:lang w:val="de-DE"/>
        </w:rPr>
        <w:t>Die Bedeutung der Funktionstüchtigkeit des Arbeitsgedächtnisses für Differenzialdiagnostik von Lernstörungen</w:t>
      </w:r>
      <w:r w:rsidRPr="0007150A">
        <w:rPr>
          <w:lang w:val="de-DE"/>
        </w:rPr>
        <w:t xml:space="preserve">. </w:t>
      </w:r>
      <w:r w:rsidRPr="00B22B20">
        <w:rPr>
          <w:lang w:val="de-DE"/>
        </w:rPr>
        <w:t>(M. Hasselhorn &amp; C. Zoelch, Eds.). Göttingen: Hogrefe.</w:t>
      </w:r>
    </w:p>
    <w:p w14:paraId="5AE9E68B" w14:textId="77777777" w:rsidR="00E2585F" w:rsidRPr="00981159" w:rsidRDefault="00E2585F" w:rsidP="00E2585F">
      <w:pPr>
        <w:pStyle w:val="Bibliography"/>
        <w:spacing w:line="240" w:lineRule="auto"/>
        <w:ind w:left="426" w:hanging="426"/>
        <w:jc w:val="left"/>
      </w:pPr>
      <w:r w:rsidRPr="00B22B20">
        <w:rPr>
          <w:lang w:val="de-DE"/>
        </w:rPr>
        <w:t xml:space="preserve">Mascolo, J. T., Flanagan, D. P., &amp; Alfonso, V. C. (2014). </w:t>
      </w:r>
      <w:r w:rsidRPr="00981159">
        <w:rPr>
          <w:i/>
          <w:iCs/>
        </w:rPr>
        <w:t>Essentials of planning, selecting, and tailoring interventions for unique learners. Essentials of psychological assessment.</w:t>
      </w:r>
      <w:r w:rsidRPr="00981159">
        <w:t xml:space="preserve"> Hoboken: John Wiley &amp; Sons.</w:t>
      </w:r>
    </w:p>
    <w:p w14:paraId="5A3E3F8E" w14:textId="77777777" w:rsidR="00E2585F" w:rsidRPr="00981159" w:rsidRDefault="00E2585F" w:rsidP="00E2585F">
      <w:pPr>
        <w:pStyle w:val="Bibliography"/>
        <w:spacing w:line="240" w:lineRule="auto"/>
        <w:ind w:left="426" w:hanging="426"/>
        <w:jc w:val="left"/>
      </w:pPr>
      <w:r w:rsidRPr="00981159">
        <w:t xml:space="preserve">Matthys, W., &amp; Lochman, J. E. (2017). </w:t>
      </w:r>
      <w:r w:rsidRPr="00981159">
        <w:rPr>
          <w:i/>
          <w:iCs/>
        </w:rPr>
        <w:t>Oppositional defiant disorder and conduct disorder in childhood</w:t>
      </w:r>
      <w:r w:rsidRPr="00981159">
        <w:t>. Hoboken: Wiley Blackwell.</w:t>
      </w:r>
    </w:p>
    <w:p w14:paraId="21191B5B" w14:textId="77777777" w:rsidR="00E2585F" w:rsidRPr="00981159" w:rsidRDefault="00E2585F" w:rsidP="00E2585F">
      <w:pPr>
        <w:pStyle w:val="Bibliography"/>
        <w:spacing w:line="240" w:lineRule="auto"/>
        <w:ind w:left="426" w:hanging="426"/>
        <w:jc w:val="left"/>
      </w:pPr>
      <w:r w:rsidRPr="00BC7AF1">
        <w:rPr>
          <w:lang w:val="en-GB"/>
        </w:rPr>
        <w:t xml:space="preserve">Merz, E. C., Tottenham, N., &amp; Noble, K. G. (2018). </w:t>
      </w:r>
      <w:r w:rsidRPr="00981159">
        <w:t xml:space="preserve">Socioeconomic status, amygdala volume, and internalizing symptoms in children and adolescents. </w:t>
      </w:r>
      <w:r w:rsidRPr="00981159">
        <w:rPr>
          <w:i/>
          <w:iCs/>
        </w:rPr>
        <w:t>Journal of Clinical Child and Adolescent Psychology: The Official Journal for the Society of Clinical Child and Adolescent Psychology, American Psychological Association, Division 53</w:t>
      </w:r>
      <w:r w:rsidRPr="00981159">
        <w:t xml:space="preserve">, </w:t>
      </w:r>
      <w:r w:rsidRPr="00981159">
        <w:rPr>
          <w:i/>
          <w:iCs/>
        </w:rPr>
        <w:t>47</w:t>
      </w:r>
      <w:r w:rsidRPr="00981159">
        <w:t xml:space="preserve">(2), 312–323. </w:t>
      </w:r>
    </w:p>
    <w:p w14:paraId="5B3B33B2" w14:textId="77777777" w:rsidR="00E2585F" w:rsidRPr="00981159" w:rsidRDefault="00E2585F" w:rsidP="00E2585F">
      <w:pPr>
        <w:pStyle w:val="Bibliography"/>
        <w:spacing w:line="240" w:lineRule="auto"/>
        <w:ind w:left="426" w:hanging="426"/>
        <w:jc w:val="left"/>
      </w:pPr>
      <w:r w:rsidRPr="00981159">
        <w:t xml:space="preserve">Peterson, R. L., &amp; Pennington, B. F. (2015). Developmental dyslexia. </w:t>
      </w:r>
      <w:r w:rsidRPr="00981159">
        <w:rPr>
          <w:i/>
          <w:iCs/>
        </w:rPr>
        <w:t>Annual Review of Clinical Psychology</w:t>
      </w:r>
      <w:r w:rsidRPr="00981159">
        <w:t xml:space="preserve">, </w:t>
      </w:r>
      <w:r w:rsidRPr="00981159">
        <w:rPr>
          <w:i/>
          <w:iCs/>
        </w:rPr>
        <w:t>11</w:t>
      </w:r>
      <w:r w:rsidRPr="00981159">
        <w:t xml:space="preserve">, 283–307. </w:t>
      </w:r>
    </w:p>
    <w:p w14:paraId="093B1201" w14:textId="77777777" w:rsidR="00E2585F" w:rsidRPr="00981159" w:rsidRDefault="00E2585F" w:rsidP="00E2585F">
      <w:pPr>
        <w:pStyle w:val="Bibliography"/>
        <w:spacing w:line="240" w:lineRule="auto"/>
        <w:ind w:left="426" w:hanging="426"/>
        <w:jc w:val="left"/>
      </w:pPr>
      <w:r w:rsidRPr="00981159">
        <w:t xml:space="preserve">Polanczyk, G. V., Salum, G. A., Sugaya, L. S., Caye, A., &amp; Rohde, L. A. (2015). Annual research review: A meta-analysis of the worldwide prevalence of mental disorders in children and adolescents. </w:t>
      </w:r>
      <w:r w:rsidRPr="00981159">
        <w:rPr>
          <w:i/>
          <w:iCs/>
        </w:rPr>
        <w:t>Journal of Child Psychology and Psychiatry, and Allied Disciplines</w:t>
      </w:r>
      <w:r w:rsidRPr="00981159">
        <w:t xml:space="preserve">, </w:t>
      </w:r>
      <w:r w:rsidRPr="00981159">
        <w:rPr>
          <w:i/>
          <w:iCs/>
        </w:rPr>
        <w:t>56</w:t>
      </w:r>
      <w:r w:rsidRPr="00981159">
        <w:t>(3), 345–</w:t>
      </w:r>
      <w:r>
        <w:t xml:space="preserve">365. </w:t>
      </w:r>
    </w:p>
    <w:p w14:paraId="3A2E57C7" w14:textId="77777777" w:rsidR="00E2585F" w:rsidRPr="00981159" w:rsidRDefault="00E2585F" w:rsidP="00E2585F">
      <w:pPr>
        <w:pStyle w:val="Bibliography"/>
        <w:spacing w:line="240" w:lineRule="auto"/>
        <w:ind w:left="426" w:hanging="426"/>
        <w:jc w:val="left"/>
      </w:pPr>
      <w:r w:rsidRPr="00981159">
        <w:t xml:space="preserve">R Core Team. (2018). </w:t>
      </w:r>
      <w:r w:rsidRPr="00981159">
        <w:rPr>
          <w:i/>
          <w:iCs/>
        </w:rPr>
        <w:t>R: A language and environment for statistical computing</w:t>
      </w:r>
      <w:r w:rsidRPr="00981159">
        <w:t>. Vienna: R foundation for statistical computing. Retrieved from https://www.R-project.org/</w:t>
      </w:r>
    </w:p>
    <w:p w14:paraId="1EEA359A" w14:textId="77777777" w:rsidR="00E2585F" w:rsidRPr="00981159" w:rsidRDefault="00E2585F" w:rsidP="00E2585F">
      <w:pPr>
        <w:pStyle w:val="Bibliography"/>
        <w:spacing w:line="240" w:lineRule="auto"/>
        <w:ind w:left="426" w:hanging="426"/>
        <w:jc w:val="left"/>
      </w:pPr>
      <w:r w:rsidRPr="00981159">
        <w:t xml:space="preserve">Ramaa, S. (2014). </w:t>
      </w:r>
      <w:r w:rsidRPr="00981159">
        <w:rPr>
          <w:i/>
          <w:iCs/>
        </w:rPr>
        <w:t>Arithmetic difficulties among socially disadvantages children and children with dyscalculia</w:t>
      </w:r>
      <w:r w:rsidRPr="00981159">
        <w:t>. (S. Chinn, Ed.). Abingdon: Routledge.</w:t>
      </w:r>
    </w:p>
    <w:p w14:paraId="1A17134A" w14:textId="77777777" w:rsidR="00E2585F" w:rsidRPr="00981159" w:rsidRDefault="00E2585F" w:rsidP="00E2585F">
      <w:pPr>
        <w:pStyle w:val="Bibliography"/>
        <w:spacing w:line="240" w:lineRule="auto"/>
        <w:ind w:left="426" w:hanging="426"/>
        <w:jc w:val="left"/>
      </w:pPr>
      <w:r w:rsidRPr="00BC7AF1">
        <w:rPr>
          <w:lang w:val="en-GB"/>
        </w:rPr>
        <w:t xml:space="preserve">Ravens-Sieberer, U., Wille, N., Erhart, M., Bettge, S., Wittchen, H.-U., Rothenberger, A., … </w:t>
      </w:r>
      <w:r w:rsidRPr="00981159">
        <w:t xml:space="preserve">BELLA study group. (2008). Prevalence of mental health problems among children and adolescents in Germany: results of the BELLA study within the National Health Interview and Examination Survey. </w:t>
      </w:r>
      <w:r w:rsidRPr="00981159">
        <w:rPr>
          <w:i/>
          <w:iCs/>
        </w:rPr>
        <w:t>European Child &amp; Adolescent Psychiatry</w:t>
      </w:r>
      <w:r w:rsidRPr="00981159">
        <w:t xml:space="preserve">, </w:t>
      </w:r>
      <w:r w:rsidRPr="00981159">
        <w:rPr>
          <w:i/>
          <w:iCs/>
        </w:rPr>
        <w:t>17 Suppl 1</w:t>
      </w:r>
      <w:r w:rsidRPr="00981159">
        <w:t xml:space="preserve">, 22–33. </w:t>
      </w:r>
    </w:p>
    <w:p w14:paraId="024BB628" w14:textId="77777777" w:rsidR="00E2585F" w:rsidRPr="00981159" w:rsidRDefault="00E2585F" w:rsidP="00E2585F">
      <w:pPr>
        <w:pStyle w:val="Bibliography"/>
        <w:spacing w:line="240" w:lineRule="auto"/>
        <w:ind w:left="426" w:hanging="426"/>
        <w:jc w:val="left"/>
      </w:pPr>
      <w:r w:rsidRPr="00981159">
        <w:t xml:space="preserve">Russell, A. E., Ford, T., Williams, R., &amp; Russell, G. (2016). The association between socioeconomic disadvantage and attention deficit/hyperactivity disorder (ADHD): a systematic review. </w:t>
      </w:r>
      <w:r w:rsidRPr="00981159">
        <w:rPr>
          <w:i/>
          <w:iCs/>
        </w:rPr>
        <w:t>Child Psychiatry and Human Development</w:t>
      </w:r>
      <w:r w:rsidRPr="00981159">
        <w:t xml:space="preserve">, </w:t>
      </w:r>
      <w:r w:rsidRPr="00981159">
        <w:rPr>
          <w:i/>
          <w:iCs/>
        </w:rPr>
        <w:t>47</w:t>
      </w:r>
      <w:r w:rsidRPr="00981159">
        <w:t xml:space="preserve">(3), 440–458. </w:t>
      </w:r>
    </w:p>
    <w:p w14:paraId="2D97DFD1" w14:textId="77777777" w:rsidR="00E2585F" w:rsidRPr="0007150A" w:rsidRDefault="00E2585F" w:rsidP="00E2585F">
      <w:pPr>
        <w:pStyle w:val="Bibliography"/>
        <w:spacing w:line="240" w:lineRule="auto"/>
        <w:ind w:left="426" w:hanging="426"/>
        <w:jc w:val="left"/>
        <w:rPr>
          <w:lang w:val="de-DE"/>
        </w:rPr>
      </w:pPr>
      <w:r w:rsidRPr="00BC7AF1">
        <w:rPr>
          <w:lang w:val="en-GB"/>
        </w:rPr>
        <w:t xml:space="preserve">Schneider, W., Blanke, I., Faust, V., &amp; Küspert, P. (2011). </w:t>
      </w:r>
      <w:r w:rsidRPr="0007150A">
        <w:rPr>
          <w:i/>
          <w:iCs/>
          <w:lang w:val="de-DE"/>
        </w:rPr>
        <w:t>WLLP-R Würzburger Leise Leseprobe</w:t>
      </w:r>
      <w:r w:rsidRPr="0007150A">
        <w:rPr>
          <w:lang w:val="de-DE"/>
        </w:rPr>
        <w:t>. Göttingen: Hogrefe.</w:t>
      </w:r>
    </w:p>
    <w:p w14:paraId="3672331D"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Schuchardt, K., Fischbach, A., Balke-Melcher, C., &amp; Mähler, C. (2015). Die Komorbidität von Lernschwierigkeiten mit ADHS-Symptomen im Grundschulalter. </w:t>
      </w:r>
      <w:r w:rsidRPr="0007150A">
        <w:rPr>
          <w:i/>
          <w:iCs/>
          <w:lang w:val="de-DE"/>
        </w:rPr>
        <w:t>Zeitschrift Für Kinder- Und Jugendpsychiatrie Und Psychotherapie</w:t>
      </w:r>
      <w:r w:rsidRPr="0007150A">
        <w:rPr>
          <w:lang w:val="de-DE"/>
        </w:rPr>
        <w:t xml:space="preserve">, </w:t>
      </w:r>
      <w:r w:rsidRPr="0007150A">
        <w:rPr>
          <w:i/>
          <w:iCs/>
          <w:lang w:val="de-DE"/>
        </w:rPr>
        <w:t>43</w:t>
      </w:r>
      <w:r w:rsidRPr="0007150A">
        <w:rPr>
          <w:lang w:val="de-DE"/>
        </w:rPr>
        <w:t>(3), 185–193. https://doi.org/10.1024/1422-4917/a000352</w:t>
      </w:r>
    </w:p>
    <w:p w14:paraId="561FB660" w14:textId="77777777" w:rsidR="00E2585F" w:rsidRPr="0007150A" w:rsidRDefault="00E2585F" w:rsidP="00E2585F">
      <w:pPr>
        <w:pStyle w:val="Bibliography"/>
        <w:spacing w:line="240" w:lineRule="auto"/>
        <w:ind w:left="426" w:hanging="426"/>
        <w:jc w:val="left"/>
        <w:rPr>
          <w:lang w:val="de-DE"/>
        </w:rPr>
      </w:pPr>
      <w:r w:rsidRPr="00981159">
        <w:t xml:space="preserve">Sexton, C. C., Gelhorn, H. L., Bell, J. A., &amp; Classi, P. M. (2012). The co-occurrence of reading disorder and ADHD: epidemiology, treatment, psychosocial impact, and economic burden. </w:t>
      </w:r>
      <w:r w:rsidRPr="0007150A">
        <w:rPr>
          <w:i/>
          <w:iCs/>
          <w:lang w:val="de-DE"/>
        </w:rPr>
        <w:t>Journal of Learning Disabilities</w:t>
      </w:r>
      <w:r w:rsidRPr="0007150A">
        <w:rPr>
          <w:lang w:val="de-DE"/>
        </w:rPr>
        <w:t xml:space="preserve">, </w:t>
      </w:r>
      <w:r w:rsidRPr="0007150A">
        <w:rPr>
          <w:i/>
          <w:iCs/>
          <w:lang w:val="de-DE"/>
        </w:rPr>
        <w:t>45</w:t>
      </w:r>
      <w:r w:rsidRPr="0007150A">
        <w:rPr>
          <w:lang w:val="de-DE"/>
        </w:rPr>
        <w:t xml:space="preserve">(6), 538–564. </w:t>
      </w:r>
    </w:p>
    <w:p w14:paraId="19A46EB9" w14:textId="77777777" w:rsidR="00E2585F" w:rsidRPr="0007150A" w:rsidRDefault="00E2585F" w:rsidP="00E2585F">
      <w:pPr>
        <w:pStyle w:val="Bibliography"/>
        <w:spacing w:line="240" w:lineRule="auto"/>
        <w:ind w:left="426" w:hanging="426"/>
        <w:jc w:val="left"/>
        <w:rPr>
          <w:lang w:val="de-DE"/>
        </w:rPr>
      </w:pPr>
      <w:r w:rsidRPr="0007150A">
        <w:rPr>
          <w:lang w:val="de-DE"/>
        </w:rPr>
        <w:t xml:space="preserve">Statistisches Bundesamt. (2017a). </w:t>
      </w:r>
      <w:r w:rsidRPr="0007150A">
        <w:rPr>
          <w:i/>
          <w:iCs/>
          <w:lang w:val="de-DE"/>
        </w:rPr>
        <w:t>Bevölkerung und Erwerbstätigkeit Ausländische Bevölkerung Ergebnisse des Ausländerzentralregisters</w:t>
      </w:r>
      <w:r w:rsidRPr="0007150A">
        <w:rPr>
          <w:lang w:val="de-DE"/>
        </w:rPr>
        <w:t>. Wiesbaden: Statistisches Bundesamt.</w:t>
      </w:r>
    </w:p>
    <w:p w14:paraId="54386D9F" w14:textId="77777777" w:rsidR="00E2585F" w:rsidRPr="000A5218" w:rsidRDefault="00E2585F" w:rsidP="00E2585F">
      <w:pPr>
        <w:pStyle w:val="Bibliography"/>
        <w:spacing w:line="240" w:lineRule="auto"/>
        <w:ind w:left="426" w:hanging="426"/>
        <w:jc w:val="left"/>
        <w:rPr>
          <w:lang w:val="de-DE"/>
        </w:rPr>
      </w:pPr>
      <w:r w:rsidRPr="000A5218">
        <w:rPr>
          <w:lang w:val="de-DE"/>
        </w:rPr>
        <w:lastRenderedPageBreak/>
        <w:t xml:space="preserve">Statistisches Bundesamt. (2017b). </w:t>
      </w:r>
      <w:r w:rsidRPr="000A5218">
        <w:rPr>
          <w:i/>
          <w:iCs/>
          <w:lang w:val="de-DE"/>
        </w:rPr>
        <w:t>Bevölkerung und Erwerbstätigkeit Haushalte und Familien Ergebnisse des Mikrozensus</w:t>
      </w:r>
      <w:r w:rsidRPr="000A5218">
        <w:rPr>
          <w:lang w:val="de-DE"/>
        </w:rPr>
        <w:t>. Wiesbaden: Statistisches Bundesamt.</w:t>
      </w:r>
    </w:p>
    <w:p w14:paraId="13D2525E" w14:textId="181DF409" w:rsidR="00E2585F" w:rsidRPr="000A5218" w:rsidRDefault="000A5218" w:rsidP="00E2585F">
      <w:pPr>
        <w:pStyle w:val="Bibliography"/>
        <w:spacing w:line="240" w:lineRule="auto"/>
        <w:ind w:left="426" w:hanging="426"/>
        <w:jc w:val="left"/>
        <w:rPr>
          <w:lang w:val="de-DE"/>
        </w:rPr>
      </w:pPr>
      <w:r w:rsidRPr="00147EA5">
        <w:rPr>
          <w:color w:val="auto"/>
          <w:lang w:val="de-DE"/>
        </w:rPr>
        <w:t xml:space="preserve">Weiß, R. H. (2006). </w:t>
      </w:r>
      <w:r w:rsidRPr="00147EA5">
        <w:rPr>
          <w:i/>
          <w:color w:val="auto"/>
          <w:lang w:val="de-DE"/>
        </w:rPr>
        <w:t xml:space="preserve">CFT 20-R mit WS/ZF-R. Grundintelligenztest Skala 2 – Revision (CFT 20-R) mit Wortschatztest und Zahlenfolgentest – Revision (WS/ZF-R). </w:t>
      </w:r>
      <w:r w:rsidRPr="00147EA5">
        <w:rPr>
          <w:color w:val="auto"/>
          <w:lang w:val="de-DE"/>
        </w:rPr>
        <w:t>Göttingen: Hogrefe.</w:t>
      </w:r>
    </w:p>
    <w:p w14:paraId="06AE9F51" w14:textId="77777777" w:rsidR="00E2585F" w:rsidRPr="00981159" w:rsidRDefault="00E2585F" w:rsidP="00E2585F">
      <w:pPr>
        <w:pStyle w:val="Bibliography"/>
        <w:spacing w:line="240" w:lineRule="auto"/>
        <w:ind w:left="426" w:hanging="426"/>
        <w:jc w:val="left"/>
      </w:pPr>
      <w:r w:rsidRPr="000A5218">
        <w:rPr>
          <w:lang w:val="de-DE"/>
        </w:rPr>
        <w:t>Willcutt, Erik G., Petrill, S. A., Wu, S., Boada, R., DeFries, J. C., Olson, R. K., &amp; Pennington</w:t>
      </w:r>
      <w:r w:rsidRPr="0007150A">
        <w:rPr>
          <w:lang w:val="de-DE"/>
        </w:rPr>
        <w:t xml:space="preserve">, B. F. (2013). </w:t>
      </w:r>
      <w:r w:rsidRPr="00981159">
        <w:t xml:space="preserve">Comorbidity between reading disability and math disability: Concurrent psychopathology, functional impairment, and neuropsychological functioning. </w:t>
      </w:r>
      <w:r w:rsidRPr="00981159">
        <w:rPr>
          <w:i/>
          <w:iCs/>
        </w:rPr>
        <w:t>Journal of Learning Disabilities</w:t>
      </w:r>
      <w:r w:rsidRPr="00981159">
        <w:t xml:space="preserve">, </w:t>
      </w:r>
      <w:r w:rsidRPr="00981159">
        <w:rPr>
          <w:i/>
          <w:iCs/>
        </w:rPr>
        <w:t>46</w:t>
      </w:r>
      <w:r w:rsidRPr="00981159">
        <w:t xml:space="preserve">(6), 500–516. </w:t>
      </w:r>
    </w:p>
    <w:p w14:paraId="74229E9F" w14:textId="77777777" w:rsidR="00E2585F" w:rsidRPr="00981159" w:rsidRDefault="00E2585F" w:rsidP="00E2585F">
      <w:pPr>
        <w:pStyle w:val="Bibliography"/>
        <w:spacing w:line="240" w:lineRule="auto"/>
        <w:ind w:left="426" w:hanging="426"/>
        <w:jc w:val="left"/>
      </w:pPr>
      <w:r w:rsidRPr="00981159">
        <w:t>Winkler, W. E. (1990). String comparator metrics and enhanced decision rules in the Fellegi-Sunter model of record linkage, 354–359.</w:t>
      </w:r>
    </w:p>
    <w:p w14:paraId="39AEA84A" w14:textId="6F2C1C71" w:rsidR="00E2585F" w:rsidRPr="00376CC5" w:rsidRDefault="00E2585F" w:rsidP="00E2585F">
      <w:pPr>
        <w:spacing w:before="0" w:after="0"/>
        <w:ind w:left="426" w:hanging="426"/>
        <w:rPr>
          <w:szCs w:val="24"/>
        </w:rPr>
      </w:pPr>
      <w:r w:rsidRPr="00981159">
        <w:t xml:space="preserve">Wu, S. S., Willcutt, E. G., Escovar, E., &amp; Menon, V. (2014). Mathematics achievement and anxiety and their relation to internalizing and externalizing behaviors. </w:t>
      </w:r>
      <w:r w:rsidRPr="00981159">
        <w:rPr>
          <w:i/>
          <w:iCs/>
        </w:rPr>
        <w:t>Journal of Learning Disabilities</w:t>
      </w:r>
      <w:r w:rsidRPr="00981159">
        <w:t xml:space="preserve">, </w:t>
      </w:r>
      <w:r w:rsidRPr="00981159">
        <w:rPr>
          <w:i/>
          <w:iCs/>
        </w:rPr>
        <w:t>47</w:t>
      </w:r>
      <w:r w:rsidRPr="00981159">
        <w:t xml:space="preserve">(6), 503–514. </w:t>
      </w:r>
      <w:r w:rsidR="00AC3EA3" w:rsidRPr="00376CC5">
        <w:rPr>
          <w:rFonts w:cs="Times New Roman"/>
          <w:szCs w:val="24"/>
        </w:rPr>
        <w:t xml:space="preserve"> </w:t>
      </w:r>
    </w:p>
    <w:p w14:paraId="4929C222" w14:textId="177B5319" w:rsidR="008D6C8D" w:rsidRPr="00376CC5" w:rsidRDefault="008D6C8D" w:rsidP="00AC3EA3">
      <w:pPr>
        <w:rPr>
          <w:szCs w:val="24"/>
        </w:rPr>
      </w:pPr>
    </w:p>
    <w:p w14:paraId="59E7FCE8" w14:textId="77777777" w:rsidR="0088513A" w:rsidRPr="0088513A" w:rsidRDefault="0088513A" w:rsidP="0088513A">
      <w:pPr>
        <w:pStyle w:val="Heading1"/>
        <w:numPr>
          <w:ilvl w:val="0"/>
          <w:numId w:val="22"/>
        </w:numPr>
      </w:pPr>
      <w:r w:rsidRPr="0088513A">
        <w:t>Data Availability Statement</w:t>
      </w:r>
    </w:p>
    <w:p w14:paraId="3F233C26" w14:textId="07E916CD" w:rsidR="000A5218" w:rsidRPr="000A5218" w:rsidRDefault="0088513A" w:rsidP="005C0E9F">
      <w:pPr>
        <w:rPr>
          <w:color w:val="000000"/>
        </w:rPr>
      </w:pPr>
      <w:r>
        <w:rPr>
          <w:rFonts w:cs="Times New Roman"/>
          <w:szCs w:val="24"/>
        </w:rPr>
        <w:t>The data</w:t>
      </w:r>
      <w:r w:rsidR="000A5218">
        <w:rPr>
          <w:rFonts w:cs="Times New Roman"/>
          <w:szCs w:val="24"/>
        </w:rPr>
        <w:t xml:space="preserve"> and analysis code</w:t>
      </w:r>
      <w:r>
        <w:rPr>
          <w:rFonts w:cs="Times New Roman"/>
          <w:szCs w:val="24"/>
        </w:rPr>
        <w:t xml:space="preserve"> for this study can be found in the </w:t>
      </w:r>
      <w:r w:rsidR="000A5218" w:rsidRPr="000A5218">
        <w:rPr>
          <w:rFonts w:cs="Times New Roman"/>
          <w:szCs w:val="24"/>
        </w:rPr>
        <w:t>Open Science Framework (</w:t>
      </w:r>
      <w:hyperlink r:id="rId8" w:history="1">
        <w:r w:rsidR="000A5218" w:rsidRPr="002E1492">
          <w:rPr>
            <w:rStyle w:val="Hyperlink"/>
            <w:rFonts w:cs="Times New Roman"/>
            <w:szCs w:val="24"/>
          </w:rPr>
          <w:t>https://osf.io/9mxp2/</w:t>
        </w:r>
      </w:hyperlink>
      <w:r w:rsidR="000A5218" w:rsidRPr="000A5218">
        <w:rPr>
          <w:rFonts w:cs="Times New Roman"/>
          <w:szCs w:val="24"/>
        </w:rPr>
        <w:t>)</w:t>
      </w:r>
      <w:r>
        <w:rPr>
          <w:rFonts w:cs="Times New Roman"/>
          <w:szCs w:val="24"/>
        </w:rPr>
        <w:t>.</w:t>
      </w:r>
    </w:p>
    <w:sectPr w:rsidR="000A5218" w:rsidRPr="000A5218" w:rsidSect="00E2585F">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DA75" w14:textId="77777777" w:rsidR="00EC5B16" w:rsidRDefault="00EC5B16" w:rsidP="00117666">
      <w:pPr>
        <w:spacing w:after="0"/>
      </w:pPr>
      <w:r>
        <w:separator/>
      </w:r>
    </w:p>
  </w:endnote>
  <w:endnote w:type="continuationSeparator" w:id="0">
    <w:p w14:paraId="5B8020CC" w14:textId="77777777" w:rsidR="00EC5B16" w:rsidRDefault="00EC5B1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0A5218" w:rsidRPr="00577C4C" w:rsidRDefault="000A5218">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60288"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0A5218" w:rsidRPr="00E9561B" w:rsidRDefault="000A5218">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" stroked="f">
              <v:textbox style="mso-fit-shape-to-text:t">
                <w:txbxContent>
                  <w:p w14:paraId="462EE841" w14:textId="77777777" w:rsidR="000A5218" w:rsidRPr="00E9561B" w:rsidRDefault="000A5218">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" filled="f" stroked="f" strokeweight=".5pt">
              <v:textbox style="mso-fit-shape-to-text:t">
                <w:txbxContent>
                  <w:p w14:paraId="214951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0A5218" w:rsidRPr="00577C4C" w:rsidRDefault="000A5218">
    <w:pPr>
      <w:pStyle w:val="Footer"/>
      <w:rPr>
        <w:b/>
        <w:sz w:val="20"/>
        <w:szCs w:val="24"/>
      </w:rPr>
    </w:pPr>
    <w:r>
      <w:rPr>
        <w:noProof/>
        <w:lang w:val="en-GB" w:eastAsia="en-GB"/>
      </w:rPr>
      <mc:AlternateContent>
        <mc:Choice Requires="wps">
          <w:drawing>
            <wp:anchor distT="0" distB="0" distL="114300" distR="114300" simplePos="0" relativeHeight="251656192"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" filled="f" stroked="f" strokeweight=".5pt">
              <v:textbox style="mso-fit-shape-to-text:t">
                <w:txbxContent>
                  <w:p w14:paraId="74D070C5" w14:textId="77777777" w:rsidR="000A5218" w:rsidRPr="00577C4C" w:rsidRDefault="000A521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94528" w:rsidRPr="00194528">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EB35" w14:textId="77777777" w:rsidR="00EC5B16" w:rsidRDefault="00EC5B16" w:rsidP="00117666">
      <w:pPr>
        <w:spacing w:after="0"/>
      </w:pPr>
      <w:r>
        <w:separator/>
      </w:r>
    </w:p>
  </w:footnote>
  <w:footnote w:type="continuationSeparator" w:id="0">
    <w:p w14:paraId="5593A306" w14:textId="77777777" w:rsidR="00EC5B16" w:rsidRDefault="00EC5B1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0A5218" w:rsidRPr="007E3148" w:rsidRDefault="000A5218"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0A5218" w:rsidRPr="00A53000" w:rsidRDefault="000A5218"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0A5218" w:rsidRDefault="000A5218"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2"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4962"/>
        </w:tabs>
        <w:ind w:left="4962"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ttachedTemplate r:id="rId1"/>
  <w:trackRevisions/>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3A8A"/>
    <w:rsid w:val="00045678"/>
    <w:rsid w:val="000458E4"/>
    <w:rsid w:val="00063D84"/>
    <w:rsid w:val="0006636D"/>
    <w:rsid w:val="000762DC"/>
    <w:rsid w:val="00077D53"/>
    <w:rsid w:val="00081394"/>
    <w:rsid w:val="000A5218"/>
    <w:rsid w:val="000B34BD"/>
    <w:rsid w:val="000C7E2A"/>
    <w:rsid w:val="000F4CFB"/>
    <w:rsid w:val="001161F9"/>
    <w:rsid w:val="00117666"/>
    <w:rsid w:val="001223A7"/>
    <w:rsid w:val="00134256"/>
    <w:rsid w:val="00147395"/>
    <w:rsid w:val="00147EA5"/>
    <w:rsid w:val="001552C9"/>
    <w:rsid w:val="00177D84"/>
    <w:rsid w:val="00194528"/>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577A1"/>
    <w:rsid w:val="00365D63"/>
    <w:rsid w:val="0036793B"/>
    <w:rsid w:val="00372682"/>
    <w:rsid w:val="00376CC5"/>
    <w:rsid w:val="0039693B"/>
    <w:rsid w:val="003A527E"/>
    <w:rsid w:val="003B707E"/>
    <w:rsid w:val="003D2F2D"/>
    <w:rsid w:val="00401590"/>
    <w:rsid w:val="00416E7B"/>
    <w:rsid w:val="00422C94"/>
    <w:rsid w:val="00463E3D"/>
    <w:rsid w:val="004645AE"/>
    <w:rsid w:val="004D3E33"/>
    <w:rsid w:val="005250F2"/>
    <w:rsid w:val="005A1D84"/>
    <w:rsid w:val="005A70EA"/>
    <w:rsid w:val="005C0E9F"/>
    <w:rsid w:val="005C3963"/>
    <w:rsid w:val="005D1840"/>
    <w:rsid w:val="005D35E4"/>
    <w:rsid w:val="005D7910"/>
    <w:rsid w:val="0062154F"/>
    <w:rsid w:val="00626AAC"/>
    <w:rsid w:val="00631A8C"/>
    <w:rsid w:val="00641D2C"/>
    <w:rsid w:val="00651CA2"/>
    <w:rsid w:val="00653D60"/>
    <w:rsid w:val="00660D05"/>
    <w:rsid w:val="00671D9A"/>
    <w:rsid w:val="00673952"/>
    <w:rsid w:val="00681821"/>
    <w:rsid w:val="00686C9D"/>
    <w:rsid w:val="006B2D5B"/>
    <w:rsid w:val="006B7D14"/>
    <w:rsid w:val="006D5B93"/>
    <w:rsid w:val="006D5BDE"/>
    <w:rsid w:val="00725A7D"/>
    <w:rsid w:val="0073085C"/>
    <w:rsid w:val="00733784"/>
    <w:rsid w:val="00746505"/>
    <w:rsid w:val="00790BB3"/>
    <w:rsid w:val="00792043"/>
    <w:rsid w:val="00797EDD"/>
    <w:rsid w:val="007B0322"/>
    <w:rsid w:val="007C0E3F"/>
    <w:rsid w:val="007C206C"/>
    <w:rsid w:val="007C5729"/>
    <w:rsid w:val="00805AB4"/>
    <w:rsid w:val="008111E4"/>
    <w:rsid w:val="0081301C"/>
    <w:rsid w:val="00817DD6"/>
    <w:rsid w:val="008629A9"/>
    <w:rsid w:val="0088513A"/>
    <w:rsid w:val="00893C19"/>
    <w:rsid w:val="008A15A0"/>
    <w:rsid w:val="008A1C35"/>
    <w:rsid w:val="008B5029"/>
    <w:rsid w:val="008D6C8D"/>
    <w:rsid w:val="008E2B54"/>
    <w:rsid w:val="008E4404"/>
    <w:rsid w:val="008E58C7"/>
    <w:rsid w:val="008F5021"/>
    <w:rsid w:val="00943573"/>
    <w:rsid w:val="00971B61"/>
    <w:rsid w:val="00980C31"/>
    <w:rsid w:val="009955FF"/>
    <w:rsid w:val="00996D7D"/>
    <w:rsid w:val="009D259D"/>
    <w:rsid w:val="00A50D9D"/>
    <w:rsid w:val="00A53000"/>
    <w:rsid w:val="00A545C6"/>
    <w:rsid w:val="00A652D0"/>
    <w:rsid w:val="00A75F87"/>
    <w:rsid w:val="00A95D8B"/>
    <w:rsid w:val="00AC0270"/>
    <w:rsid w:val="00AC3EA3"/>
    <w:rsid w:val="00AC792D"/>
    <w:rsid w:val="00AF6D32"/>
    <w:rsid w:val="00B353E1"/>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076D7"/>
    <w:rsid w:val="00D537FA"/>
    <w:rsid w:val="00D5547D"/>
    <w:rsid w:val="00D80D99"/>
    <w:rsid w:val="00D9503C"/>
    <w:rsid w:val="00DC3418"/>
    <w:rsid w:val="00DD73EF"/>
    <w:rsid w:val="00DE23E8"/>
    <w:rsid w:val="00E0128B"/>
    <w:rsid w:val="00E2585F"/>
    <w:rsid w:val="00E64E17"/>
    <w:rsid w:val="00EA3D3C"/>
    <w:rsid w:val="00EC5B16"/>
    <w:rsid w:val="00EC7CC3"/>
    <w:rsid w:val="00F12536"/>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AE5D46CE-F01F-8A4C-9388-A80D1D6B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tabs>
        <w:tab w:val="clear" w:pos="4962"/>
        <w:tab w:val="num" w:pos="567"/>
      </w:tabs>
      <w:spacing w:before="40" w:after="120"/>
      <w:ind w:left="567"/>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qFormat/>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styleId="Bibliography">
    <w:name w:val="Bibliography"/>
    <w:basedOn w:val="Normal"/>
    <w:next w:val="Normal"/>
    <w:uiPriority w:val="37"/>
    <w:semiHidden/>
    <w:unhideWhenUsed/>
    <w:rsid w:val="00E2585F"/>
    <w:pPr>
      <w:spacing w:before="0" w:after="0" w:line="360" w:lineRule="auto"/>
      <w:jc w:val="both"/>
    </w:pPr>
    <w:rPr>
      <w:rFonts w:eastAsia="Calibri" w:cs="Times New Roman"/>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9mxp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FB6624-2250-D548-87EB-7CFE56CC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13</Pages>
  <Words>6675</Words>
  <Characters>38051</Characters>
  <Application>Microsoft Office Word</Application>
  <DocSecurity>0</DocSecurity>
  <Lines>317</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Linda</dc:creator>
  <cp:lastModifiedBy>Janosch Linkersdörfer</cp:lastModifiedBy>
  <cp:revision>3</cp:revision>
  <cp:lastPrinted>2013-10-03T12:51:00Z</cp:lastPrinted>
  <dcterms:created xsi:type="dcterms:W3CDTF">2019-06-09T14:25:00Z</dcterms:created>
  <dcterms:modified xsi:type="dcterms:W3CDTF">2019-06-09T14:27:00Z</dcterms:modified>
</cp:coreProperties>
</file>