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Ambit Assessment Report</w:t>
      </w:r>
    </w:p>
    <w:p>
      <w:pPr>
        <w:pStyle w:val="Style18"/>
        <w:rPr/>
      </w:pPr>
      <w:r>
        <w:rPr/>
        <w:t>{title}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Author: {maintainer}</w:t>
      </w:r>
    </w:p>
    <w:p>
      <w:pPr>
        <w:pStyle w:val="Normal"/>
        <w:rPr/>
      </w:pPr>
      <w:r>
        <w:rPr/>
        <w:t>Company: {rightsHolder}</w:t>
      </w:r>
    </w:p>
    <w:p>
      <w:pPr>
        <w:pStyle w:val="Normal"/>
        <w:rPr/>
      </w:pPr>
      <w:r>
        <w:rPr/>
        <w:t>Date: {created}</w:t>
      </w:r>
    </w:p>
    <w:p>
      <w:pPr>
        <w:pStyle w:val="Normal"/>
        <w:rPr/>
      </w:pPr>
      <w:r>
        <w:rPr/>
        <w:t>Assessment code: {seeAlso}</w:t>
      </w:r>
    </w:p>
    <w:p>
      <w:pPr>
        <w:pStyle w:val="Normal"/>
        <w:rPr/>
      </w:pPr>
      <w:r>
        <w:rPr/>
        <w:t>Purpose: {description}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Assessment Identifiers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09"/>
      </w:tblGrid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Assesment title: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{title}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Owner: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{maintainer}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Purpose: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{description}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{version}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Status: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{status}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 start date: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{created}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Version last modified on: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{updated}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code: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{seeAlso}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DocLink: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{source}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ID: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{number}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List of structures for assessment</w:t>
      </w:r>
    </w:p>
    <w:p>
      <w:pPr>
        <w:pStyle w:val="Normal"/>
        <w:rPr/>
      </w:pPr>
      <w:r>
        <w:rPr/>
        <w:t>In the assessment, similar structures were selected from exact structure, substructure and/or similarity searches, or were added manually. The rationale for the selection is given in the table.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733"/>
        <w:gridCol w:w="1199"/>
        <w:gridCol w:w="1187"/>
        <w:gridCol w:w="1363"/>
        <w:gridCol w:w="2657"/>
        <w:gridCol w:w="2505"/>
      </w:tblGrid>
      <w:tr>
        <w:trPr>
          <w:tblHeader w:val="true"/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1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>
        <w:trPr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{#structures}{tag}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{rationale}{/structures}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3. List of substances related to the structures</w:t>
      </w:r>
    </w:p>
    <w:p>
      <w:pPr>
        <w:pStyle w:val="Normal"/>
        <w:rPr/>
      </w:pPr>
      <w:r>
        <w:rPr/>
        <w:t>In the following, for each structure listed in chapter 2, substances were selected and the rationale is given.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-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510"/>
        <w:gridCol w:w="1140"/>
        <w:gridCol w:w="900"/>
        <w:gridCol w:w="1362"/>
        <w:gridCol w:w="2492"/>
        <w:gridCol w:w="2550"/>
        <w:gridCol w:w="690"/>
      </w:tblGrid>
      <w:tr>
        <w:trPr>
          <w:tblHeader w:val="true"/>
        </w:trPr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Disagram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</w:tr>
      <w:tr>
        <w:trPr/>
        <w:tc>
          <w:tcPr>
            <w:tcW w:w="5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  <w:t>{#structures}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51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51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51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51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51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{rationale}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57" w:type="dxa"/>
              <w:left w:w="51" w:type="dxa"/>
              <w:bottom w:w="57" w:type="dxa"/>
              <w:right w:w="57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</w:tr>
      <w:tr>
        <w:trPr>
          <w:cantSplit w:val="true"/>
        </w:trPr>
        <w:tc>
          <w:tcPr>
            <w:tcW w:w="51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913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tbl>
            <w:tblPr>
              <w:tblW w:w="913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7" w:type="dxa"/>
                <w:left w:w="51" w:type="dxa"/>
                <w:bottom w:w="57" w:type="dxa"/>
                <w:right w:w="57" w:type="dxa"/>
              </w:tblCellMar>
            </w:tblPr>
            <w:tblGrid>
              <w:gridCol w:w="452"/>
              <w:gridCol w:w="1320"/>
              <w:gridCol w:w="1156"/>
              <w:gridCol w:w="1130"/>
              <w:gridCol w:w="1011"/>
              <w:gridCol w:w="1015"/>
              <w:gridCol w:w="1016"/>
              <w:gridCol w:w="1015"/>
              <w:gridCol w:w="1017"/>
            </w:tblGrid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2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name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UUID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Type</w:t>
                  </w:r>
                </w:p>
              </w:tc>
              <w:tc>
                <w:tcPr>
                  <w:tcW w:w="101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Public name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Reference Substance UUID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Info</w:t>
                  </w:r>
                </w:p>
              </w:tc>
              <w:tc>
                <w:tcPr>
                  <w:tcW w:w="101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Contained in as</w:t>
                  </w:r>
                </w:p>
              </w:tc>
            </w:tr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  <w:t>{#substances}{i}</w:t>
                  </w:r>
                </w:p>
              </w:tc>
              <w:tc>
                <w:tcPr>
                  <w:tcW w:w="132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{name}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{uuid}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{type}</w:t>
                  </w:r>
                </w:p>
              </w:tc>
              <w:tc>
                <w:tcPr>
                  <w:tcW w:w="101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{pubname}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{refuuid}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{owner}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{info}</w:t>
                  </w:r>
                </w:p>
              </w:tc>
              <w:tc>
                <w:tcPr>
                  <w:tcW w:w="101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{contained}{/substances}</w:t>
                  </w:r>
                </w:p>
              </w:tc>
            </w:tr>
          </w:tbl>
          <w:p>
            <w:pPr>
              <w:pStyle w:val="Style16"/>
              <w:rPr/>
            </w:pPr>
            <w:r>
              <w:rPr/>
              <w:t>{/structures}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4. Substance composition matrix</w:t>
      </w:r>
    </w:p>
    <w:p>
      <w:pPr>
        <w:pStyle w:val="Normal"/>
        <w:rPr/>
      </w:pPr>
      <w:r>
        <w:rPr/>
        <w:t>In the following, for each substance, the associated structure(s) and the composition are given.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70"/>
        <w:gridCol w:w="840"/>
        <w:gridCol w:w="1363"/>
        <w:gridCol w:w="1082"/>
        <w:gridCol w:w="963"/>
        <w:gridCol w:w="566"/>
        <w:gridCol w:w="1082"/>
        <w:gridCol w:w="1245"/>
        <w:gridCol w:w="900"/>
        <w:gridCol w:w="1033"/>
      </w:tblGrid>
      <w:tr>
        <w:trPr>
          <w:tblHeader w:val="true"/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I5UUID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Constituent name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Contained as</w:t>
            </w:r>
          </w:p>
        </w:tc>
      </w:tr>
      <w:tr>
        <w:trPr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{#matrix}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{cas}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{substancename}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{i5uuid}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{datasource}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{constituentname}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{content}</w:t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{containedas}{/matrix}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5. Assessment data matrix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following, for each substance, the associated endpoint data are given, either experimental data, waiving or read-across.</w:t>
      </w:r>
    </w:p>
    <w:p>
      <w:pPr>
        <w:pStyle w:val="Normal"/>
        <w:rPr/>
      </w:pPr>
      <w:r>
        <w:rPr/>
        <w:t>For detailed data or rationale for waiving and read-across, click hyperlinks in the table. These data or rationales can also be found in the annex of the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{#dataMatrix}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{tag1}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{tag2}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{tag3}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{name1}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{name2}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{name2}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 No.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{cas1}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{cas2}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{cas3}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{#data}{title}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{value1}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{value2}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{value3}{/data}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{/dataMatrix}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bg-BG" w:eastAsia="zh-CN" w:bidi="hi-IN"/>
    </w:rPr>
  </w:style>
  <w:style w:type="paragraph" w:styleId="1">
    <w:name w:val="Заглавие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лавие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лавие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Заглавие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ен текст"/>
    <w:basedOn w:val="Normal"/>
    <w:pPr>
      <w:spacing w:lineRule="auto" w:line="288" w:before="0" w:after="140"/>
    </w:pPr>
    <w:rPr/>
  </w:style>
  <w:style w:type="paragraph" w:styleId="Style13">
    <w:name w:val="Списък"/>
    <w:basedOn w:val="Style12"/>
    <w:pPr/>
    <w:rPr>
      <w:rFonts w:cs="FreeSans"/>
    </w:rPr>
  </w:style>
  <w:style w:type="paragraph" w:styleId="Style14">
    <w:name w:val="Надпис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FreeSans"/>
    </w:rPr>
  </w:style>
  <w:style w:type="paragraph" w:styleId="Style16">
    <w:name w:val="Таблица - съдържание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7">
    <w:name w:val="Заглавие на документ"/>
    <w:basedOn w:val="Style11"/>
    <w:pPr>
      <w:jc w:val="center"/>
    </w:pPr>
    <w:rPr>
      <w:b/>
      <w:bCs/>
      <w:sz w:val="56"/>
      <w:szCs w:val="56"/>
    </w:rPr>
  </w:style>
  <w:style w:type="paragraph" w:styleId="Style18">
    <w:name w:val="Подзаглавие"/>
    <w:basedOn w:val="Style11"/>
    <w:pPr>
      <w:spacing w:before="60" w:after="120"/>
      <w:jc w:val="center"/>
    </w:pPr>
    <w:rPr>
      <w:sz w:val="36"/>
      <w:szCs w:val="36"/>
    </w:rPr>
  </w:style>
  <w:style w:type="paragraph" w:styleId="Style19">
    <w:name w:val="Таблица - заглавие"/>
    <w:basedOn w:val="Style16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11520</TotalTime>
  <Application>LibreOffice/4.4.2.2$Linux_X86_64 LibreOffice_project/40m0$Build-2</Application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2015-06-26T18:38:41Z</dcterms:created>
  <dc:language>bg-BG</dc:language>
  <dcterms:modified xsi:type="dcterms:W3CDTF">2015-07-02T12:01:10Z</dcterms:modified>
  <cp:revision>44</cp:revision>
</cp:coreProperties>
</file>