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i/>
          <w:iCs/>
          <w:color w:val="C2542F"/>
          <w:sz w:val="96"/>
          <w:szCs w:val="96"/>
        </w:rPr>
        <w:t xml:space="preserve">PAIDEIA</w:t>
      </w:r>
    </w:p>
    <w:p>
      <w:pPr>
        <w:spacing w:after="100" w:before="200"/>
        <w:jc w:val="center"/>
      </w:pPr>
      <w:r>
        <w:rPr>
          <w:color w:val="1F2937"/>
          <w:sz w:val="40"/>
          <w:szCs w:val="40"/>
        </w:rPr>
        <w:t xml:space="preserve">Manual do Usuário</w:t>
      </w:r>
    </w:p>
    <w:p>
      <w:pPr>
        <w:spacing w:after="2000"/>
        <w:jc w:val="center"/>
      </w:pPr>
      <w:r>
        <w:rPr>
          <w:i/>
          <w:iCs/>
          <w:color w:val="6B7280"/>
          <w:sz w:val="22"/>
          <w:szCs w:val="22"/>
        </w:rPr>
        <w:t xml:space="preserve">Plataforma de Supervisão Clínica com Inteligência Dialógica</w:t>
      </w:r>
    </w:p>
    <w:p>
      <w:pPr>
        <w:jc w:val="center"/>
      </w:pPr>
      <w:r>
        <w:rPr>
          <w:color w:val="6B7280"/>
          <w:sz w:val="20"/>
          <w:szCs w:val="20"/>
        </w:rPr>
        <w:t xml:space="preserve">Versão Web e Aplicativo Mobile</w:t>
      </w:r>
    </w:p>
    <w:p>
      <w:pPr>
        <w:spacing w:before="3600"/>
        <w:jc w:val="center"/>
      </w:pPr>
      <w:r>
        <w:rPr>
          <w:color w:val="6B7280"/>
          <w:sz w:val="18"/>
          <w:szCs w:val="18"/>
        </w:rPr>
        <w:t xml:space="preserve">Documento de referência para terapeutas e administradores</w:t>
      </w:r>
    </w:p>
    <w:p>
      <w:r>
        <w:br w:type="page"/>
      </w:r>
    </w:p>
    <w:p>
      <w:pPr>
        <w:pStyle w:val="Heading1"/>
        <w:pBdr>
          <w:bottom w:val="single" w:color="C2542F" w:sz="12" w:space="4"/>
        </w:pBdr>
        <w:spacing w:after="240" w:before="480"/>
      </w:pPr>
      <w:r>
        <w:rPr>
          <w:b/>
          <w:bCs/>
          <w:color w:val="87371A"/>
          <w:sz w:val="34"/>
          <w:szCs w:val="34"/>
        </w:rPr>
        <w:t xml:space="preserve">Sumário</w:t>
      </w:r>
    </w:p>
    <w:p>
      <w:pPr>
        <w:spacing w:after="140"/>
      </w:pPr>
      <w:r>
        <w:rPr>
          <w:color w:val="1F2937"/>
          <w:sz w:val="22"/>
          <w:szCs w:val="22"/>
        </w:rPr>
        <w:t xml:space="preserve">1. Introdução ao Paideia</w:t>
      </w:r>
    </w:p>
    <w:p>
      <w:pPr>
        <w:spacing w:after="140"/>
      </w:pPr>
      <w:r>
        <w:rPr>
          <w:color w:val="1F2937"/>
          <w:sz w:val="22"/>
          <w:szCs w:val="22"/>
        </w:rPr>
        <w:t xml:space="preserve">2. Primeiros Passos (Cadastro e Login)</w:t>
      </w:r>
    </w:p>
    <w:p>
      <w:pPr>
        <w:spacing w:after="140"/>
      </w:pPr>
      <w:r>
        <w:rPr>
          <w:color w:val="1F2937"/>
          <w:sz w:val="22"/>
          <w:szCs w:val="22"/>
        </w:rPr>
        <w:t xml:space="preserve">3. Navegação Geral da Versão Web</w:t>
      </w:r>
    </w:p>
    <w:p>
      <w:pPr>
        <w:spacing w:after="140"/>
      </w:pPr>
      <w:r>
        <w:rPr>
          <w:color w:val="1F2937"/>
          <w:sz w:val="22"/>
          <w:szCs w:val="22"/>
        </w:rPr>
        <w:t xml:space="preserve">4. Home</w:t>
      </w:r>
    </w:p>
    <w:p>
      <w:pPr>
        <w:spacing w:after="140"/>
      </w:pPr>
      <w:r>
        <w:rPr>
          <w:color w:val="1F2937"/>
          <w:sz w:val="22"/>
          <w:szCs w:val="22"/>
        </w:rPr>
        <w:t xml:space="preserve">5. Supervisão com Inteligência Artificial</w:t>
      </w:r>
    </w:p>
    <w:p>
      <w:pPr>
        <w:spacing w:after="140"/>
      </w:pPr>
      <w:r>
        <w:rPr>
          <w:color w:val="1F2937"/>
          <w:sz w:val="22"/>
          <w:szCs w:val="22"/>
        </w:rPr>
        <w:t xml:space="preserve">6. Clientes</w:t>
      </w:r>
    </w:p>
    <w:p>
      <w:pPr>
        <w:spacing w:after="140"/>
      </w:pPr>
      <w:r>
        <w:rPr>
          <w:color w:val="1F2937"/>
          <w:sz w:val="22"/>
          <w:szCs w:val="22"/>
        </w:rPr>
        <w:t xml:space="preserve">7. Agenda</w:t>
      </w:r>
    </w:p>
    <w:p>
      <w:pPr>
        <w:spacing w:after="140"/>
      </w:pPr>
      <w:r>
        <w:rPr>
          <w:color w:val="1F2937"/>
          <w:sz w:val="22"/>
          <w:szCs w:val="22"/>
        </w:rPr>
        <w:t xml:space="preserve">8. Meu Escritório (Relatórios e Documentos)</w:t>
      </w:r>
    </w:p>
    <w:p>
      <w:pPr>
        <w:spacing w:after="140"/>
      </w:pPr>
      <w:r>
        <w:rPr>
          <w:color w:val="1F2937"/>
          <w:sz w:val="22"/>
          <w:szCs w:val="22"/>
        </w:rPr>
        <w:t xml:space="preserve">9. Certificado de Supervisão</w:t>
      </w:r>
    </w:p>
    <w:p>
      <w:pPr>
        <w:spacing w:after="140"/>
      </w:pPr>
      <w:r>
        <w:rPr>
          <w:color w:val="1F2937"/>
          <w:sz w:val="22"/>
          <w:szCs w:val="22"/>
        </w:rPr>
        <w:t xml:space="preserve">10. Pesquisa de Satisfação</w:t>
      </w:r>
    </w:p>
    <w:p>
      <w:pPr>
        <w:spacing w:after="140"/>
      </w:pPr>
      <w:r>
        <w:rPr>
          <w:color w:val="1F2937"/>
          <w:sz w:val="22"/>
          <w:szCs w:val="22"/>
        </w:rPr>
        <w:t xml:space="preserve">11. Configurações</w:t>
      </w:r>
    </w:p>
    <w:p>
      <w:pPr>
        <w:spacing w:after="140"/>
      </w:pPr>
      <w:r>
        <w:rPr>
          <w:color w:val="1F2937"/>
          <w:sz w:val="22"/>
          <w:szCs w:val="22"/>
        </w:rPr>
        <w:t xml:space="preserve">12. Aplicativo Mobile</w:t>
      </w:r>
    </w:p>
    <w:p>
      <w:pPr>
        <w:spacing w:after="140"/>
      </w:pPr>
      <w:r>
        <w:rPr>
          <w:color w:val="1F2937"/>
          <w:sz w:val="22"/>
          <w:szCs w:val="22"/>
        </w:rPr>
        <w:t xml:space="preserve">13. Entrada por Voz (Ditado)</w:t>
      </w:r>
    </w:p>
    <w:p>
      <w:pPr>
        <w:spacing w:after="140"/>
      </w:pPr>
      <w:r>
        <w:rPr>
          <w:color w:val="1F2937"/>
          <w:sz w:val="22"/>
          <w:szCs w:val="22"/>
        </w:rPr>
        <w:t xml:space="preserve">14. Perguntas Frequentes e Solução de Problemas</w:t>
      </w:r>
    </w:p>
    <w:p>
      <w:pPr>
        <w:spacing w:after="140"/>
      </w:pPr>
      <w:r>
        <w:rPr>
          <w:color w:val="1F2937"/>
          <w:sz w:val="22"/>
          <w:szCs w:val="22"/>
        </w:rPr>
        <w:t xml:space="preserve">15. Ética, Privacidade e Segurança (CFP e LGPD)</w:t>
      </w:r>
    </w:p>
    <w:p>
      <w:r>
        <w:br w:type="page"/>
      </w:r>
    </w:p>
    <w:p>
      <w:pPr>
        <w:pStyle w:val="Heading1"/>
        <w:pBdr>
          <w:bottom w:val="single" w:color="C2542F" w:sz="12" w:space="4"/>
        </w:pBdr>
        <w:spacing w:after="240" w:before="480"/>
      </w:pPr>
      <w:r>
        <w:rPr>
          <w:b/>
          <w:bCs/>
          <w:color w:val="87371A"/>
          <w:sz w:val="34"/>
          <w:szCs w:val="34"/>
        </w:rPr>
        <w:t xml:space="preserve">1. Introdução ao Paideia</w:t>
      </w:r>
    </w:p>
    <w:p>
      <w:pPr>
        <w:spacing w:after="160" w:line="276"/>
      </w:pPr>
      <w:r>
        <w:rPr>
          <w:sz w:val="21"/>
          <w:szCs w:val="21"/>
        </w:rPr>
        <w:t xml:space="preserve">O Paideia é uma plataforma de Formação Clínica Continuada para psicólogos, psicanalistas e terapeutas de diversas abordagens. O sistema não substitui a supervisão clínica humana nem realiza diagnósticos — ele oferece um espaço de reflexão dialógica apoiado por Inteligência Artificial, ajudando o profissional a organizar seu raciocínio clínico, aprofundar teoricamente os casos acompanhados e manter um registro estruturado da sua formação continuada.</w:t>
      </w:r>
    </w:p>
    <w:p>
      <w:pPr>
        <w:pStyle w:val="Heading2"/>
        <w:spacing w:after="160" w:before="360"/>
      </w:pPr>
      <w:r>
        <w:rPr>
          <w:b/>
          <w:bCs/>
          <w:color w:val="C2542F"/>
          <w:sz w:val="26"/>
          <w:szCs w:val="26"/>
        </w:rPr>
        <w:t xml:space="preserve">1.1 O que o Paideia faz</w:t>
      </w:r>
    </w:p>
    <w:p>
      <w:pPr>
        <w:pStyle w:val="ListParagraph"/>
        <w:numPr>
          <w:ilvl w:val="0"/>
          <w:numId w:val="2"/>
        </w:numPr>
        <w:spacing w:after="80" w:line="270"/>
      </w:pPr>
      <w:r>
        <w:rPr>
          <w:sz w:val="21"/>
          <w:szCs w:val="21"/>
        </w:rPr>
        <w:t xml:space="preserve">Supervisão dialógica com IA: conversas orientadas por perguntas, não por respostas prontas, para ajudar o terapeuta a pensar sobre seus próprios casos.</w:t>
      </w:r>
    </w:p>
    <w:p>
      <w:pPr>
        <w:pStyle w:val="ListParagraph"/>
        <w:numPr>
          <w:ilvl w:val="0"/>
          <w:numId w:val="2"/>
        </w:numPr>
        <w:spacing w:after="80" w:line="270"/>
      </w:pPr>
      <w:r>
        <w:rPr>
          <w:sz w:val="21"/>
          <w:szCs w:val="21"/>
        </w:rPr>
        <w:t xml:space="preserve">Registro de evoluções clínicas geradas a partir das supervisões.</w:t>
      </w:r>
    </w:p>
    <w:p>
      <w:pPr>
        <w:pStyle w:val="ListParagraph"/>
        <w:numPr>
          <w:ilvl w:val="0"/>
          <w:numId w:val="2"/>
        </w:numPr>
        <w:spacing w:after="80" w:line="270"/>
      </w:pPr>
      <w:r>
        <w:rPr>
          <w:sz w:val="21"/>
          <w:szCs w:val="21"/>
        </w:rPr>
        <w:t xml:space="preserve">Gestão de clientes, anamneses, agenda e documentos do consultório.</w:t>
      </w:r>
    </w:p>
    <w:p>
      <w:pPr>
        <w:pStyle w:val="ListParagraph"/>
        <w:numPr>
          <w:ilvl w:val="0"/>
          <w:numId w:val="2"/>
        </w:numPr>
        <w:spacing w:after="80" w:line="270"/>
      </w:pPr>
      <w:r>
        <w:rPr>
          <w:sz w:val="21"/>
          <w:szCs w:val="21"/>
        </w:rPr>
        <w:t xml:space="preserve">Emissão de certificado de horas de Formação Clínica Continuada, por abordagem teórica.</w:t>
      </w:r>
    </w:p>
    <w:p>
      <w:pPr>
        <w:pStyle w:val="ListParagraph"/>
        <w:numPr>
          <w:ilvl w:val="0"/>
          <w:numId w:val="2"/>
        </w:numPr>
        <w:spacing w:after="80" w:line="270"/>
      </w:pPr>
      <w:r>
        <w:rPr>
          <w:sz w:val="21"/>
          <w:szCs w:val="21"/>
        </w:rPr>
        <w:t xml:space="preserve">Disponível na web (navegador) e em aplicativo mobile (iOS/Android).</w:t>
      </w:r>
    </w:p>
    <w:p>
      <w:pPr>
        <w:pStyle w:val="Heading2"/>
        <w:spacing w:after="160" w:before="360"/>
      </w:pPr>
      <w:r>
        <w:rPr>
          <w:b/>
          <w:bCs/>
          <w:color w:val="C2542F"/>
          <w:sz w:val="26"/>
          <w:szCs w:val="26"/>
        </w:rPr>
        <w:t xml:space="preserve">1.2 O que o Paideia não é</w:t>
      </w:r>
    </w:p>
    <w:p>
      <w:pPr>
        <w:pStyle w:val="ListParagraph"/>
        <w:numPr>
          <w:ilvl w:val="0"/>
          <w:numId w:val="2"/>
        </w:numPr>
        <w:spacing w:after="80" w:line="270"/>
      </w:pPr>
      <w:r>
        <w:rPr>
          <w:sz w:val="21"/>
          <w:szCs w:val="21"/>
        </w:rPr>
        <w:t xml:space="preserve">Não substitui supervisão clínica presencial ou com supervisor humano.</w:t>
      </w:r>
    </w:p>
    <w:p>
      <w:pPr>
        <w:pStyle w:val="ListParagraph"/>
        <w:numPr>
          <w:ilvl w:val="0"/>
          <w:numId w:val="2"/>
        </w:numPr>
        <w:spacing w:after="80" w:line="270"/>
      </w:pPr>
      <w:r>
        <w:rPr>
          <w:sz w:val="21"/>
          <w:szCs w:val="21"/>
        </w:rPr>
        <w:t xml:space="preserve">Não realiza diagnósticos nem toma decisões clínicas pelo terapeuta.</w:t>
      </w:r>
    </w:p>
    <w:p>
      <w:pPr>
        <w:pStyle w:val="ListParagraph"/>
        <w:numPr>
          <w:ilvl w:val="0"/>
          <w:numId w:val="2"/>
        </w:numPr>
        <w:spacing w:after="80" w:line="270"/>
      </w:pPr>
      <w:r>
        <w:rPr>
          <w:sz w:val="21"/>
          <w:szCs w:val="21"/>
        </w:rPr>
        <w:t xml:space="preserve">Não armazena nem processa dados identificáveis de pacientes nas conversas com a IA — a responsabilidade pela pseudonimização é do profissional.</w:t>
      </w:r>
    </w:p>
    <w:p>
      <w:pPr>
        <w:pStyle w:val="Heading2"/>
        <w:spacing w:after="160" w:before="360"/>
      </w:pPr>
      <w:r>
        <w:rPr>
          <w:b/>
          <w:bCs/>
          <w:color w:val="C2542F"/>
          <w:sz w:val="26"/>
          <w:szCs w:val="26"/>
        </w:rPr>
        <w:t xml:space="preserve">1.3 Para quem é este manual</w:t>
      </w:r>
    </w:p>
    <w:p>
      <w:pPr>
        <w:spacing w:after="160" w:line="276"/>
      </w:pPr>
      <w:r>
        <w:rPr>
          <w:sz w:val="21"/>
          <w:szCs w:val="21"/>
        </w:rPr>
        <w:t xml:space="preserve">Este manual cobre o uso da plataforma por dois perfis:</w:t>
      </w:r>
    </w:p>
    <w:p>
      <w:pPr>
        <w:pStyle w:val="ListParagraph"/>
        <w:numPr>
          <w:ilvl w:val="0"/>
          <w:numId w:val="2"/>
        </w:numPr>
        <w:spacing w:after="80" w:line="270"/>
      </w:pPr>
      <w:r>
        <w:rPr>
          <w:sz w:val="21"/>
          <w:szCs w:val="21"/>
        </w:rPr>
        <w:t xml:space="preserve">Terapeuta: uso diário do sistema — supervisão, clientes, agenda, certificado, configurações pessoais.</w:t>
      </w:r>
    </w:p>
    <w:p>
      <w:pPr>
        <w:pStyle w:val="ListParagraph"/>
        <w:numPr>
          <w:ilvl w:val="0"/>
          <w:numId w:val="2"/>
        </w:numPr>
        <w:spacing w:after="80" w:line="270"/>
      </w:pPr>
      <w:r>
        <w:rPr>
          <w:sz w:val="21"/>
          <w:szCs w:val="21"/>
        </w:rPr>
        <w:t xml:space="preserve">Administrador: além de tudo o que o terapeuta acessa, funções de gestão da plataforma — terapeutas, base de conhecimento (RAG), prompts de IA, formulários de anamnese e resultados da pesquisa de satisfação.</w:t>
      </w:r>
    </w:p>
    <w:p>
      <w:pPr>
        <w:pBdr>
          <w:top w:val="single" w:color="C2542F" w:sz="4" w:space="6"/>
          <w:bottom w:val="single" w:color="C2542F" w:sz="4" w:space="6"/>
          <w:left w:val="single" w:color="C2542F" w:sz="12" w:space="8"/>
          <w:right w:val="single" w:color="C2542F" w:sz="4" w:space="6"/>
        </w:pBdr>
        <w:shd w:fill="FDF1ED" w:color="auto" w:val="clear"/>
        <w:spacing w:after="200" w:before="120"/>
        <w:ind w:left="100" w:right="100"/>
      </w:pPr>
      <w:r>
        <w:rPr>
          <w:b/>
          <w:bCs/>
          <w:color w:val="87371A"/>
          <w:sz w:val="20"/>
          <w:szCs w:val="20"/>
        </w:rPr>
        <w:t xml:space="preserve">Nota: </w:t>
      </w:r>
      <w:r>
        <w:rPr>
          <w:color w:val="5C3A2E"/>
          <w:sz w:val="20"/>
          <w:szCs w:val="20"/>
        </w:rPr>
        <w:t xml:space="preserve">Seções e telas exclusivas de administrador estão sinalizadas ao longo do manual com a marcação "Somente administrador".</w:t>
      </w:r>
    </w:p>
    <w:p>
      <w:r>
        <w:br w:type="page"/>
      </w:r>
    </w:p>
    <w:p>
      <w:pPr>
        <w:pStyle w:val="Heading1"/>
        <w:pBdr>
          <w:bottom w:val="single" w:color="C2542F" w:sz="12" w:space="4"/>
        </w:pBdr>
        <w:spacing w:after="240" w:before="480"/>
      </w:pPr>
      <w:r>
        <w:rPr>
          <w:b/>
          <w:bCs/>
          <w:color w:val="87371A"/>
          <w:sz w:val="34"/>
          <w:szCs w:val="34"/>
        </w:rPr>
        <w:t xml:space="preserve">2. Primeiros Passos (Cadastro e Login)</w:t>
      </w:r>
    </w:p>
    <w:p>
      <w:pPr>
        <w:pStyle w:val="Heading2"/>
        <w:spacing w:after="160" w:before="360"/>
      </w:pPr>
      <w:r>
        <w:rPr>
          <w:b/>
          <w:bCs/>
          <w:color w:val="C2542F"/>
          <w:sz w:val="26"/>
          <w:szCs w:val="26"/>
        </w:rPr>
        <w:t xml:space="preserve">2.1 Criando uma conta</w:t>
      </w:r>
    </w:p>
    <w:p>
      <w:pPr>
        <w:pStyle w:val="ListParagraph"/>
        <w:numPr>
          <w:ilvl w:val="0"/>
          <w:numId w:val="3"/>
        </w:numPr>
        <w:spacing w:after="100" w:line="270"/>
      </w:pPr>
      <w:r>
        <w:rPr>
          <w:sz w:val="21"/>
          <w:szCs w:val="21"/>
        </w:rPr>
        <w:t xml:space="preserve">Acesse a landing page do Paideia e clique em "Criar conta" (ou acesse diretamente a tela de cadastro).</w:t>
      </w:r>
    </w:p>
    <w:p>
      <w:pPr>
        <w:pStyle w:val="ListParagraph"/>
        <w:numPr>
          <w:ilvl w:val="0"/>
          <w:numId w:val="3"/>
        </w:numPr>
        <w:spacing w:after="100" w:line="270"/>
      </w:pPr>
      <w:r>
        <w:rPr>
          <w:sz w:val="21"/>
          <w:szCs w:val="21"/>
        </w:rPr>
        <w:t xml:space="preserve">Preencha nome completo, e-mail e senha.</w:t>
      </w:r>
    </w:p>
    <w:p>
      <w:pPr>
        <w:pStyle w:val="ListParagraph"/>
        <w:numPr>
          <w:ilvl w:val="0"/>
          <w:numId w:val="3"/>
        </w:numPr>
        <w:spacing w:after="100" w:line="270"/>
      </w:pPr>
      <w:r>
        <w:rPr>
          <w:sz w:val="21"/>
          <w:szCs w:val="21"/>
        </w:rPr>
        <w:t xml:space="preserve">Selecione a(s) abordagem(ns) teórica(s) que deseja contratar.</w:t>
      </w:r>
    </w:p>
    <w:p>
      <w:pPr>
        <w:pStyle w:val="ListParagraph"/>
        <w:numPr>
          <w:ilvl w:val="0"/>
          <w:numId w:val="3"/>
        </w:numPr>
        <w:spacing w:after="100" w:line="270"/>
      </w:pPr>
      <w:r>
        <w:rPr>
          <w:sz w:val="21"/>
          <w:szCs w:val="21"/>
        </w:rPr>
        <w:t xml:space="preserve">Escolha a categoria de plano (individual) e a periodicidade de cobrança (mensal).</w:t>
      </w:r>
    </w:p>
    <w:p>
      <w:pPr>
        <w:pStyle w:val="ListParagraph"/>
        <w:numPr>
          <w:ilvl w:val="0"/>
          <w:numId w:val="3"/>
        </w:numPr>
        <w:spacing w:after="100" w:line="270"/>
      </w:pPr>
      <w:r>
        <w:rPr>
          <w:sz w:val="21"/>
          <w:szCs w:val="21"/>
        </w:rPr>
        <w:t xml:space="preserve">Confirme os dados e prossiga para a etapa de pagamento.</w:t>
      </w:r>
    </w:p>
    <w:p>
      <w:pPr>
        <w:pBdr>
          <w:top w:val="single" w:color="C2542F" w:sz="4" w:space="6"/>
          <w:bottom w:val="single" w:color="C2542F" w:sz="4" w:space="6"/>
          <w:left w:val="single" w:color="C2542F" w:sz="12" w:space="8"/>
          <w:right w:val="single" w:color="C2542F" w:sz="4" w:space="6"/>
        </w:pBdr>
        <w:shd w:fill="FDF1ED" w:color="auto" w:val="clear"/>
        <w:spacing w:after="200" w:before="120"/>
        <w:ind w:left="100" w:right="100"/>
      </w:pPr>
      <w:r>
        <w:rPr>
          <w:b/>
          <w:bCs/>
          <w:color w:val="87371A"/>
          <w:sz w:val="20"/>
          <w:szCs w:val="20"/>
        </w:rPr>
        <w:t xml:space="preserve">Nota: </w:t>
      </w:r>
      <w:r>
        <w:rPr>
          <w:color w:val="5C3A2E"/>
          <w:sz w:val="20"/>
          <w:szCs w:val="20"/>
        </w:rPr>
        <w:t xml:space="preserve">Durante a fase de testes, sem checkout de pagamento ativo, o acesso normalmente é liberado pelo administrador diretamente em Configurações → Terapeutas (ver seção 11.9), sem que o terapeuta precise passar pela etapa de pagamento.</w:t>
      </w:r>
    </w:p>
    <w:p>
      <w:pPr>
        <w:pStyle w:val="Heading2"/>
        <w:spacing w:after="160" w:before="360"/>
      </w:pPr>
      <w:r>
        <w:rPr>
          <w:b/>
          <w:bCs/>
          <w:color w:val="C2542F"/>
          <w:sz w:val="26"/>
          <w:szCs w:val="26"/>
        </w:rPr>
        <w:t xml:space="preserve">2.2 Fazendo login</w:t>
      </w:r>
    </w:p>
    <w:p>
      <w:pPr>
        <w:spacing w:after="160" w:line="276"/>
      </w:pPr>
      <w:r>
        <w:rPr>
          <w:sz w:val="21"/>
          <w:szCs w:val="21"/>
        </w:rPr>
        <w:t xml:space="preserve">Na tela de login, você pode entrar de duas formas:</w:t>
      </w:r>
    </w:p>
    <w:p>
      <w:pPr>
        <w:pStyle w:val="ListParagraph"/>
        <w:numPr>
          <w:ilvl w:val="0"/>
          <w:numId w:val="2"/>
        </w:numPr>
        <w:spacing w:after="80" w:line="270"/>
      </w:pPr>
      <w:r>
        <w:rPr>
          <w:sz w:val="21"/>
          <w:szCs w:val="21"/>
        </w:rPr>
        <w:t xml:space="preserve">E-mail e senha: informe as credenciais cadastradas e clique em "Entrar".</w:t>
      </w:r>
    </w:p>
    <w:p>
      <w:pPr>
        <w:pStyle w:val="ListParagraph"/>
        <w:numPr>
          <w:ilvl w:val="0"/>
          <w:numId w:val="2"/>
        </w:numPr>
        <w:spacing w:after="80" w:line="270"/>
      </w:pPr>
      <w:r>
        <w:rPr>
          <w:sz w:val="21"/>
          <w:szCs w:val="21"/>
        </w:rPr>
        <w:t xml:space="preserve">Continuar com Google: autentica usando sua conta Google associada ao mesmo e-mail do cadastro.</w:t>
      </w:r>
    </w:p>
    <w:p>
      <w:pPr>
        <w:spacing w:after="160" w:line="276"/>
      </w:pPr>
      <w:r>
        <w:rPr>
          <w:sz w:val="21"/>
          <w:szCs w:val="21"/>
        </w:rPr>
        <w:t xml:space="preserve">Caso tenha esquecido a senha, use o link "Esqueci minha senha" na tela de login para receber um e-mail de redefinição.</w:t>
      </w:r>
    </w:p>
    <w:p>
      <w:pPr>
        <w:pStyle w:val="Heading2"/>
        <w:spacing w:after="160" w:before="360"/>
      </w:pPr>
      <w:r>
        <w:rPr>
          <w:b/>
          <w:bCs/>
          <w:color w:val="C2542F"/>
          <w:sz w:val="26"/>
          <w:szCs w:val="26"/>
        </w:rPr>
        <w:t xml:space="preserve">2.3 Primeira configuração recomendada</w:t>
      </w:r>
    </w:p>
    <w:p>
      <w:pPr>
        <w:spacing w:after="160" w:line="276"/>
      </w:pPr>
      <w:r>
        <w:rPr>
          <w:sz w:val="21"/>
          <w:szCs w:val="21"/>
        </w:rPr>
        <w:t xml:space="preserve">Após o primeiro login, vale revisar antes de começar a usar o sistema no dia a dia:</w:t>
      </w:r>
    </w:p>
    <w:p>
      <w:pPr>
        <w:pStyle w:val="ListParagraph"/>
        <w:numPr>
          <w:ilvl w:val="0"/>
          <w:numId w:val="2"/>
        </w:numPr>
        <w:spacing w:after="80" w:line="270"/>
      </w:pPr>
      <w:r>
        <w:rPr>
          <w:sz w:val="21"/>
          <w:szCs w:val="21"/>
        </w:rPr>
        <w:t xml:space="preserve">Configurações → Perfil: nome, foto, CRP, dados de contato e configurações clínicas (valor de sessão, duração padrão, dias de atendimento).</w:t>
      </w:r>
    </w:p>
    <w:p>
      <w:pPr>
        <w:pStyle w:val="ListParagraph"/>
        <w:numPr>
          <w:ilvl w:val="0"/>
          <w:numId w:val="2"/>
        </w:numPr>
        <w:spacing w:after="80" w:line="270"/>
      </w:pPr>
      <w:r>
        <w:rPr>
          <w:sz w:val="21"/>
          <w:szCs w:val="21"/>
        </w:rPr>
        <w:t xml:space="preserve">Configurações → API Key: necessária para as funcionalidades de Inteligência Artificial (supervisão, relatórios, certificado). Veja a seção 11.4.</w:t>
      </w:r>
    </w:p>
    <w:p>
      <w:pPr>
        <w:pStyle w:val="ListParagraph"/>
        <w:numPr>
          <w:ilvl w:val="0"/>
          <w:numId w:val="2"/>
        </w:numPr>
        <w:spacing w:after="80" w:line="270"/>
      </w:pPr>
      <w:r>
        <w:rPr>
          <w:sz w:val="21"/>
          <w:szCs w:val="21"/>
        </w:rPr>
        <w:t xml:space="preserve">Configurações → Minhas Bases: confirme quais abordagens teóricas estão liberadas para você.</w:t>
      </w:r>
    </w:p>
    <w:p>
      <w:pPr>
        <w:pStyle w:val="ListParagraph"/>
        <w:numPr>
          <w:ilvl w:val="0"/>
          <w:numId w:val="2"/>
        </w:numPr>
        <w:spacing w:after="80" w:line="270"/>
      </w:pPr>
      <w:r>
        <w:rPr>
          <w:sz w:val="21"/>
          <w:szCs w:val="21"/>
        </w:rPr>
        <w:t xml:space="preserve">Configurações → Ética CFP: leia e confirme os compromissos éticos exigidos pela Resolução CFP nº 21/2025.</w:t>
      </w:r>
    </w:p>
    <w:p>
      <w:r>
        <w:br w:type="page"/>
      </w:r>
    </w:p>
    <w:p>
      <w:pPr>
        <w:pStyle w:val="Heading1"/>
        <w:pBdr>
          <w:bottom w:val="single" w:color="C2542F" w:sz="12" w:space="4"/>
        </w:pBdr>
        <w:spacing w:after="240" w:before="480"/>
      </w:pPr>
      <w:r>
        <w:rPr>
          <w:b/>
          <w:bCs/>
          <w:color w:val="87371A"/>
          <w:sz w:val="34"/>
          <w:szCs w:val="34"/>
        </w:rPr>
        <w:t xml:space="preserve">3. Navegação Geral da Versão Web</w:t>
      </w:r>
    </w:p>
    <w:p>
      <w:pPr>
        <w:spacing w:after="160" w:line="276"/>
      </w:pPr>
      <w:r>
        <w:rPr>
          <w:sz w:val="21"/>
          <w:szCs w:val="21"/>
        </w:rPr>
        <w:t xml:space="preserve">O painel principal (dashboard) é composto por uma barra lateral de navegação e uma área de conteúdo central.</w:t>
      </w:r>
    </w:p>
    <w:p>
      <w:pPr>
        <w:pStyle w:val="Heading2"/>
        <w:spacing w:after="160" w:before="360"/>
      </w:pPr>
      <w:r>
        <w:rPr>
          <w:b/>
          <w:bCs/>
          <w:color w:val="C2542F"/>
          <w:sz w:val="26"/>
          <w:szCs w:val="26"/>
        </w:rPr>
        <w:t xml:space="preserve">3.1 Menu lateral</w:t>
      </w:r>
    </w:p>
    <w:p>
      <w:pPr>
        <w:pStyle w:val="ListParagraph"/>
        <w:numPr>
          <w:ilvl w:val="0"/>
          <w:numId w:val="2"/>
        </w:numPr>
        <w:spacing w:after="80" w:line="270"/>
      </w:pPr>
      <w:r>
        <w:rPr>
          <w:sz w:val="21"/>
          <w:szCs w:val="21"/>
        </w:rPr>
        <w:t xml:space="preserve">Home — visão geral do dia.</w:t>
      </w:r>
    </w:p>
    <w:p>
      <w:pPr>
        <w:pStyle w:val="ListParagraph"/>
        <w:numPr>
          <w:ilvl w:val="0"/>
          <w:numId w:val="2"/>
        </w:numPr>
        <w:spacing w:after="80" w:line="270"/>
      </w:pPr>
      <w:r>
        <w:rPr>
          <w:sz w:val="21"/>
          <w:szCs w:val="21"/>
        </w:rPr>
        <w:t xml:space="preserve">Supervisão — iniciar/continuar uma supervisão dialógica com IA.</w:t>
      </w:r>
    </w:p>
    <w:p>
      <w:pPr>
        <w:pStyle w:val="ListParagraph"/>
        <w:numPr>
          <w:ilvl w:val="0"/>
          <w:numId w:val="2"/>
        </w:numPr>
        <w:spacing w:after="80" w:line="270"/>
      </w:pPr>
      <w:r>
        <w:rPr>
          <w:sz w:val="21"/>
          <w:szCs w:val="21"/>
        </w:rPr>
        <w:t xml:space="preserve">Clientes — cadastro, anamnese, prontuário e histórico de cada caso.</w:t>
      </w:r>
    </w:p>
    <w:p>
      <w:pPr>
        <w:pStyle w:val="ListParagraph"/>
        <w:numPr>
          <w:ilvl w:val="0"/>
          <w:numId w:val="2"/>
        </w:numPr>
        <w:spacing w:after="80" w:line="270"/>
      </w:pPr>
      <w:r>
        <w:rPr>
          <w:sz w:val="21"/>
          <w:szCs w:val="21"/>
        </w:rPr>
        <w:t xml:space="preserve">Agenda — calendário de sessões.</w:t>
      </w:r>
    </w:p>
    <w:p>
      <w:pPr>
        <w:pStyle w:val="ListParagraph"/>
        <w:numPr>
          <w:ilvl w:val="0"/>
          <w:numId w:val="2"/>
        </w:numPr>
        <w:spacing w:after="80" w:line="270"/>
      </w:pPr>
      <w:r>
        <w:rPr>
          <w:sz w:val="21"/>
          <w:szCs w:val="21"/>
        </w:rPr>
        <w:t xml:space="preserve">Meu escritório — relatórios e documentos oficiais.</w:t>
      </w:r>
    </w:p>
    <w:p>
      <w:pPr>
        <w:pStyle w:val="ListParagraph"/>
        <w:numPr>
          <w:ilvl w:val="0"/>
          <w:numId w:val="2"/>
        </w:numPr>
        <w:spacing w:after="80" w:line="270"/>
      </w:pPr>
      <w:r>
        <w:rPr>
          <w:sz w:val="21"/>
          <w:szCs w:val="21"/>
        </w:rPr>
        <w:t xml:space="preserve">Certificado — emissão do certificado de Formação Clínica Continuada.</w:t>
      </w:r>
    </w:p>
    <w:p>
      <w:pPr>
        <w:pStyle w:val="ListParagraph"/>
        <w:numPr>
          <w:ilvl w:val="0"/>
          <w:numId w:val="2"/>
        </w:numPr>
        <w:spacing w:after="80" w:line="270"/>
      </w:pPr>
      <w:r>
        <w:rPr>
          <w:sz w:val="21"/>
          <w:szCs w:val="21"/>
        </w:rPr>
        <w:t xml:space="preserve">Pesquisa de Satisfação — formulário de avaliação da experiência com o Paideia.</w:t>
      </w:r>
    </w:p>
    <w:p>
      <w:pPr>
        <w:pStyle w:val="ListParagraph"/>
        <w:numPr>
          <w:ilvl w:val="0"/>
          <w:numId w:val="2"/>
        </w:numPr>
        <w:spacing w:after="80" w:line="270"/>
      </w:pPr>
      <w:r>
        <w:rPr>
          <w:sz w:val="21"/>
          <w:szCs w:val="21"/>
        </w:rPr>
        <w:t xml:space="preserve">Resultados da Pesquisa (somente administrador) — respostas agregadas da pesquisa acima.</w:t>
      </w:r>
    </w:p>
    <w:p>
      <w:pPr>
        <w:pStyle w:val="ListParagraph"/>
        <w:numPr>
          <w:ilvl w:val="0"/>
          <w:numId w:val="2"/>
        </w:numPr>
        <w:spacing w:after="80" w:line="270"/>
      </w:pPr>
      <w:r>
        <w:rPr>
          <w:sz w:val="21"/>
          <w:szCs w:val="21"/>
        </w:rPr>
        <w:t xml:space="preserve">Configurações — acesso na parte inferior da barra lateral.</w:t>
      </w:r>
    </w:p>
    <w:p>
      <w:pPr>
        <w:pStyle w:val="ListParagraph"/>
        <w:numPr>
          <w:ilvl w:val="0"/>
          <w:numId w:val="2"/>
        </w:numPr>
        <w:spacing w:after="80" w:line="270"/>
      </w:pPr>
      <w:r>
        <w:rPr>
          <w:sz w:val="21"/>
          <w:szCs w:val="21"/>
        </w:rPr>
        <w:t xml:space="preserve">Sair — encerra a sessão.</w:t>
      </w:r>
    </w:p>
    <w:p>
      <w:pPr>
        <w:pStyle w:val="Heading2"/>
        <w:spacing w:after="160" w:before="360"/>
      </w:pPr>
      <w:r>
        <w:rPr>
          <w:b/>
          <w:bCs/>
          <w:color w:val="C2542F"/>
          <w:sz w:val="26"/>
          <w:szCs w:val="26"/>
        </w:rPr>
        <w:t xml:space="preserve">3.2 Barra superior</w:t>
      </w:r>
    </w:p>
    <w:p>
      <w:pPr>
        <w:spacing w:after="160" w:line="276"/>
      </w:pPr>
      <w:r>
        <w:rPr>
          <w:sz w:val="21"/>
          <w:szCs w:val="21"/>
        </w:rPr>
        <w:t xml:space="preserve">Exibe atalhos de busca e notificações, quando aplicável à tela atual.</w:t>
      </w:r>
    </w:p>
    <w:p>
      <w:r>
        <w:br w:type="page"/>
      </w:r>
    </w:p>
    <w:p>
      <w:pPr>
        <w:pStyle w:val="Heading1"/>
        <w:pBdr>
          <w:bottom w:val="single" w:color="C2542F" w:sz="12" w:space="4"/>
        </w:pBdr>
        <w:spacing w:after="240" w:before="480"/>
      </w:pPr>
      <w:r>
        <w:rPr>
          <w:b/>
          <w:bCs/>
          <w:color w:val="87371A"/>
          <w:sz w:val="34"/>
          <w:szCs w:val="34"/>
        </w:rPr>
        <w:t xml:space="preserve">4. Home</w:t>
      </w:r>
    </w:p>
    <w:p>
      <w:pPr>
        <w:spacing w:after="160" w:line="276"/>
      </w:pPr>
      <w:r>
        <w:rPr>
          <w:sz w:val="21"/>
          <w:szCs w:val="21"/>
        </w:rPr>
        <w:t xml:space="preserve">A tela inicial cumprimenta o terapeuta pelo nome e mostra a data atual, funcionando como ponto de partida rápido para as duas ações mais frequentes do dia a dia:</w:t>
      </w:r>
    </w:p>
    <w:p>
      <w:pPr>
        <w:pStyle w:val="ListParagraph"/>
        <w:numPr>
          <w:ilvl w:val="0"/>
          <w:numId w:val="2"/>
        </w:numPr>
        <w:spacing w:after="80" w:line="270"/>
      </w:pPr>
      <w:r>
        <w:rPr>
          <w:sz w:val="21"/>
          <w:szCs w:val="21"/>
        </w:rPr>
        <w:t xml:space="preserve">Supervisionar cliente — abre a tela de Supervisão.</w:t>
      </w:r>
    </w:p>
    <w:p>
      <w:pPr>
        <w:pStyle w:val="ListParagraph"/>
        <w:numPr>
          <w:ilvl w:val="0"/>
          <w:numId w:val="2"/>
        </w:numPr>
        <w:spacing w:after="80" w:line="270"/>
      </w:pPr>
      <w:r>
        <w:rPr>
          <w:sz w:val="21"/>
          <w:szCs w:val="21"/>
        </w:rPr>
        <w:t xml:space="preserve">Novo Cliente — abre o formulário de cadastro de um novo cliente.</w:t>
      </w:r>
    </w:p>
    <w:p>
      <w:r>
        <w:br w:type="page"/>
      </w:r>
    </w:p>
    <w:p>
      <w:pPr>
        <w:pStyle w:val="Heading1"/>
        <w:pBdr>
          <w:bottom w:val="single" w:color="C2542F" w:sz="12" w:space="4"/>
        </w:pBdr>
        <w:spacing w:after="240" w:before="480"/>
      </w:pPr>
      <w:r>
        <w:rPr>
          <w:b/>
          <w:bCs/>
          <w:color w:val="87371A"/>
          <w:sz w:val="34"/>
          <w:szCs w:val="34"/>
        </w:rPr>
        <w:t xml:space="preserve">5. Supervisão com Inteligência Artificial</w:t>
      </w:r>
    </w:p>
    <w:p>
      <w:pPr>
        <w:spacing w:after="160" w:line="276"/>
      </w:pPr>
      <w:r>
        <w:rPr>
          <w:sz w:val="21"/>
          <w:szCs w:val="21"/>
        </w:rPr>
        <w:t xml:space="preserve">A Supervisão é o núcleo do Paideia: uma conversa dialógica com a IA sobre um caso clínico específico, feita para estimular a reflexão do terapeuta — não para entregar respostas prontas.</w:t>
      </w:r>
    </w:p>
    <w:p>
      <w:pPr>
        <w:pStyle w:val="Heading2"/>
        <w:spacing w:after="160" w:before="360"/>
      </w:pPr>
      <w:r>
        <w:rPr>
          <w:b/>
          <w:bCs/>
          <w:color w:val="C2542F"/>
          <w:sz w:val="26"/>
          <w:szCs w:val="26"/>
        </w:rPr>
        <w:t xml:space="preserve">5.1 Como iniciar uma supervisão</w:t>
      </w:r>
    </w:p>
    <w:p>
      <w:pPr>
        <w:pStyle w:val="ListParagraph"/>
        <w:numPr>
          <w:ilvl w:val="0"/>
          <w:numId w:val="3"/>
        </w:numPr>
        <w:spacing w:after="100" w:line="270"/>
      </w:pPr>
      <w:r>
        <w:rPr>
          <w:sz w:val="21"/>
          <w:szCs w:val="21"/>
        </w:rPr>
        <w:t xml:space="preserve">Acesse Supervisão no menu lateral (ou clique em "Supervisionar cliente" na Home).</w:t>
      </w:r>
    </w:p>
    <w:p>
      <w:pPr>
        <w:pStyle w:val="ListParagraph"/>
        <w:numPr>
          <w:ilvl w:val="0"/>
          <w:numId w:val="3"/>
        </w:numPr>
        <w:spacing w:after="100" w:line="270"/>
      </w:pPr>
      <w:r>
        <w:rPr>
          <w:sz w:val="21"/>
          <w:szCs w:val="21"/>
        </w:rPr>
        <w:t xml:space="preserve">Selecione o cliente que deseja supervisionar.</w:t>
      </w:r>
    </w:p>
    <w:p>
      <w:pPr>
        <w:pStyle w:val="ListParagraph"/>
        <w:numPr>
          <w:ilvl w:val="0"/>
          <w:numId w:val="3"/>
        </w:numPr>
        <w:spacing w:after="100" w:line="270"/>
      </w:pPr>
      <w:r>
        <w:rPr>
          <w:sz w:val="21"/>
          <w:szCs w:val="21"/>
        </w:rPr>
        <w:t xml:space="preserve">Selecione a abordagem teórica sob a qual a supervisão será conduzida.</w:t>
      </w:r>
    </w:p>
    <w:p>
      <w:pPr>
        <w:pStyle w:val="ListParagraph"/>
        <w:numPr>
          <w:ilvl w:val="0"/>
          <w:numId w:val="3"/>
        </w:numPr>
        <w:spacing w:after="100" w:line="270"/>
      </w:pPr>
      <w:r>
        <w:rPr>
          <w:sz w:val="21"/>
          <w:szCs w:val="21"/>
        </w:rPr>
        <w:t xml:space="preserve">Clique em "Iniciar supervisão" — a partir desse momento a duração da sessão passa a ser cronometrada.</w:t>
      </w:r>
    </w:p>
    <w:p>
      <w:pPr>
        <w:pStyle w:val="Heading2"/>
        <w:spacing w:after="160" w:before="360"/>
      </w:pPr>
      <w:r>
        <w:rPr>
          <w:b/>
          <w:bCs/>
          <w:color w:val="C2542F"/>
          <w:sz w:val="26"/>
          <w:szCs w:val="26"/>
        </w:rPr>
        <w:t xml:space="preserve">5.2 Durante a conversa</w:t>
      </w:r>
    </w:p>
    <w:p>
      <w:pPr>
        <w:pStyle w:val="ListParagraph"/>
        <w:numPr>
          <w:ilvl w:val="0"/>
          <w:numId w:val="2"/>
        </w:numPr>
        <w:spacing w:after="80" w:line="270"/>
      </w:pPr>
      <w:r>
        <w:rPr>
          <w:sz w:val="21"/>
          <w:szCs w:val="21"/>
        </w:rPr>
        <w:t xml:space="preserve">Digite (ou dite por voz — ver seção 13) a descrição do caso, dúvida ou situação clínica.</w:t>
      </w:r>
    </w:p>
    <w:p>
      <w:pPr>
        <w:pStyle w:val="ListParagraph"/>
        <w:numPr>
          <w:ilvl w:val="0"/>
          <w:numId w:val="2"/>
        </w:numPr>
        <w:spacing w:after="80" w:line="270"/>
      </w:pPr>
      <w:r>
        <w:rPr>
          <w:sz w:val="21"/>
          <w:szCs w:val="21"/>
        </w:rPr>
        <w:t xml:space="preserve">A IA responde com perguntas e reflexões baseadas na abordagem teórica escolhida e na base de conhecimento (RAG) cadastrada para aquela abordagem.</w:t>
      </w:r>
    </w:p>
    <w:p>
      <w:pPr>
        <w:pStyle w:val="ListParagraph"/>
        <w:numPr>
          <w:ilvl w:val="0"/>
          <w:numId w:val="2"/>
        </w:numPr>
        <w:spacing w:after="80" w:line="270"/>
      </w:pPr>
      <w:r>
        <w:rPr>
          <w:sz w:val="21"/>
          <w:szCs w:val="21"/>
        </w:rPr>
        <w:t xml:space="preserve">A conversa é salva automaticamente, mensagem a mensagem.</w:t>
      </w:r>
    </w:p>
    <w:p>
      <w:pPr>
        <w:pStyle w:val="ListParagraph"/>
        <w:numPr>
          <w:ilvl w:val="0"/>
          <w:numId w:val="2"/>
        </w:numPr>
        <w:spacing w:after="80" w:line="270"/>
      </w:pPr>
      <w:r>
        <w:rPr>
          <w:sz w:val="21"/>
          <w:szCs w:val="21"/>
        </w:rPr>
        <w:t xml:space="preserve">É possível pausar a supervisão (o cronômetro para) e retomar depois.</w:t>
      </w:r>
    </w:p>
    <w:p>
      <w:pPr>
        <w:pStyle w:val="Heading2"/>
        <w:spacing w:after="160" w:before="360"/>
      </w:pPr>
      <w:r>
        <w:rPr>
          <w:b/>
          <w:bCs/>
          <w:color w:val="C2542F"/>
          <w:sz w:val="26"/>
          <w:szCs w:val="26"/>
        </w:rPr>
        <w:t xml:space="preserve">5.3 Finalizando a supervisão</w:t>
      </w:r>
    </w:p>
    <w:p>
      <w:pPr>
        <w:pStyle w:val="ListParagraph"/>
        <w:numPr>
          <w:ilvl w:val="0"/>
          <w:numId w:val="3"/>
        </w:numPr>
        <w:spacing w:after="100" w:line="270"/>
      </w:pPr>
      <w:r>
        <w:rPr>
          <w:sz w:val="21"/>
          <w:szCs w:val="21"/>
        </w:rPr>
        <w:t xml:space="preserve">Clique em "Finalizar".</w:t>
      </w:r>
    </w:p>
    <w:p>
      <w:pPr>
        <w:pStyle w:val="ListParagraph"/>
        <w:numPr>
          <w:ilvl w:val="0"/>
          <w:numId w:val="3"/>
        </w:numPr>
        <w:spacing w:after="100" w:line="270"/>
      </w:pPr>
      <w:r>
        <w:rPr>
          <w:sz w:val="21"/>
          <w:szCs w:val="21"/>
        </w:rPr>
        <w:t xml:space="preserve">Preencha a data e o horário da sessão relacionada (se ainda não preenchidos automaticamente).</w:t>
      </w:r>
    </w:p>
    <w:p>
      <w:pPr>
        <w:pStyle w:val="ListParagraph"/>
        <w:numPr>
          <w:ilvl w:val="0"/>
          <w:numId w:val="3"/>
        </w:numPr>
        <w:spacing w:after="100" w:line="270"/>
      </w:pPr>
      <w:r>
        <w:rPr>
          <w:sz w:val="21"/>
          <w:szCs w:val="21"/>
        </w:rPr>
        <w:t xml:space="preserve">Registre impressões da sessão, hipótese clínica e plano para a próxima sessão.</w:t>
      </w:r>
    </w:p>
    <w:p>
      <w:pPr>
        <w:pStyle w:val="ListParagraph"/>
        <w:numPr>
          <w:ilvl w:val="0"/>
          <w:numId w:val="3"/>
        </w:numPr>
        <w:spacing w:after="100" w:line="270"/>
      </w:pPr>
      <w:r>
        <w:rPr>
          <w:sz w:val="21"/>
          <w:szCs w:val="21"/>
        </w:rPr>
        <w:t xml:space="preserve">Confirme — o sistema gera automaticamente um registro de Evolução Clínica vinculado a esse cliente, com a duração total da supervisão.</w:t>
      </w:r>
    </w:p>
    <w:p>
      <w:pPr>
        <w:pBdr>
          <w:top w:val="single" w:color="C2542F" w:sz="4" w:space="6"/>
          <w:bottom w:val="single" w:color="C2542F" w:sz="4" w:space="6"/>
          <w:left w:val="single" w:color="C2542F" w:sz="12" w:space="8"/>
          <w:right w:val="single" w:color="C2542F" w:sz="4" w:space="6"/>
        </w:pBdr>
        <w:shd w:fill="FDF1ED" w:color="auto" w:val="clear"/>
        <w:spacing w:after="200" w:before="120"/>
        <w:ind w:left="100" w:right="100"/>
      </w:pPr>
      <w:r>
        <w:rPr>
          <w:b/>
          <w:bCs/>
          <w:color w:val="87371A"/>
          <w:sz w:val="20"/>
          <w:szCs w:val="20"/>
        </w:rPr>
        <w:t xml:space="preserve">Nota: </w:t>
      </w:r>
      <w:r>
        <w:rPr>
          <w:color w:val="5C3A2E"/>
          <w:sz w:val="20"/>
          <w:szCs w:val="20"/>
        </w:rPr>
        <w:t xml:space="preserve">Após finalizada, a supervisão pode ser excluída (com sua transcrição completa) pela aba "Supervisões" no detalhe do cliente — ver seção 6.5. A exclusão da supervisão não apaga a evolução clínica gerada, que é um registro independente.</w:t>
      </w:r>
    </w:p>
    <w:p>
      <w:pPr>
        <w:pStyle w:val="Heading2"/>
        <w:spacing w:after="160" w:before="360"/>
      </w:pPr>
      <w:r>
        <w:rPr>
          <w:b/>
          <w:bCs/>
          <w:color w:val="C2542F"/>
          <w:sz w:val="26"/>
          <w:szCs w:val="26"/>
        </w:rPr>
        <w:t xml:space="preserve">5.4 Diferencial: Inteligência Dialógica</w:t>
      </w:r>
    </w:p>
    <w:p>
      <w:pPr>
        <w:spacing w:after="160" w:line="276"/>
      </w:pPr>
      <w:r>
        <w:rPr>
          <w:sz w:val="21"/>
          <w:szCs w:val="21"/>
        </w:rPr>
        <w:t xml:space="preserve">Ao contrário de uma IA generalista, o Paideia é desenhado para não entregar respostas prontas. As perguntas feitas ao longo da conversa têm o objetivo de ajudar o terapeuta a construir seu próprio raciocínio clínico, revisitar hipóteses e perceber aspectos do caso que talvez não tivessem sido considerados.</w:t>
      </w:r>
    </w:p>
    <w:p>
      <w:r>
        <w:br w:type="page"/>
      </w:r>
    </w:p>
    <w:p>
      <w:pPr>
        <w:pStyle w:val="Heading1"/>
        <w:pBdr>
          <w:bottom w:val="single" w:color="C2542F" w:sz="12" w:space="4"/>
        </w:pBdr>
        <w:spacing w:after="240" w:before="480"/>
      </w:pPr>
      <w:r>
        <w:rPr>
          <w:b/>
          <w:bCs/>
          <w:color w:val="87371A"/>
          <w:sz w:val="34"/>
          <w:szCs w:val="34"/>
        </w:rPr>
        <w:t xml:space="preserve">6. Clientes</w:t>
      </w:r>
    </w:p>
    <w:p>
      <w:pPr>
        <w:spacing w:after="160" w:line="276"/>
      </w:pPr>
      <w:r>
        <w:rPr>
          <w:sz w:val="21"/>
          <w:szCs w:val="21"/>
        </w:rPr>
        <w:t xml:space="preserve">A tela de Clientes centraliza o cadastro, a anamnese, o prontuário e o histórico (evoluções e supervisões) de cada caso acompanhado.</w:t>
      </w:r>
    </w:p>
    <w:p>
      <w:pPr>
        <w:pStyle w:val="Heading2"/>
        <w:spacing w:after="160" w:before="360"/>
      </w:pPr>
      <w:r>
        <w:rPr>
          <w:b/>
          <w:bCs/>
          <w:color w:val="C2542F"/>
          <w:sz w:val="26"/>
          <w:szCs w:val="26"/>
        </w:rPr>
        <w:t xml:space="preserve">6.1 Enviar anamnese</w:t>
      </w:r>
    </w:p>
    <w:p>
      <w:pPr>
        <w:spacing w:after="160" w:line="276"/>
      </w:pPr>
      <w:r>
        <w:rPr>
          <w:sz w:val="21"/>
          <w:szCs w:val="21"/>
        </w:rPr>
        <w:t xml:space="preserve">No topo da tela de Clientes, o card "Enviar anamnese" gera um link para o preenchimento da anamnese inicial pelo próprio cliente, em dois modos:</w:t>
      </w:r>
    </w:p>
    <w:p>
      <w:pPr>
        <w:pStyle w:val="ListParagraph"/>
        <w:numPr>
          <w:ilvl w:val="0"/>
          <w:numId w:val="2"/>
        </w:numPr>
        <w:spacing w:after="80" w:line="270"/>
      </w:pPr>
      <w:r>
        <w:rPr>
          <w:sz w:val="21"/>
          <w:szCs w:val="21"/>
        </w:rPr>
        <w:t xml:space="preserve">Novo cliente (pré-cadastro): o link não exige cadastro prévio — o preenchimento da anamnese pelo paciente é o próprio pré-cadastro. Ao ser recebida, você decide se aceita e ativa o cliente.</w:t>
      </w:r>
    </w:p>
    <w:p>
      <w:pPr>
        <w:pStyle w:val="ListParagraph"/>
        <w:numPr>
          <w:ilvl w:val="0"/>
          <w:numId w:val="2"/>
        </w:numPr>
        <w:spacing w:after="80" w:line="270"/>
      </w:pPr>
      <w:r>
        <w:rPr>
          <w:sz w:val="21"/>
          <w:szCs w:val="21"/>
        </w:rPr>
        <w:t xml:space="preserve">Cliente já cadastrado: o link vem com os dados de cadastro já preenchidos, usado por exemplo para confirmar/atualizar informações antes de uma sessão.</w:t>
      </w:r>
    </w:p>
    <w:p>
      <w:pPr>
        <w:spacing w:after="160" w:line="276"/>
      </w:pPr>
      <w:r>
        <w:rPr>
          <w:sz w:val="21"/>
          <w:szCs w:val="21"/>
        </w:rPr>
        <w:t xml:space="preserve">Em ambos os modos, selecione a abordagem teórica e, se aplicável, o cliente. Depois, envie o link por:</w:t>
      </w:r>
    </w:p>
    <w:p>
      <w:pPr>
        <w:pStyle w:val="ListParagraph"/>
        <w:numPr>
          <w:ilvl w:val="0"/>
          <w:numId w:val="2"/>
        </w:numPr>
        <w:spacing w:after="80" w:line="270"/>
      </w:pPr>
      <w:r>
        <w:rPr>
          <w:sz w:val="21"/>
          <w:szCs w:val="21"/>
        </w:rPr>
        <w:t xml:space="preserve">Copiar link — copia a URL para a área de transferência.</w:t>
      </w:r>
    </w:p>
    <w:p>
      <w:pPr>
        <w:pStyle w:val="ListParagraph"/>
        <w:numPr>
          <w:ilvl w:val="0"/>
          <w:numId w:val="2"/>
        </w:numPr>
        <w:spacing w:after="80" w:line="270"/>
      </w:pPr>
      <w:r>
        <w:rPr>
          <w:sz w:val="21"/>
          <w:szCs w:val="21"/>
        </w:rPr>
        <w:t xml:space="preserve">WhatsApp — abre o WhatsApp com uma mensagem pronta contendo o link.</w:t>
      </w:r>
    </w:p>
    <w:p>
      <w:pPr>
        <w:pStyle w:val="ListParagraph"/>
        <w:numPr>
          <w:ilvl w:val="0"/>
          <w:numId w:val="2"/>
        </w:numPr>
        <w:spacing w:after="80" w:line="270"/>
      </w:pPr>
      <w:r>
        <w:rPr>
          <w:sz w:val="21"/>
          <w:szCs w:val="21"/>
        </w:rPr>
        <w:t xml:space="preserve">E-mail — envia automaticamente um e-mail de convite com o link.</w:t>
      </w:r>
    </w:p>
    <w:p>
      <w:pPr>
        <w:pStyle w:val="Heading2"/>
        <w:spacing w:after="160" w:before="360"/>
      </w:pPr>
      <w:r>
        <w:rPr>
          <w:b/>
          <w:bCs/>
          <w:color w:val="C2542F"/>
          <w:sz w:val="26"/>
          <w:szCs w:val="26"/>
        </w:rPr>
        <w:t xml:space="preserve">6.2 As três abas de Clientes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C2542F" w:color="auto" w:val="clear"/>
            <w:tcMar>
              <w:top w:type="dxa" w:w="80"/>
              <w:left w:type="dxa" w:w="100"/>
              <w:bottom w:type="dxa" w:w="80"/>
              <w:right w:type="dxa" w:w="100"/>
            </w:tcMar>
          </w:tcPr>
          <w:p>
            <w:r>
              <w:rPr>
                <w:b/>
                <w:bCs/>
                <w:color w:val="FFFFFF"/>
                <w:sz w:val="19"/>
                <w:szCs w:val="19"/>
              </w:rPr>
              <w:t xml:space="preserve">Campo</w:t>
            </w:r>
          </w:p>
        </w:tc>
        <w:tc>
          <w:tcPr>
            <w:tcW w:type="dxa" w:w="6750"/>
            <w:shd w:fill="C2542F" w:color="auto" w:val="clear"/>
            <w:tcMar>
              <w:top w:type="dxa" w:w="80"/>
              <w:left w:type="dxa" w:w="100"/>
              <w:bottom w:type="dxa" w:w="80"/>
              <w:right w:type="dxa" w:w="100"/>
            </w:tcMar>
          </w:tcPr>
          <w:p>
            <w:r>
              <w:rPr>
                <w:b/>
                <w:bCs/>
                <w:color w:val="FFFFFF"/>
                <w:sz w:val="19"/>
                <w:szCs w:val="19"/>
              </w:rPr>
              <w:t xml:space="preserve">Descrição</w:t>
            </w:r>
          </w:p>
        </w:tc>
      </w:tr>
      <w:tr>
        <w:tc>
          <w:tcPr>
            <w:tcW w:type="dxa" w:w="2600"/>
            <w:tcMar>
              <w:top w:type="dxa" w:w="80"/>
              <w:left w:type="dxa" w:w="100"/>
              <w:bottom w:type="dxa" w:w="80"/>
              <w:right w:type="dxa" w:w="100"/>
            </w:tcMar>
          </w:tcPr>
          <w:p>
            <w:r>
              <w:rPr>
                <w:b w:val="false"/>
                <w:bCs w:val="false"/>
                <w:color w:val="1F2937"/>
                <w:sz w:val="19"/>
                <w:szCs w:val="19"/>
              </w:rPr>
              <w:t xml:space="preserve">Sem anamnese</w:t>
            </w:r>
          </w:p>
        </w:tc>
        <w:tc>
          <w:tcPr>
            <w:tcW w:type="dxa" w:w="6750"/>
            <w:tcMar>
              <w:top w:type="dxa" w:w="80"/>
              <w:left w:type="dxa" w:w="100"/>
              <w:bottom w:type="dxa" w:w="80"/>
              <w:right w:type="dxa" w:w="100"/>
            </w:tcMar>
          </w:tcPr>
          <w:p>
            <w:r>
              <w:rPr>
                <w:b w:val="false"/>
                <w:bCs w:val="false"/>
                <w:color w:val="1F2937"/>
                <w:sz w:val="19"/>
                <w:szCs w:val="19"/>
              </w:rPr>
              <w:t xml:space="preserve">Clientes ativos que ainda não preencheram a anamnese inicial.</w:t>
            </w:r>
          </w:p>
        </w:tc>
      </w:tr>
      <w:tr>
        <w:tc>
          <w:tcPr>
            <w:tcW w:type="dxa" w:w="2600"/>
            <w:tcMar>
              <w:top w:type="dxa" w:w="80"/>
              <w:left w:type="dxa" w:w="100"/>
              <w:bottom w:type="dxa" w:w="80"/>
              <w:right w:type="dxa" w:w="100"/>
            </w:tcMar>
          </w:tcPr>
          <w:p>
            <w:r>
              <w:rPr>
                <w:b w:val="false"/>
                <w:bCs w:val="false"/>
                <w:color w:val="1F2937"/>
                <w:sz w:val="19"/>
                <w:szCs w:val="19"/>
              </w:rPr>
              <w:t xml:space="preserve">Ativos</w:t>
            </w:r>
          </w:p>
        </w:tc>
        <w:tc>
          <w:tcPr>
            <w:tcW w:type="dxa" w:w="6750"/>
            <w:tcMar>
              <w:top w:type="dxa" w:w="80"/>
              <w:left w:type="dxa" w:w="100"/>
              <w:bottom w:type="dxa" w:w="80"/>
              <w:right w:type="dxa" w:w="100"/>
            </w:tcMar>
          </w:tcPr>
          <w:p>
            <w:r>
              <w:rPr>
                <w:b w:val="false"/>
                <w:bCs w:val="false"/>
                <w:color w:val="1F2937"/>
                <w:sz w:val="19"/>
                <w:szCs w:val="19"/>
              </w:rPr>
              <w:t xml:space="preserve">Clientes ativos que já têm anamnese vinculada — prontos para acompanhamento.</w:t>
            </w:r>
          </w:p>
        </w:tc>
      </w:tr>
      <w:tr>
        <w:tc>
          <w:tcPr>
            <w:tcW w:type="dxa" w:w="2600"/>
            <w:tcMar>
              <w:top w:type="dxa" w:w="80"/>
              <w:left w:type="dxa" w:w="100"/>
              <w:bottom w:type="dxa" w:w="80"/>
              <w:right w:type="dxa" w:w="100"/>
            </w:tcMar>
          </w:tcPr>
          <w:p>
            <w:r>
              <w:rPr>
                <w:b w:val="false"/>
                <w:bCs w:val="false"/>
                <w:color w:val="1F2937"/>
                <w:sz w:val="19"/>
                <w:szCs w:val="19"/>
              </w:rPr>
              <w:t xml:space="preserve">Aguardando aprovação</w:t>
            </w:r>
          </w:p>
        </w:tc>
        <w:tc>
          <w:tcPr>
            <w:tcW w:type="dxa" w:w="6750"/>
            <w:tcMar>
              <w:top w:type="dxa" w:w="80"/>
              <w:left w:type="dxa" w:w="100"/>
              <w:bottom w:type="dxa" w:w="80"/>
              <w:right w:type="dxa" w:w="100"/>
            </w:tcMar>
          </w:tcPr>
          <w:p>
            <w:r>
              <w:rPr>
                <w:b w:val="false"/>
                <w:bCs w:val="false"/>
                <w:color w:val="1F2937"/>
                <w:sz w:val="19"/>
                <w:szCs w:val="19"/>
              </w:rPr>
              <w:t xml:space="preserve">Anamneses enviadas por pacientes (via link) esperando sua decisão de aceitar ou recusar.</w:t>
            </w:r>
          </w:p>
        </w:tc>
      </w:tr>
    </w:tbl>
    <w:p>
      <w:pPr>
        <w:pStyle w:val="Heading2"/>
        <w:spacing w:after="160" w:before="360"/>
      </w:pPr>
      <w:r>
        <w:rPr>
          <w:b/>
          <w:bCs/>
          <w:color w:val="C2542F"/>
          <w:sz w:val="26"/>
          <w:szCs w:val="26"/>
        </w:rPr>
        <w:t xml:space="preserve">6.3 Aguardando aprovação: aceitar ou recusar</w:t>
      </w:r>
    </w:p>
    <w:p>
      <w:pPr>
        <w:spacing w:after="160" w:line="276"/>
      </w:pPr>
      <w:r>
        <w:rPr>
          <w:sz w:val="21"/>
          <w:szCs w:val="21"/>
        </w:rPr>
        <w:t xml:space="preserve">Cada anamnese pendente mostra nome, e-mail, telefone, data de envio e a intenção da sessão informada pelo paciente.</w:t>
      </w:r>
    </w:p>
    <w:p>
      <w:pPr>
        <w:pStyle w:val="ListParagraph"/>
        <w:numPr>
          <w:ilvl w:val="0"/>
          <w:numId w:val="2"/>
        </w:numPr>
        <w:spacing w:after="80" w:line="270"/>
      </w:pPr>
      <w:r>
        <w:rPr>
          <w:sz w:val="21"/>
          <w:szCs w:val="21"/>
        </w:rPr>
        <w:t xml:space="preserve">Recusar: descarta a anamnese (não gera cliente).</w:t>
      </w:r>
    </w:p>
    <w:p>
      <w:pPr>
        <w:pStyle w:val="ListParagraph"/>
        <w:numPr>
          <w:ilvl w:val="0"/>
          <w:numId w:val="2"/>
        </w:numPr>
        <w:spacing w:after="80" w:line="270"/>
      </w:pPr>
      <w:r>
        <w:rPr>
          <w:sz w:val="21"/>
          <w:szCs w:val="21"/>
        </w:rPr>
        <w:t xml:space="preserve">Visualizar → Aceitar e ativar cliente: abre a revisão completa da anamnese; escolha a abordagem, frequência e duração das sessões e confirme para transformar a anamnese em um cliente ativo.</w:t>
      </w:r>
    </w:p>
    <w:p>
      <w:pPr>
        <w:pStyle w:val="Heading2"/>
        <w:spacing w:after="160" w:before="360"/>
      </w:pPr>
      <w:r>
        <w:rPr>
          <w:b/>
          <w:bCs/>
          <w:color w:val="C2542F"/>
          <w:sz w:val="26"/>
          <w:szCs w:val="26"/>
        </w:rPr>
        <w:t xml:space="preserve">6.4 Cadastrando um cliente manualmente</w:t>
      </w:r>
    </w:p>
    <w:p>
      <w:pPr>
        <w:spacing w:after="160" w:line="276"/>
      </w:pPr>
      <w:r>
        <w:rPr>
          <w:sz w:val="21"/>
          <w:szCs w:val="21"/>
        </w:rPr>
        <w:t xml:space="preserve">Clique em "+ Novo Cliente" (Home ou tela de Clientes) e preencha: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C2542F" w:color="auto" w:val="clear"/>
            <w:tcMar>
              <w:top w:type="dxa" w:w="80"/>
              <w:left w:type="dxa" w:w="100"/>
              <w:bottom w:type="dxa" w:w="80"/>
              <w:right w:type="dxa" w:w="100"/>
            </w:tcMar>
          </w:tcPr>
          <w:p>
            <w:r>
              <w:rPr>
                <w:b/>
                <w:bCs/>
                <w:color w:val="FFFFFF"/>
                <w:sz w:val="19"/>
                <w:szCs w:val="19"/>
              </w:rPr>
              <w:t xml:space="preserve">Campo</w:t>
            </w:r>
          </w:p>
        </w:tc>
        <w:tc>
          <w:tcPr>
            <w:tcW w:type="dxa" w:w="6750"/>
            <w:shd w:fill="C2542F" w:color="auto" w:val="clear"/>
            <w:tcMar>
              <w:top w:type="dxa" w:w="80"/>
              <w:left w:type="dxa" w:w="100"/>
              <w:bottom w:type="dxa" w:w="80"/>
              <w:right w:type="dxa" w:w="100"/>
            </w:tcMar>
          </w:tcPr>
          <w:p>
            <w:r>
              <w:rPr>
                <w:b/>
                <w:bCs/>
                <w:color w:val="FFFFFF"/>
                <w:sz w:val="19"/>
                <w:szCs w:val="19"/>
              </w:rPr>
              <w:t xml:space="preserve">Descrição</w:t>
            </w:r>
          </w:p>
        </w:tc>
      </w:tr>
      <w:tr>
        <w:tc>
          <w:tcPr>
            <w:tcW w:type="dxa" w:w="2600"/>
            <w:tcMar>
              <w:top w:type="dxa" w:w="80"/>
              <w:left w:type="dxa" w:w="100"/>
              <w:bottom w:type="dxa" w:w="80"/>
              <w:right w:type="dxa" w:w="100"/>
            </w:tcMar>
          </w:tcPr>
          <w:p>
            <w:r>
              <w:rPr>
                <w:b w:val="false"/>
                <w:bCs w:val="false"/>
                <w:color w:val="1F2937"/>
                <w:sz w:val="19"/>
                <w:szCs w:val="19"/>
              </w:rPr>
              <w:t xml:space="preserve">Dados pessoais</w:t>
            </w:r>
          </w:p>
        </w:tc>
        <w:tc>
          <w:tcPr>
            <w:tcW w:type="dxa" w:w="6750"/>
            <w:tcMar>
              <w:top w:type="dxa" w:w="80"/>
              <w:left w:type="dxa" w:w="100"/>
              <w:bottom w:type="dxa" w:w="80"/>
              <w:right w:type="dxa" w:w="100"/>
            </w:tcMar>
          </w:tcPr>
          <w:p>
            <w:r>
              <w:rPr>
                <w:b w:val="false"/>
                <w:bCs w:val="false"/>
                <w:color w:val="1F2937"/>
                <w:sz w:val="19"/>
                <w:szCs w:val="19"/>
              </w:rPr>
              <w:t xml:space="preserve">Nome completo (obrigatório), data de nascimento, e-mail, telefone, profissão.</w:t>
            </w:r>
          </w:p>
        </w:tc>
      </w:tr>
      <w:tr>
        <w:tc>
          <w:tcPr>
            <w:tcW w:type="dxa" w:w="2600"/>
            <w:tcMar>
              <w:top w:type="dxa" w:w="80"/>
              <w:left w:type="dxa" w:w="100"/>
              <w:bottom w:type="dxa" w:w="80"/>
              <w:right w:type="dxa" w:w="100"/>
            </w:tcMar>
          </w:tcPr>
          <w:p>
            <w:r>
              <w:rPr>
                <w:b w:val="false"/>
                <w:bCs w:val="false"/>
                <w:color w:val="1F2937"/>
                <w:sz w:val="19"/>
                <w:szCs w:val="19"/>
              </w:rPr>
              <w:t xml:space="preserve">Configuração clínica</w:t>
            </w:r>
          </w:p>
        </w:tc>
        <w:tc>
          <w:tcPr>
            <w:tcW w:type="dxa" w:w="6750"/>
            <w:tcMar>
              <w:top w:type="dxa" w:w="80"/>
              <w:left w:type="dxa" w:w="100"/>
              <w:bottom w:type="dxa" w:w="80"/>
              <w:right w:type="dxa" w:w="100"/>
            </w:tcMar>
          </w:tcPr>
          <w:p>
            <w:r>
              <w:rPr>
                <w:b w:val="false"/>
                <w:bCs w:val="false"/>
                <w:color w:val="1F2937"/>
                <w:sz w:val="19"/>
                <w:szCs w:val="19"/>
              </w:rPr>
              <w:t xml:space="preserve">Abordagem terapêutica (obrigatório), frequência das sessões, duração.</w:t>
            </w:r>
          </w:p>
        </w:tc>
      </w:tr>
      <w:tr>
        <w:tc>
          <w:tcPr>
            <w:tcW w:type="dxa" w:w="2600"/>
            <w:tcMar>
              <w:top w:type="dxa" w:w="80"/>
              <w:left w:type="dxa" w:w="100"/>
              <w:bottom w:type="dxa" w:w="80"/>
              <w:right w:type="dxa" w:w="100"/>
            </w:tcMar>
          </w:tcPr>
          <w:p>
            <w:r>
              <w:rPr>
                <w:b w:val="false"/>
                <w:bCs w:val="false"/>
                <w:color w:val="1F2937"/>
                <w:sz w:val="19"/>
                <w:szCs w:val="19"/>
              </w:rPr>
              <w:t xml:space="preserve">Prontuário inicial</w:t>
            </w:r>
          </w:p>
        </w:tc>
        <w:tc>
          <w:tcPr>
            <w:tcW w:type="dxa" w:w="6750"/>
            <w:tcMar>
              <w:top w:type="dxa" w:w="80"/>
              <w:left w:type="dxa" w:w="100"/>
              <w:bottom w:type="dxa" w:w="80"/>
              <w:right w:type="dxa" w:w="100"/>
            </w:tcMar>
          </w:tcPr>
          <w:p>
            <w:r>
              <w:rPr>
                <w:b w:val="false"/>
                <w:bCs w:val="false"/>
                <w:color w:val="1F2937"/>
                <w:sz w:val="19"/>
                <w:szCs w:val="19"/>
              </w:rPr>
              <w:t xml:space="preserve">Demanda principal (obrigatório) e observações clínicas iniciais.</w:t>
            </w:r>
          </w:p>
        </w:tc>
      </w:tr>
      <w:tr>
        <w:tc>
          <w:tcPr>
            <w:tcW w:type="dxa" w:w="2600"/>
            <w:tcMar>
              <w:top w:type="dxa" w:w="80"/>
              <w:left w:type="dxa" w:w="100"/>
              <w:bottom w:type="dxa" w:w="80"/>
              <w:right w:type="dxa" w:w="100"/>
            </w:tcMar>
          </w:tcPr>
          <w:p>
            <w:r>
              <w:rPr>
                <w:b w:val="false"/>
                <w:bCs w:val="false"/>
                <w:color w:val="1F2937"/>
                <w:sz w:val="19"/>
                <w:szCs w:val="19"/>
              </w:rPr>
              <w:t xml:space="preserve">Contato de emergência</w:t>
            </w:r>
          </w:p>
        </w:tc>
        <w:tc>
          <w:tcPr>
            <w:tcW w:type="dxa" w:w="6750"/>
            <w:tcMar>
              <w:top w:type="dxa" w:w="80"/>
              <w:left w:type="dxa" w:w="100"/>
              <w:bottom w:type="dxa" w:w="80"/>
              <w:right w:type="dxa" w:w="100"/>
            </w:tcMar>
          </w:tcPr>
          <w:p>
            <w:r>
              <w:rPr>
                <w:b w:val="false"/>
                <w:bCs w:val="false"/>
                <w:color w:val="1F2937"/>
                <w:sz w:val="19"/>
                <w:szCs w:val="19"/>
              </w:rPr>
              <w:t xml:space="preserve">Nome e telefone — informação confidencial, usada só em situações de risco.</w:t>
            </w:r>
          </w:p>
        </w:tc>
      </w:tr>
      <w:tr>
        <w:tc>
          <w:tcPr>
            <w:tcW w:type="dxa" w:w="2600"/>
            <w:tcMar>
              <w:top w:type="dxa" w:w="80"/>
              <w:left w:type="dxa" w:w="100"/>
              <w:bottom w:type="dxa" w:w="80"/>
              <w:right w:type="dxa" w:w="100"/>
            </w:tcMar>
          </w:tcPr>
          <w:p>
            <w:r>
              <w:rPr>
                <w:b w:val="false"/>
                <w:bCs w:val="false"/>
                <w:color w:val="1F2937"/>
                <w:sz w:val="19"/>
                <w:szCs w:val="19"/>
              </w:rPr>
              <w:t xml:space="preserve">LGPD</w:t>
            </w:r>
          </w:p>
        </w:tc>
        <w:tc>
          <w:tcPr>
            <w:tcW w:type="dxa" w:w="6750"/>
            <w:tcMar>
              <w:top w:type="dxa" w:w="80"/>
              <w:left w:type="dxa" w:w="100"/>
              <w:bottom w:type="dxa" w:w="80"/>
              <w:right w:type="dxa" w:w="100"/>
            </w:tcMar>
          </w:tcPr>
          <w:p>
            <w:r>
              <w:rPr>
                <w:b w:val="false"/>
                <w:bCs w:val="false"/>
                <w:color w:val="1F2937"/>
                <w:sz w:val="19"/>
                <w:szCs w:val="19"/>
              </w:rPr>
              <w:t xml:space="preserve">Confirmação obrigatória de que o TCLE foi obtido do cliente.</w:t>
            </w:r>
          </w:p>
        </w:tc>
      </w:tr>
    </w:tbl>
    <w:p>
      <w:pPr>
        <w:pBdr>
          <w:top w:val="single" w:color="C2542F" w:sz="4" w:space="6"/>
          <w:bottom w:val="single" w:color="C2542F" w:sz="4" w:space="6"/>
          <w:left w:val="single" w:color="C2542F" w:sz="12" w:space="8"/>
          <w:right w:val="single" w:color="C2542F" w:sz="4" w:space="6"/>
        </w:pBdr>
        <w:shd w:fill="FDF1ED" w:color="auto" w:val="clear"/>
        <w:spacing w:after="200" w:before="120"/>
        <w:ind w:left="100" w:right="100"/>
      </w:pPr>
      <w:r>
        <w:rPr>
          <w:b/>
          <w:bCs/>
          <w:color w:val="87371A"/>
          <w:sz w:val="20"/>
          <w:szCs w:val="20"/>
        </w:rPr>
        <w:t xml:space="preserve">Nota: </w:t>
      </w:r>
      <w:r>
        <w:rPr>
          <w:color w:val="5C3A2E"/>
          <w:sz w:val="20"/>
          <w:szCs w:val="20"/>
        </w:rPr>
        <w:t xml:space="preserve">O campo "Como chegou até você" não faz parte do cadastro feito pelo terapeuta — essa informação é coletada diretamente do próprio paciente, na anamnese ("Como chegou até mim").</w:t>
      </w:r>
    </w:p>
    <w:p>
      <w:pPr>
        <w:pStyle w:val="Heading2"/>
        <w:spacing w:after="160" w:before="360"/>
      </w:pPr>
      <w:r>
        <w:rPr>
          <w:b/>
          <w:bCs/>
          <w:color w:val="C2542F"/>
          <w:sz w:val="26"/>
          <w:szCs w:val="26"/>
        </w:rPr>
        <w:t xml:space="preserve">6.5 Detalhe do cliente</w:t>
      </w:r>
    </w:p>
    <w:p>
      <w:pPr>
        <w:spacing w:after="160" w:line="276"/>
      </w:pPr>
      <w:r>
        <w:rPr>
          <w:sz w:val="21"/>
          <w:szCs w:val="21"/>
        </w:rPr>
        <w:t xml:space="preserve">Ao abrir um cliente, as abas disponíveis são:</w:t>
      </w:r>
    </w:p>
    <w:p>
      <w:pPr>
        <w:pStyle w:val="ListParagraph"/>
        <w:numPr>
          <w:ilvl w:val="0"/>
          <w:numId w:val="2"/>
        </w:numPr>
        <w:spacing w:after="80" w:line="270"/>
      </w:pPr>
      <w:r>
        <w:rPr>
          <w:sz w:val="21"/>
          <w:szCs w:val="21"/>
        </w:rPr>
        <w:t xml:space="preserve">Prontuário — dados cadastrais e clínicos.</w:t>
      </w:r>
    </w:p>
    <w:p>
      <w:pPr>
        <w:pStyle w:val="ListParagraph"/>
        <w:numPr>
          <w:ilvl w:val="0"/>
          <w:numId w:val="2"/>
        </w:numPr>
        <w:spacing w:after="80" w:line="270"/>
      </w:pPr>
      <w:r>
        <w:rPr>
          <w:sz w:val="21"/>
          <w:szCs w:val="21"/>
        </w:rPr>
        <w:t xml:space="preserve">Anamnese — respostas completas da anamnese vinculada.</w:t>
      </w:r>
    </w:p>
    <w:p>
      <w:pPr>
        <w:pStyle w:val="ListParagraph"/>
        <w:numPr>
          <w:ilvl w:val="0"/>
          <w:numId w:val="2"/>
        </w:numPr>
        <w:spacing w:after="80" w:line="270"/>
      </w:pPr>
      <w:r>
        <w:rPr>
          <w:sz w:val="21"/>
          <w:szCs w:val="21"/>
        </w:rPr>
        <w:t xml:space="preserve">Evoluções — histórico de evoluções clínicas geradas a partir das supervisões e sessões registradas.</w:t>
      </w:r>
    </w:p>
    <w:p>
      <w:pPr>
        <w:pStyle w:val="ListParagraph"/>
        <w:numPr>
          <w:ilvl w:val="0"/>
          <w:numId w:val="2"/>
        </w:numPr>
        <w:spacing w:after="80" w:line="270"/>
      </w:pPr>
      <w:r>
        <w:rPr>
          <w:sz w:val="21"/>
          <w:szCs w:val="21"/>
        </w:rPr>
        <w:t xml:space="preserve">Supervisões — todas as supervisões dialógicas realizadas sobre aquele caso, com título, abordagem, data e nº de mensagens; cada uma pode ser excluída (ícone de lixeira, com confirmação).</w:t>
      </w:r>
    </w:p>
    <w:p>
      <w:r>
        <w:br w:type="page"/>
      </w:r>
    </w:p>
    <w:p>
      <w:pPr>
        <w:pStyle w:val="Heading1"/>
        <w:pBdr>
          <w:bottom w:val="single" w:color="C2542F" w:sz="12" w:space="4"/>
        </w:pBdr>
        <w:spacing w:after="240" w:before="480"/>
      </w:pPr>
      <w:r>
        <w:rPr>
          <w:b/>
          <w:bCs/>
          <w:color w:val="87371A"/>
          <w:sz w:val="34"/>
          <w:szCs w:val="34"/>
        </w:rPr>
        <w:t xml:space="preserve">7. Agenda</w:t>
      </w:r>
    </w:p>
    <w:p>
      <w:pPr>
        <w:spacing w:after="160" w:line="276"/>
      </w:pPr>
      <w:r>
        <w:rPr>
          <w:sz w:val="21"/>
          <w:szCs w:val="21"/>
        </w:rPr>
        <w:t xml:space="preserve">A Agenda organiza as sessões marcadas com os clientes.</w:t>
      </w:r>
    </w:p>
    <w:p>
      <w:pPr>
        <w:pStyle w:val="Heading2"/>
        <w:spacing w:after="160" w:before="360"/>
      </w:pPr>
      <w:r>
        <w:rPr>
          <w:b/>
          <w:bCs/>
          <w:color w:val="C2542F"/>
          <w:sz w:val="26"/>
          <w:szCs w:val="26"/>
        </w:rPr>
        <w:t xml:space="preserve">7.1 Criando uma sessão</w:t>
      </w:r>
    </w:p>
    <w:p>
      <w:pPr>
        <w:pStyle w:val="ListParagraph"/>
        <w:numPr>
          <w:ilvl w:val="0"/>
          <w:numId w:val="3"/>
        </w:numPr>
        <w:spacing w:after="100" w:line="270"/>
      </w:pPr>
      <w:r>
        <w:rPr>
          <w:sz w:val="21"/>
          <w:szCs w:val="21"/>
        </w:rPr>
        <w:t xml:space="preserve">Clique em "+ Nova sessão".</w:t>
      </w:r>
    </w:p>
    <w:p>
      <w:pPr>
        <w:pStyle w:val="ListParagraph"/>
        <w:numPr>
          <w:ilvl w:val="0"/>
          <w:numId w:val="3"/>
        </w:numPr>
        <w:spacing w:after="100" w:line="270"/>
      </w:pPr>
      <w:r>
        <w:rPr>
          <w:sz w:val="21"/>
          <w:szCs w:val="21"/>
        </w:rPr>
        <w:t xml:space="preserve">Selecione o cliente, data e horário.</w:t>
      </w:r>
    </w:p>
    <w:p>
      <w:pPr>
        <w:pStyle w:val="ListParagraph"/>
        <w:numPr>
          <w:ilvl w:val="0"/>
          <w:numId w:val="3"/>
        </w:numPr>
        <w:spacing w:after="100" w:line="270"/>
      </w:pPr>
      <w:r>
        <w:rPr>
          <w:sz w:val="21"/>
          <w:szCs w:val="21"/>
        </w:rPr>
        <w:t xml:space="preserve">Defina a duração e, opcionalmente, o valor da sessão.</w:t>
      </w:r>
    </w:p>
    <w:p>
      <w:pPr>
        <w:pStyle w:val="ListParagraph"/>
        <w:numPr>
          <w:ilvl w:val="0"/>
          <w:numId w:val="3"/>
        </w:numPr>
        <w:spacing w:after="100" w:line="270"/>
      </w:pPr>
      <w:r>
        <w:rPr>
          <w:sz w:val="21"/>
          <w:szCs w:val="21"/>
        </w:rPr>
        <w:t xml:space="preserve">Defina o status inicial (Confirmada, Pendente, Cancelada ou Realizada).</w:t>
      </w:r>
    </w:p>
    <w:p>
      <w:pPr>
        <w:pStyle w:val="ListParagraph"/>
        <w:numPr>
          <w:ilvl w:val="0"/>
          <w:numId w:val="3"/>
        </w:numPr>
        <w:spacing w:after="100" w:line="270"/>
      </w:pPr>
      <w:r>
        <w:rPr>
          <w:sz w:val="21"/>
          <w:szCs w:val="21"/>
        </w:rPr>
        <w:t xml:space="preserve">Salve — a sessão passa a aparecer no calendário.</w:t>
      </w:r>
    </w:p>
    <w:p>
      <w:pPr>
        <w:pStyle w:val="Heading2"/>
        <w:spacing w:after="160" w:before="360"/>
      </w:pPr>
      <w:r>
        <w:rPr>
          <w:b/>
          <w:bCs/>
          <w:color w:val="C2542F"/>
          <w:sz w:val="26"/>
          <w:szCs w:val="26"/>
        </w:rPr>
        <w:t xml:space="preserve">7.2 Status das sessões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C2542F" w:color="auto" w:val="clear"/>
            <w:tcMar>
              <w:top w:type="dxa" w:w="80"/>
              <w:left w:type="dxa" w:w="100"/>
              <w:bottom w:type="dxa" w:w="80"/>
              <w:right w:type="dxa" w:w="100"/>
            </w:tcMar>
          </w:tcPr>
          <w:p>
            <w:r>
              <w:rPr>
                <w:b/>
                <w:bCs/>
                <w:color w:val="FFFFFF"/>
                <w:sz w:val="19"/>
                <w:szCs w:val="19"/>
              </w:rPr>
              <w:t xml:space="preserve">Campo</w:t>
            </w:r>
          </w:p>
        </w:tc>
        <w:tc>
          <w:tcPr>
            <w:tcW w:type="dxa" w:w="6750"/>
            <w:shd w:fill="C2542F" w:color="auto" w:val="clear"/>
            <w:tcMar>
              <w:top w:type="dxa" w:w="80"/>
              <w:left w:type="dxa" w:w="100"/>
              <w:bottom w:type="dxa" w:w="80"/>
              <w:right w:type="dxa" w:w="100"/>
            </w:tcMar>
          </w:tcPr>
          <w:p>
            <w:r>
              <w:rPr>
                <w:b/>
                <w:bCs/>
                <w:color w:val="FFFFFF"/>
                <w:sz w:val="19"/>
                <w:szCs w:val="19"/>
              </w:rPr>
              <w:t xml:space="preserve">Descrição</w:t>
            </w:r>
          </w:p>
        </w:tc>
      </w:tr>
      <w:tr>
        <w:tc>
          <w:tcPr>
            <w:tcW w:type="dxa" w:w="2600"/>
            <w:tcMar>
              <w:top w:type="dxa" w:w="80"/>
              <w:left w:type="dxa" w:w="100"/>
              <w:bottom w:type="dxa" w:w="80"/>
              <w:right w:type="dxa" w:w="100"/>
            </w:tcMar>
          </w:tcPr>
          <w:p>
            <w:r>
              <w:rPr>
                <w:b w:val="false"/>
                <w:bCs w:val="false"/>
                <w:color w:val="1F2937"/>
                <w:sz w:val="19"/>
                <w:szCs w:val="19"/>
              </w:rPr>
              <w:t xml:space="preserve">Confirmada</w:t>
            </w:r>
          </w:p>
        </w:tc>
        <w:tc>
          <w:tcPr>
            <w:tcW w:type="dxa" w:w="6750"/>
            <w:tcMar>
              <w:top w:type="dxa" w:w="80"/>
              <w:left w:type="dxa" w:w="100"/>
              <w:bottom w:type="dxa" w:w="80"/>
              <w:right w:type="dxa" w:w="100"/>
            </w:tcMar>
          </w:tcPr>
          <w:p>
            <w:r>
              <w:rPr>
                <w:b w:val="false"/>
                <w:bCs w:val="false"/>
                <w:color w:val="1F2937"/>
                <w:sz w:val="19"/>
                <w:szCs w:val="19"/>
              </w:rPr>
              <w:t xml:space="preserve">Sessão marcada e confirmada com o cliente.</w:t>
            </w:r>
          </w:p>
        </w:tc>
      </w:tr>
      <w:tr>
        <w:tc>
          <w:tcPr>
            <w:tcW w:type="dxa" w:w="2600"/>
            <w:tcMar>
              <w:top w:type="dxa" w:w="80"/>
              <w:left w:type="dxa" w:w="100"/>
              <w:bottom w:type="dxa" w:w="80"/>
              <w:right w:type="dxa" w:w="100"/>
            </w:tcMar>
          </w:tcPr>
          <w:p>
            <w:r>
              <w:rPr>
                <w:b w:val="false"/>
                <w:bCs w:val="false"/>
                <w:color w:val="1F2937"/>
                <w:sz w:val="19"/>
                <w:szCs w:val="19"/>
              </w:rPr>
              <w:t xml:space="preserve">Pendente</w:t>
            </w:r>
          </w:p>
        </w:tc>
        <w:tc>
          <w:tcPr>
            <w:tcW w:type="dxa" w:w="6750"/>
            <w:tcMar>
              <w:top w:type="dxa" w:w="80"/>
              <w:left w:type="dxa" w:w="100"/>
              <w:bottom w:type="dxa" w:w="80"/>
              <w:right w:type="dxa" w:w="100"/>
            </w:tcMar>
          </w:tcPr>
          <w:p>
            <w:r>
              <w:rPr>
                <w:b w:val="false"/>
                <w:bCs w:val="false"/>
                <w:color w:val="1F2937"/>
                <w:sz w:val="19"/>
                <w:szCs w:val="19"/>
              </w:rPr>
              <w:t xml:space="preserve">Aguardando confirmação.</w:t>
            </w:r>
          </w:p>
        </w:tc>
      </w:tr>
      <w:tr>
        <w:tc>
          <w:tcPr>
            <w:tcW w:type="dxa" w:w="2600"/>
            <w:tcMar>
              <w:top w:type="dxa" w:w="80"/>
              <w:left w:type="dxa" w:w="100"/>
              <w:bottom w:type="dxa" w:w="80"/>
              <w:right w:type="dxa" w:w="100"/>
            </w:tcMar>
          </w:tcPr>
          <w:p>
            <w:r>
              <w:rPr>
                <w:b w:val="false"/>
                <w:bCs w:val="false"/>
                <w:color w:val="1F2937"/>
                <w:sz w:val="19"/>
                <w:szCs w:val="19"/>
              </w:rPr>
              <w:t xml:space="preserve">Cancelada</w:t>
            </w:r>
          </w:p>
        </w:tc>
        <w:tc>
          <w:tcPr>
            <w:tcW w:type="dxa" w:w="6750"/>
            <w:tcMar>
              <w:top w:type="dxa" w:w="80"/>
              <w:left w:type="dxa" w:w="100"/>
              <w:bottom w:type="dxa" w:w="80"/>
              <w:right w:type="dxa" w:w="100"/>
            </w:tcMar>
          </w:tcPr>
          <w:p>
            <w:r>
              <w:rPr>
                <w:b w:val="false"/>
                <w:bCs w:val="false"/>
                <w:color w:val="1F2937"/>
                <w:sz w:val="19"/>
                <w:szCs w:val="19"/>
              </w:rPr>
              <w:t xml:space="preserve">Sessão desmarcada.</w:t>
            </w:r>
          </w:p>
        </w:tc>
      </w:tr>
      <w:tr>
        <w:tc>
          <w:tcPr>
            <w:tcW w:type="dxa" w:w="2600"/>
            <w:tcMar>
              <w:top w:type="dxa" w:w="80"/>
              <w:left w:type="dxa" w:w="100"/>
              <w:bottom w:type="dxa" w:w="80"/>
              <w:right w:type="dxa" w:w="100"/>
            </w:tcMar>
          </w:tcPr>
          <w:p>
            <w:r>
              <w:rPr>
                <w:b w:val="false"/>
                <w:bCs w:val="false"/>
                <w:color w:val="1F2937"/>
                <w:sz w:val="19"/>
                <w:szCs w:val="19"/>
              </w:rPr>
              <w:t xml:space="preserve">Realizada</w:t>
            </w:r>
          </w:p>
        </w:tc>
        <w:tc>
          <w:tcPr>
            <w:tcW w:type="dxa" w:w="6750"/>
            <w:tcMar>
              <w:top w:type="dxa" w:w="80"/>
              <w:left w:type="dxa" w:w="100"/>
              <w:bottom w:type="dxa" w:w="80"/>
              <w:right w:type="dxa" w:w="100"/>
            </w:tcMar>
          </w:tcPr>
          <w:p>
            <w:r>
              <w:rPr>
                <w:b w:val="false"/>
                <w:bCs w:val="false"/>
                <w:color w:val="1F2937"/>
                <w:sz w:val="19"/>
                <w:szCs w:val="19"/>
              </w:rPr>
              <w:t xml:space="preserve">Sessão já ocorreu.</w:t>
            </w:r>
          </w:p>
        </w:tc>
      </w:tr>
    </w:tbl>
    <w:p>
      <w:r>
        <w:br w:type="page"/>
      </w:r>
    </w:p>
    <w:p>
      <w:pPr>
        <w:pStyle w:val="Heading1"/>
        <w:pBdr>
          <w:bottom w:val="single" w:color="C2542F" w:sz="12" w:space="4"/>
        </w:pBdr>
        <w:spacing w:after="240" w:before="480"/>
      </w:pPr>
      <w:r>
        <w:rPr>
          <w:b/>
          <w:bCs/>
          <w:color w:val="87371A"/>
          <w:sz w:val="34"/>
          <w:szCs w:val="34"/>
        </w:rPr>
        <w:t xml:space="preserve">8. Meu Escritório (Relatórios e Documentos)</w:t>
      </w:r>
    </w:p>
    <w:p>
      <w:pPr>
        <w:spacing w:after="160" w:line="276"/>
      </w:pPr>
      <w:r>
        <w:rPr>
          <w:sz w:val="21"/>
          <w:szCs w:val="21"/>
        </w:rPr>
        <w:t xml:space="preserve">Reúne ferramentas de apoio administrativo e documental do consultório, geradas com o suporte da IA a partir dos dados já registrados no sistema.</w:t>
      </w:r>
    </w:p>
    <w:p>
      <w:pPr>
        <w:pStyle w:val="Heading2"/>
        <w:spacing w:after="160" w:before="360"/>
      </w:pPr>
      <w:r>
        <w:rPr>
          <w:b/>
          <w:bCs/>
          <w:color w:val="C2542F"/>
          <w:sz w:val="26"/>
          <w:szCs w:val="26"/>
        </w:rPr>
        <w:t xml:space="preserve">8.1 Documentos oficiais</w:t>
      </w:r>
    </w:p>
    <w:p>
      <w:pPr>
        <w:spacing w:after="160" w:line="276"/>
      </w:pPr>
      <w:r>
        <w:rPr>
          <w:sz w:val="21"/>
          <w:szCs w:val="21"/>
        </w:rPr>
        <w:t xml:space="preserve">Geração de documentos como declaração de comparecimento e relatório de acompanhamento psicológico, prontos para impressão ou envio.</w:t>
      </w:r>
    </w:p>
    <w:p>
      <w:pPr>
        <w:pStyle w:val="Heading2"/>
        <w:spacing w:after="160" w:before="360"/>
      </w:pPr>
      <w:r>
        <w:rPr>
          <w:b/>
          <w:bCs/>
          <w:color w:val="C2542F"/>
          <w:sz w:val="26"/>
          <w:szCs w:val="26"/>
        </w:rPr>
        <w:t xml:space="preserve">8.2 Relatório de evoluções</w:t>
      </w:r>
    </w:p>
    <w:p>
      <w:pPr>
        <w:spacing w:after="160" w:line="276"/>
      </w:pPr>
      <w:r>
        <w:rPr>
          <w:sz w:val="21"/>
          <w:szCs w:val="21"/>
        </w:rPr>
        <w:t xml:space="preserve">Consolida as evoluções clínicas de um cliente em um determinado período, útil para revisão de caso ou repasse.</w:t>
      </w:r>
    </w:p>
    <w:p>
      <w:pPr>
        <w:pStyle w:val="Heading2"/>
        <w:spacing w:after="160" w:before="360"/>
      </w:pPr>
      <w:r>
        <w:rPr>
          <w:b/>
          <w:bCs/>
          <w:color w:val="C2542F"/>
          <w:sz w:val="26"/>
          <w:szCs w:val="26"/>
        </w:rPr>
        <w:t xml:space="preserve">8.3 Prospecto de paciente</w:t>
      </w:r>
    </w:p>
    <w:p>
      <w:pPr>
        <w:spacing w:after="160" w:line="276"/>
      </w:pPr>
      <w:r>
        <w:rPr>
          <w:sz w:val="21"/>
          <w:szCs w:val="21"/>
        </w:rPr>
        <w:t xml:space="preserve">Panorama inicial de um cliente com base na anamnese e primeiras sessões, útil na fase de acolhimento.</w:t>
      </w:r>
    </w:p>
    <w:p>
      <w:r>
        <w:br w:type="page"/>
      </w:r>
    </w:p>
    <w:p>
      <w:pPr>
        <w:pStyle w:val="Heading1"/>
        <w:pBdr>
          <w:bottom w:val="single" w:color="C2542F" w:sz="12" w:space="4"/>
        </w:pBdr>
        <w:spacing w:after="240" w:before="480"/>
      </w:pPr>
      <w:r>
        <w:rPr>
          <w:b/>
          <w:bCs/>
          <w:color w:val="87371A"/>
          <w:sz w:val="34"/>
          <w:szCs w:val="34"/>
        </w:rPr>
        <w:t xml:space="preserve">9. Certificado de Supervisão</w:t>
      </w:r>
    </w:p>
    <w:p>
      <w:pPr>
        <w:spacing w:after="160" w:line="276"/>
      </w:pPr>
      <w:r>
        <w:rPr>
          <w:sz w:val="21"/>
          <w:szCs w:val="21"/>
        </w:rPr>
        <w:t xml:space="preserve">Emite o certificado de Formação Clínica Continuada do terapeuta, com base nas horas de supervisão dialógica realizadas no sistema.</w:t>
      </w:r>
    </w:p>
    <w:p>
      <w:pPr>
        <w:pStyle w:val="Heading2"/>
        <w:spacing w:after="160" w:before="360"/>
      </w:pPr>
      <w:r>
        <w:rPr>
          <w:b/>
          <w:bCs/>
          <w:color w:val="C2542F"/>
          <w:sz w:val="26"/>
          <w:szCs w:val="26"/>
        </w:rPr>
        <w:t xml:space="preserve">9.1 Gerando o certificado</w:t>
      </w:r>
    </w:p>
    <w:p>
      <w:pPr>
        <w:pStyle w:val="ListParagraph"/>
        <w:numPr>
          <w:ilvl w:val="0"/>
          <w:numId w:val="3"/>
        </w:numPr>
        <w:spacing w:after="100" w:line="270"/>
      </w:pPr>
      <w:r>
        <w:rPr>
          <w:sz w:val="21"/>
          <w:szCs w:val="21"/>
        </w:rPr>
        <w:t xml:space="preserve">Acesse Certificado no menu lateral.</w:t>
      </w:r>
    </w:p>
    <w:p>
      <w:pPr>
        <w:pStyle w:val="ListParagraph"/>
        <w:numPr>
          <w:ilvl w:val="0"/>
          <w:numId w:val="3"/>
        </w:numPr>
        <w:spacing w:after="100" w:line="270"/>
      </w:pPr>
      <w:r>
        <w:rPr>
          <w:sz w:val="21"/>
          <w:szCs w:val="21"/>
        </w:rPr>
        <w:t xml:space="preserve">(Administrador) Selecione o terapeuta — para terapeutas comuns, o próprio usuário já vem selecionado.</w:t>
      </w:r>
    </w:p>
    <w:p>
      <w:pPr>
        <w:pStyle w:val="ListParagraph"/>
        <w:numPr>
          <w:ilvl w:val="0"/>
          <w:numId w:val="3"/>
        </w:numPr>
        <w:spacing w:after="100" w:line="270"/>
      </w:pPr>
      <w:r>
        <w:rPr>
          <w:sz w:val="21"/>
          <w:szCs w:val="21"/>
        </w:rPr>
        <w:t xml:space="preserve">Selecione o período (1 mês, 3 meses, 6 meses ou 1 ano).</w:t>
      </w:r>
    </w:p>
    <w:p>
      <w:pPr>
        <w:pStyle w:val="ListParagraph"/>
        <w:numPr>
          <w:ilvl w:val="0"/>
          <w:numId w:val="3"/>
        </w:numPr>
        <w:spacing w:after="100" w:line="270"/>
      </w:pPr>
      <w:r>
        <w:rPr>
          <w:sz w:val="21"/>
          <w:szCs w:val="21"/>
        </w:rPr>
        <w:t xml:space="preserve">Clique em "Gerar certificado".</w:t>
      </w:r>
    </w:p>
    <w:p>
      <w:pPr>
        <w:spacing w:after="160" w:line="276"/>
      </w:pPr>
      <w:r>
        <w:rPr>
          <w:sz w:val="21"/>
          <w:szCs w:val="21"/>
        </w:rPr>
        <w:t xml:space="preserve">O sistema gera um certificado por abordagem teórica utilizada nas supervisões do período (ex.: um certificado de Psicanálise e outro de TCC, se ambas tiverem sido usadas).</w:t>
      </w:r>
    </w:p>
    <w:p>
      <w:pPr>
        <w:pStyle w:val="Heading2"/>
        <w:spacing w:after="160" w:before="360"/>
      </w:pPr>
      <w:r>
        <w:rPr>
          <w:b/>
          <w:bCs/>
          <w:color w:val="C2542F"/>
          <w:sz w:val="26"/>
          <w:szCs w:val="26"/>
        </w:rPr>
        <w:t xml:space="preserve">9.2 Frente e verso</w:t>
      </w:r>
    </w:p>
    <w:p>
      <w:pPr>
        <w:spacing w:after="160" w:line="276"/>
      </w:pPr>
      <w:r>
        <w:rPr>
          <w:sz w:val="21"/>
          <w:szCs w:val="21"/>
        </w:rPr>
        <w:t xml:space="preserve">Cada certificado é emitido em formato A4 paisagem, com carga horária, período e número de supervisões daquela abordagem. Quando o prompt de geração inclui a marcação "INFORMAÇÕES DO VERSO DO CERTIFICADO" (configurável em Configurações → Prompts, ver seção 11.7), uma página de verso adicional é gerada com o conteúdo definido — por exemplo, conteúdos estudados e síntese do desenvolvimento profissional.</w:t>
      </w:r>
    </w:p>
    <w:p>
      <w:pPr>
        <w:pStyle w:val="Heading2"/>
        <w:spacing w:after="160" w:before="360"/>
      </w:pPr>
      <w:r>
        <w:rPr>
          <w:b/>
          <w:bCs/>
          <w:color w:val="C2542F"/>
          <w:sz w:val="26"/>
          <w:szCs w:val="26"/>
        </w:rPr>
        <w:t xml:space="preserve">9.3 Baixando em PDF</w:t>
      </w:r>
    </w:p>
    <w:p>
      <w:pPr>
        <w:spacing w:after="160" w:line="276"/>
      </w:pPr>
      <w:r>
        <w:rPr>
          <w:sz w:val="21"/>
          <w:szCs w:val="21"/>
        </w:rPr>
        <w:t xml:space="preserve">Na web, o botão "Baixar PDF" abre a janela de impressão do navegador — escolha "Salvar como PDF" como destino. O mobile exibe o certificado no mesmo layout visual, mas a exportação em PDF está disponível apenas na versão web.</w:t>
      </w:r>
    </w:p>
    <w:p>
      <w:r>
        <w:br w:type="page"/>
      </w:r>
    </w:p>
    <w:p>
      <w:pPr>
        <w:pStyle w:val="Heading1"/>
        <w:pBdr>
          <w:bottom w:val="single" w:color="C2542F" w:sz="12" w:space="4"/>
        </w:pBdr>
        <w:spacing w:after="240" w:before="480"/>
      </w:pPr>
      <w:r>
        <w:rPr>
          <w:b/>
          <w:bCs/>
          <w:color w:val="87371A"/>
          <w:sz w:val="34"/>
          <w:szCs w:val="34"/>
        </w:rPr>
        <w:t xml:space="preserve">10. Pesquisa de Satisfação</w:t>
      </w:r>
    </w:p>
    <w:p>
      <w:pPr>
        <w:spacing w:after="160" w:line="276"/>
      </w:pPr>
      <w:r>
        <w:rPr>
          <w:sz w:val="21"/>
          <w:szCs w:val="21"/>
        </w:rPr>
        <w:t xml:space="preserve">Formulário de validação da experiência com o Paideia, acessível pelo menu lateral (web) ou pelo menu hambúrguer (mobile). Contém 33 perguntas organizadas em 10 seções: perfil profissional, o problema antes do Paideia, experiência de uso, diferencial da Inteligência Dialógica, comparação com IA generalista, percurso formativo, valor comercial, retenção/recomendação, melhorias e depoimento opcional.</w:t>
      </w:r>
    </w:p>
    <w:p>
      <w:pPr>
        <w:pBdr>
          <w:top w:val="single" w:color="C2542F" w:sz="4" w:space="6"/>
          <w:bottom w:val="single" w:color="C2542F" w:sz="4" w:space="6"/>
          <w:left w:val="single" w:color="C2542F" w:sz="12" w:space="8"/>
          <w:right w:val="single" w:color="C2542F" w:sz="4" w:space="6"/>
        </w:pBdr>
        <w:shd w:fill="FDF1ED" w:color="auto" w:val="clear"/>
        <w:spacing w:after="200" w:before="120"/>
        <w:ind w:left="100" w:right="100"/>
      </w:pPr>
      <w:r>
        <w:rPr>
          <w:b/>
          <w:bCs/>
          <w:color w:val="87371A"/>
          <w:sz w:val="20"/>
          <w:szCs w:val="20"/>
        </w:rPr>
        <w:t xml:space="preserve">Nota: </w:t>
      </w:r>
      <w:r>
        <w:rPr>
          <w:color w:val="5C3A2E"/>
          <w:sz w:val="20"/>
          <w:szCs w:val="20"/>
        </w:rPr>
        <w:t xml:space="preserve">As respostas são pessoais (vinculadas ao terapeuta autenticado) e usadas de forma agregada para orientar a evolução do produto. O formulário orienta explicitamente a não incluir nomes ou dados identificáveis de clientes.</w:t>
      </w:r>
    </w:p>
    <w:p>
      <w:pPr>
        <w:pBdr>
          <w:top w:val="single" w:color="C2542F" w:sz="4" w:space="6"/>
          <w:bottom w:val="single" w:color="C2542F" w:sz="4" w:space="6"/>
          <w:left w:val="single" w:color="C2542F" w:sz="12" w:space="8"/>
          <w:right w:val="single" w:color="C2542F" w:sz="4" w:space="6"/>
        </w:pBdr>
        <w:shd w:fill="FDF1ED" w:color="auto" w:val="clear"/>
        <w:spacing w:after="200" w:before="120"/>
        <w:ind w:left="100" w:right="100"/>
      </w:pPr>
      <w:r>
        <w:rPr>
          <w:b/>
          <w:bCs/>
          <w:color w:val="87371A"/>
          <w:sz w:val="20"/>
          <w:szCs w:val="20"/>
        </w:rPr>
        <w:t xml:space="preserve">Somente administrador: </w:t>
      </w:r>
      <w:r>
        <w:rPr>
          <w:color w:val="5C3A2E"/>
          <w:sz w:val="20"/>
          <w:szCs w:val="20"/>
        </w:rPr>
        <w:t xml:space="preserve">A tela Resultados da Pesquisa (menu lateral, visível só para administradores) mostra estatísticas agregadas — total de respostas, médias das notas 0–10, NPS calculado, distribuição de respostas por pergunta — e a lista de respostas individuais, cada uma expansível para ver todas as 33 perguntas respondidas.</w:t>
      </w:r>
    </w:p>
    <w:p>
      <w:r>
        <w:br w:type="page"/>
      </w:r>
    </w:p>
    <w:p>
      <w:pPr>
        <w:pStyle w:val="Heading1"/>
        <w:pBdr>
          <w:bottom w:val="single" w:color="C2542F" w:sz="12" w:space="4"/>
        </w:pBdr>
        <w:spacing w:after="240" w:before="480"/>
      </w:pPr>
      <w:r>
        <w:rPr>
          <w:b/>
          <w:bCs/>
          <w:color w:val="87371A"/>
          <w:sz w:val="34"/>
          <w:szCs w:val="34"/>
        </w:rPr>
        <w:t xml:space="preserve">11. Configurações</w:t>
      </w:r>
    </w:p>
    <w:p>
      <w:pPr>
        <w:spacing w:after="160" w:line="276"/>
      </w:pPr>
      <w:r>
        <w:rPr>
          <w:sz w:val="21"/>
          <w:szCs w:val="21"/>
        </w:rPr>
        <w:t xml:space="preserve">Acessível pelo rodapé do menu lateral. As abas visíveis variam conforme o perfil (terapeuta comum ou administrador).</w:t>
      </w:r>
    </w:p>
    <w:p>
      <w:pPr>
        <w:pStyle w:val="Heading2"/>
        <w:spacing w:after="160" w:before="360"/>
      </w:pPr>
      <w:r>
        <w:rPr>
          <w:b/>
          <w:bCs/>
          <w:color w:val="C2542F"/>
          <w:sz w:val="26"/>
          <w:szCs w:val="26"/>
        </w:rPr>
        <w:t xml:space="preserve">11.1 Perfil</w:t>
      </w:r>
    </w:p>
    <w:p>
      <w:pPr>
        <w:spacing w:after="160" w:line="276"/>
      </w:pPr>
      <w:r>
        <w:rPr>
          <w:sz w:val="21"/>
          <w:szCs w:val="21"/>
        </w:rPr>
        <w:t xml:space="preserve">Foto, nome, telefone, CRP, cidade, Instagram profissional, abordagem principal e bio. Inclui também as Configurações clínicas: valor por sessão, duração padrão, horário e dias de atendimento — usados nos relatórios de produção.</w:t>
      </w:r>
    </w:p>
    <w:p>
      <w:pPr>
        <w:pStyle w:val="Heading2"/>
        <w:spacing w:after="160" w:before="360"/>
      </w:pPr>
      <w:r>
        <w:rPr>
          <w:b/>
          <w:bCs/>
          <w:color w:val="C2542F"/>
          <w:sz w:val="26"/>
          <w:szCs w:val="26"/>
        </w:rPr>
        <w:t xml:space="preserve">11.2 Segurança</w:t>
      </w:r>
    </w:p>
    <w:p>
      <w:pPr>
        <w:spacing w:after="160" w:line="276"/>
      </w:pPr>
      <w:r>
        <w:rPr>
          <w:sz w:val="21"/>
          <w:szCs w:val="21"/>
        </w:rPr>
        <w:t xml:space="preserve">Alteração de senha (com indicador de força) e encerramento de todas as sessões ativas em outros dispositivos.</w:t>
      </w:r>
    </w:p>
    <w:p>
      <w:pPr>
        <w:pStyle w:val="Heading2"/>
        <w:spacing w:after="160" w:before="360"/>
      </w:pPr>
      <w:r>
        <w:rPr>
          <w:b/>
          <w:bCs/>
          <w:color w:val="C2542F"/>
          <w:sz w:val="26"/>
          <w:szCs w:val="26"/>
        </w:rPr>
        <w:t xml:space="preserve">11.3 Plano</w:t>
      </w:r>
    </w:p>
    <w:p>
      <w:pPr>
        <w:spacing w:after="160" w:line="276"/>
      </w:pPr>
      <w:r>
        <w:rPr>
          <w:sz w:val="21"/>
          <w:szCs w:val="21"/>
        </w:rPr>
        <w:t xml:space="preserve">Visualização do plano atual, comparação entre planos (Pro / Clínica) e histórico de cobrança.</w:t>
      </w:r>
    </w:p>
    <w:p>
      <w:pPr>
        <w:pStyle w:val="Heading2"/>
        <w:spacing w:after="160" w:before="360"/>
      </w:pPr>
      <w:r>
        <w:rPr>
          <w:b/>
          <w:bCs/>
          <w:color w:val="C2542F"/>
          <w:sz w:val="26"/>
          <w:szCs w:val="26"/>
        </w:rPr>
        <w:t xml:space="preserve">11.4 API Key</w:t>
      </w:r>
    </w:p>
    <w:p>
      <w:pPr>
        <w:spacing w:after="160" w:line="276"/>
      </w:pPr>
      <w:r>
        <w:rPr>
          <w:sz w:val="21"/>
          <w:szCs w:val="21"/>
        </w:rPr>
        <w:t xml:space="preserve">As funcionalidades de Inteligência Artificial do Paideia (supervisão, relatórios, certificado) dependem de uma chave de API de um provedor de IA.</w:t>
      </w:r>
    </w:p>
    <w:p>
      <w:pPr>
        <w:pStyle w:val="ListParagraph"/>
        <w:numPr>
          <w:ilvl w:val="0"/>
          <w:numId w:val="2"/>
        </w:numPr>
        <w:spacing w:after="80" w:line="270"/>
      </w:pPr>
      <w:r>
        <w:rPr>
          <w:sz w:val="21"/>
          <w:szCs w:val="21"/>
        </w:rPr>
        <w:t xml:space="preserve">Escolha o provedor: Anthropic (Claude), Google Gemini ou Ollama (local).</w:t>
      </w:r>
    </w:p>
    <w:p>
      <w:pPr>
        <w:pStyle w:val="ListParagraph"/>
        <w:numPr>
          <w:ilvl w:val="0"/>
          <w:numId w:val="2"/>
        </w:numPr>
        <w:spacing w:after="80" w:line="270"/>
      </w:pPr>
      <w:r>
        <w:rPr>
          <w:sz w:val="21"/>
          <w:szCs w:val="21"/>
        </w:rPr>
        <w:t xml:space="preserve">Cole a chave obtida no site do provedor e clique em "Salvar e ativar chave".</w:t>
      </w:r>
    </w:p>
    <w:p>
      <w:pPr>
        <w:pStyle w:val="ListParagraph"/>
        <w:numPr>
          <w:ilvl w:val="0"/>
          <w:numId w:val="2"/>
        </w:numPr>
        <w:spacing w:after="80" w:line="270"/>
      </w:pPr>
      <w:r>
        <w:rPr>
          <w:sz w:val="21"/>
          <w:szCs w:val="21"/>
        </w:rPr>
        <w:t xml:space="preserve">Use "Testar conexão" para confirmar que a chave está funcionando.</w:t>
      </w:r>
    </w:p>
    <w:p>
      <w:pPr>
        <w:pBdr>
          <w:top w:val="single" w:color="C2542F" w:sz="4" w:space="6"/>
          <w:bottom w:val="single" w:color="C2542F" w:sz="4" w:space="6"/>
          <w:left w:val="single" w:color="C2542F" w:sz="12" w:space="8"/>
          <w:right w:val="single" w:color="C2542F" w:sz="4" w:space="6"/>
        </w:pBdr>
        <w:shd w:fill="FDF1ED" w:color="auto" w:val="clear"/>
        <w:spacing w:after="200" w:before="120"/>
        <w:ind w:left="100" w:right="100"/>
      </w:pPr>
      <w:r>
        <w:rPr>
          <w:b/>
          <w:bCs/>
          <w:color w:val="87371A"/>
          <w:sz w:val="20"/>
          <w:szCs w:val="20"/>
        </w:rPr>
        <w:t xml:space="preserve">Nota: </w:t>
      </w:r>
      <w:r>
        <w:rPr>
          <w:color w:val="5C3A2E"/>
          <w:sz w:val="20"/>
          <w:szCs w:val="20"/>
        </w:rPr>
        <w:t xml:space="preserve">A chave é armazenada de forma cifrada no navegador (ou no dispositivo móvel) — o servidor do Paideia não tem acesso a ela em texto puro. Alternativamente, uma chave padrão pode ser configurada pelo administrador no servidor, usada como respaldo quando o terapeuta não tem chave própria salva.</w:t>
      </w:r>
    </w:p>
    <w:p>
      <w:pPr>
        <w:pStyle w:val="Heading2"/>
        <w:spacing w:after="160" w:before="360"/>
      </w:pPr>
      <w:r>
        <w:rPr>
          <w:b/>
          <w:bCs/>
          <w:color w:val="C2542F"/>
          <w:sz w:val="26"/>
          <w:szCs w:val="26"/>
        </w:rPr>
        <w:t xml:space="preserve">11.5 Minhas Bases</w:t>
      </w:r>
    </w:p>
    <w:p>
      <w:pPr>
        <w:spacing w:after="160" w:line="276"/>
      </w:pPr>
      <w:r>
        <w:rPr>
          <w:sz w:val="21"/>
          <w:szCs w:val="21"/>
        </w:rPr>
        <w:t xml:space="preserve">Mostra as abordagens teóricas contratadas pelo terapeuta e o material de conhecimento (RAG) disponível para cada uma.</w:t>
      </w:r>
    </w:p>
    <w:p>
      <w:pPr>
        <w:pStyle w:val="Heading2"/>
        <w:spacing w:after="160" w:before="360"/>
      </w:pPr>
      <w:r>
        <w:rPr>
          <w:b/>
          <w:bCs/>
          <w:color w:val="C2542F"/>
          <w:sz w:val="26"/>
          <w:szCs w:val="26"/>
        </w:rPr>
        <w:t xml:space="preserve">11.6 Ética CFP</w:t>
      </w:r>
    </w:p>
    <w:p>
      <w:pPr>
        <w:spacing w:after="160" w:line="276"/>
      </w:pPr>
      <w:r>
        <w:rPr>
          <w:sz w:val="21"/>
          <w:szCs w:val="21"/>
        </w:rPr>
        <w:t xml:space="preserve">Apresenta a Resolução CFP nº 21/2025 sobre uso de IA na prática profissional e exige a confirmação de quatro compromissos éticos: ausência de diagnóstico automático, juízo clínico humano, sigilo/pseudonimização de dados e consentimento (TCLE) dos pacientes.</w:t>
      </w:r>
    </w:p>
    <w:p>
      <w:pPr>
        <w:pStyle w:val="Heading2"/>
        <w:spacing w:after="160" w:before="360"/>
      </w:pPr>
      <w:r>
        <w:rPr>
          <w:b/>
          <w:bCs/>
          <w:color w:val="C2542F"/>
          <w:sz w:val="26"/>
          <w:szCs w:val="26"/>
        </w:rPr>
        <w:t xml:space="preserve">11.7 Base RAG</w:t>
      </w:r>
    </w:p>
    <w:p>
      <w:pPr>
        <w:pBdr>
          <w:top w:val="single" w:color="C2542F" w:sz="4" w:space="6"/>
          <w:bottom w:val="single" w:color="C2542F" w:sz="4" w:space="6"/>
          <w:left w:val="single" w:color="C2542F" w:sz="12" w:space="8"/>
          <w:right w:val="single" w:color="C2542F" w:sz="4" w:space="6"/>
        </w:pBdr>
        <w:shd w:fill="FDF1ED" w:color="auto" w:val="clear"/>
        <w:spacing w:after="200" w:before="120"/>
        <w:ind w:left="100" w:right="100"/>
      </w:pPr>
      <w:r>
        <w:rPr>
          <w:b/>
          <w:bCs/>
          <w:color w:val="87371A"/>
          <w:sz w:val="20"/>
          <w:szCs w:val="20"/>
        </w:rPr>
        <w:t xml:space="preserve">Somente administrador: </w:t>
      </w:r>
      <w:r>
        <w:rPr>
          <w:color w:val="5C3A2E"/>
          <w:sz w:val="20"/>
          <w:szCs w:val="20"/>
        </w:rPr>
        <w:t xml:space="preserve">Envio de livros e artigos (PDF ou TXT) por abordagem teórica, formando a base de conhecimento que a IA consulta durante as supervisões daquela abordagem. Os documentos ficam agrupados e podem ser removidos individualmente.</w:t>
      </w:r>
    </w:p>
    <w:p>
      <w:pPr>
        <w:pStyle w:val="Heading2"/>
        <w:spacing w:after="160" w:before="360"/>
      </w:pPr>
      <w:r>
        <w:rPr>
          <w:b/>
          <w:bCs/>
          <w:color w:val="C2542F"/>
          <w:sz w:val="26"/>
          <w:szCs w:val="26"/>
        </w:rPr>
        <w:t xml:space="preserve">11.8 Prompts</w:t>
      </w:r>
    </w:p>
    <w:p>
      <w:pPr>
        <w:pBdr>
          <w:top w:val="single" w:color="C2542F" w:sz="4" w:space="6"/>
          <w:bottom w:val="single" w:color="C2542F" w:sz="4" w:space="6"/>
          <w:left w:val="single" w:color="C2542F" w:sz="12" w:space="8"/>
          <w:right w:val="single" w:color="C2542F" w:sz="4" w:space="6"/>
        </w:pBdr>
        <w:shd w:fill="FDF1ED" w:color="auto" w:val="clear"/>
        <w:spacing w:after="200" w:before="120"/>
        <w:ind w:left="100" w:right="100"/>
      </w:pPr>
      <w:r>
        <w:rPr>
          <w:b/>
          <w:bCs/>
          <w:color w:val="87371A"/>
          <w:sz w:val="20"/>
          <w:szCs w:val="20"/>
        </w:rPr>
        <w:t xml:space="preserve">Somente administrador: </w:t>
      </w:r>
      <w:r>
        <w:rPr>
          <w:color w:val="5C3A2E"/>
          <w:sz w:val="20"/>
          <w:szCs w:val="20"/>
        </w:rPr>
        <w:t xml:space="preserve">Permite personalizar o prompt de sistema usado pela IA em cada abordagem teórica e em funcionalidades específicas (Evolução, Certificado, Relatório de Evoluções, documentos oficiais). Deixar em branco usa o prompt padrão do sistema. É aqui que se configura a marcação "INFORMAÇÕES DO VERSO DO CERTIFICADO" citada na seção 9.2.</w:t>
      </w:r>
    </w:p>
    <w:p>
      <w:pPr>
        <w:pStyle w:val="Heading2"/>
        <w:spacing w:after="160" w:before="360"/>
      </w:pPr>
      <w:r>
        <w:rPr>
          <w:b/>
          <w:bCs/>
          <w:color w:val="C2542F"/>
          <w:sz w:val="26"/>
          <w:szCs w:val="26"/>
        </w:rPr>
        <w:t xml:space="preserve">11.9 Anamnese</w:t>
      </w:r>
    </w:p>
    <w:p>
      <w:pPr>
        <w:pBdr>
          <w:top w:val="single" w:color="C2542F" w:sz="4" w:space="6"/>
          <w:bottom w:val="single" w:color="C2542F" w:sz="4" w:space="6"/>
          <w:left w:val="single" w:color="C2542F" w:sz="12" w:space="8"/>
          <w:right w:val="single" w:color="C2542F" w:sz="4" w:space="6"/>
        </w:pBdr>
        <w:shd w:fill="FDF1ED" w:color="auto" w:val="clear"/>
        <w:spacing w:after="200" w:before="120"/>
        <w:ind w:left="100" w:right="100"/>
      </w:pPr>
      <w:r>
        <w:rPr>
          <w:b/>
          <w:bCs/>
          <w:color w:val="87371A"/>
          <w:sz w:val="20"/>
          <w:szCs w:val="20"/>
        </w:rPr>
        <w:t xml:space="preserve">Somente administrador: </w:t>
      </w:r>
      <w:r>
        <w:rPr>
          <w:color w:val="5C3A2E"/>
          <w:sz w:val="20"/>
          <w:szCs w:val="20"/>
        </w:rPr>
        <w:t xml:space="preserve">Editor dos formulários de anamnese apresentados ao paciente, um por abordagem teórica. Clique na abordagem para expandir/recolher e editar o conteúdo (HTML com perguntas, campos de texto, múltipla escolha etc.) e salve.</w:t>
      </w:r>
    </w:p>
    <w:p>
      <w:pPr>
        <w:pStyle w:val="Heading2"/>
        <w:spacing w:after="160" w:before="360"/>
      </w:pPr>
      <w:r>
        <w:rPr>
          <w:b/>
          <w:bCs/>
          <w:color w:val="C2542F"/>
          <w:sz w:val="26"/>
          <w:szCs w:val="26"/>
        </w:rPr>
        <w:t xml:space="preserve">11.10 Terapeutas</w:t>
      </w:r>
    </w:p>
    <w:p>
      <w:pPr>
        <w:pBdr>
          <w:top w:val="single" w:color="C2542F" w:sz="4" w:space="6"/>
          <w:bottom w:val="single" w:color="C2542F" w:sz="4" w:space="6"/>
          <w:left w:val="single" w:color="C2542F" w:sz="12" w:space="8"/>
          <w:right w:val="single" w:color="C2542F" w:sz="4" w:space="6"/>
        </w:pBdr>
        <w:shd w:fill="FDF1ED" w:color="auto" w:val="clear"/>
        <w:spacing w:after="200" w:before="120"/>
        <w:ind w:left="100" w:right="100"/>
      </w:pPr>
      <w:r>
        <w:rPr>
          <w:b/>
          <w:bCs/>
          <w:color w:val="87371A"/>
          <w:sz w:val="20"/>
          <w:szCs w:val="20"/>
        </w:rPr>
        <w:t xml:space="preserve">Somente administrador: </w:t>
      </w:r>
      <w:r>
        <w:rPr>
          <w:color w:val="5C3A2E"/>
          <w:sz w:val="20"/>
          <w:szCs w:val="20"/>
        </w:rPr>
        <w:t xml:space="preserve">Lista todos os terapeutas com acesso à plataforma, com opção de bloquear/liberar o acesso de cada um.</w:t>
      </w:r>
    </w:p>
    <w:p>
      <w:pPr>
        <w:pStyle w:val="ListParagraph"/>
        <w:numPr>
          <w:ilvl w:val="0"/>
          <w:numId w:val="2"/>
        </w:numPr>
        <w:spacing w:after="80" w:line="270"/>
      </w:pPr>
      <w:r>
        <w:rPr>
          <w:sz w:val="21"/>
          <w:szCs w:val="21"/>
        </w:rPr>
        <w:t xml:space="preserve">Bases teóricas: ao expandir "Bases" de um terapeuta, todas as abordagens aparecem — contratadas em azul escuro, não contratadas em azul claro. Clicar em uma base adiciona ou remove ela do pacote daquele terapeuta imediatamente.</w:t>
      </w:r>
    </w:p>
    <w:p>
      <w:pPr>
        <w:pStyle w:val="ListParagraph"/>
        <w:numPr>
          <w:ilvl w:val="0"/>
          <w:numId w:val="2"/>
        </w:numPr>
        <w:spacing w:after="80" w:line="270"/>
      </w:pPr>
      <w:r>
        <w:rPr>
          <w:sz w:val="21"/>
          <w:szCs w:val="21"/>
        </w:rPr>
        <w:t xml:space="preserve">Adicionar terapeuta: cria uma conta diretamente (nome, e-mail, senha e bases iniciais), sem depender do checkout de pagamento — útil durante a fase de testes.</w:t>
      </w:r>
    </w:p>
    <w:p>
      <w:pPr>
        <w:pStyle w:val="Heading2"/>
        <w:spacing w:after="160" w:before="360"/>
      </w:pPr>
      <w:r>
        <w:rPr>
          <w:b/>
          <w:bCs/>
          <w:color w:val="C2542F"/>
          <w:sz w:val="26"/>
          <w:szCs w:val="26"/>
        </w:rPr>
        <w:t xml:space="preserve">11.11 Uso de API</w:t>
      </w:r>
    </w:p>
    <w:p>
      <w:pPr>
        <w:pBdr>
          <w:top w:val="single" w:color="C2542F" w:sz="4" w:space="6"/>
          <w:bottom w:val="single" w:color="C2542F" w:sz="4" w:space="6"/>
          <w:left w:val="single" w:color="C2542F" w:sz="12" w:space="8"/>
          <w:right w:val="single" w:color="C2542F" w:sz="4" w:space="6"/>
        </w:pBdr>
        <w:shd w:fill="FDF1ED" w:color="auto" w:val="clear"/>
        <w:spacing w:after="200" w:before="120"/>
        <w:ind w:left="100" w:right="100"/>
      </w:pPr>
      <w:r>
        <w:rPr>
          <w:b/>
          <w:bCs/>
          <w:color w:val="87371A"/>
          <w:sz w:val="20"/>
          <w:szCs w:val="20"/>
        </w:rPr>
        <w:t xml:space="preserve">Somente administrador: </w:t>
      </w:r>
      <w:r>
        <w:rPr>
          <w:color w:val="5C3A2E"/>
          <w:sz w:val="20"/>
          <w:szCs w:val="20"/>
        </w:rPr>
        <w:t xml:space="preserve">Painel de acompanhamento de consumo de tokens/custos de IA por terapeuta e por funcionalidade.</w:t>
      </w:r>
    </w:p>
    <w:p>
      <w:r>
        <w:br w:type="page"/>
      </w:r>
    </w:p>
    <w:p>
      <w:pPr>
        <w:pStyle w:val="Heading1"/>
        <w:pBdr>
          <w:bottom w:val="single" w:color="C2542F" w:sz="12" w:space="4"/>
        </w:pBdr>
        <w:spacing w:after="240" w:before="480"/>
      </w:pPr>
      <w:r>
        <w:rPr>
          <w:b/>
          <w:bCs/>
          <w:color w:val="87371A"/>
          <w:sz w:val="34"/>
          <w:szCs w:val="34"/>
        </w:rPr>
        <w:t xml:space="preserve">12. Aplicativo Mobile</w:t>
      </w:r>
    </w:p>
    <w:p>
      <w:pPr>
        <w:spacing w:after="160" w:line="276"/>
      </w:pPr>
      <w:r>
        <w:rPr>
          <w:sz w:val="21"/>
          <w:szCs w:val="21"/>
        </w:rPr>
        <w:t xml:space="preserve">O aplicativo mobile do Paideia (iOS/Android) espelha as principais funcionalidades da versão web, com telas adaptadas ao formato de celular.</w:t>
      </w:r>
    </w:p>
    <w:p>
      <w:pPr>
        <w:pStyle w:val="Heading2"/>
        <w:spacing w:after="160" w:before="360"/>
      </w:pPr>
      <w:r>
        <w:rPr>
          <w:b/>
          <w:bCs/>
          <w:color w:val="C2542F"/>
          <w:sz w:val="26"/>
          <w:szCs w:val="26"/>
        </w:rPr>
        <w:t xml:space="preserve">12.1 Navegação</w:t>
      </w:r>
    </w:p>
    <w:p>
      <w:pPr>
        <w:spacing w:after="160" w:line="276"/>
      </w:pPr>
      <w:r>
        <w:rPr>
          <w:sz w:val="21"/>
          <w:szCs w:val="21"/>
        </w:rPr>
        <w:t xml:space="preserve">A barra inferior dá acesso rápido a: Início, Clientes, Agenda, Meu escritório, Certificado e Configurações. O menu hambúrguer (ícone no topo das telas) reúne também Evoluções e Pesquisa de Satisfação, além dos mesmos atalhos da barra inferior.</w:t>
      </w:r>
    </w:p>
    <w:p>
      <w:pPr>
        <w:pStyle w:val="Heading2"/>
        <w:spacing w:after="160" w:before="360"/>
      </w:pPr>
      <w:r>
        <w:rPr>
          <w:b/>
          <w:bCs/>
          <w:color w:val="C2542F"/>
          <w:sz w:val="26"/>
          <w:szCs w:val="26"/>
        </w:rPr>
        <w:t xml:space="preserve">12.2 Home</w:t>
      </w:r>
    </w:p>
    <w:p>
      <w:pPr>
        <w:spacing w:after="160" w:line="276"/>
      </w:pPr>
      <w:r>
        <w:rPr>
          <w:sz w:val="21"/>
          <w:szCs w:val="21"/>
        </w:rPr>
        <w:t xml:space="preserve">Saudação, data e dois atalhos principais: "Supervisionar cliente" e "Novo Cliente".</w:t>
      </w:r>
    </w:p>
    <w:p>
      <w:pPr>
        <w:pStyle w:val="Heading2"/>
        <w:spacing w:after="160" w:before="360"/>
      </w:pPr>
      <w:r>
        <w:rPr>
          <w:b/>
          <w:bCs/>
          <w:color w:val="C2542F"/>
          <w:sz w:val="26"/>
          <w:szCs w:val="26"/>
        </w:rPr>
        <w:t xml:space="preserve">12.3 Supervisão</w:t>
      </w:r>
    </w:p>
    <w:p>
      <w:pPr>
        <w:spacing w:after="160" w:line="276"/>
      </w:pPr>
      <w:r>
        <w:rPr>
          <w:sz w:val="21"/>
          <w:szCs w:val="21"/>
        </w:rPr>
        <w:t xml:space="preserve">Mesmo fluxo da web: selecionar cliente e abordagem, iniciar, pausar/retomar, conversar (com suporte a voz) e finalizar gerando a evolução clínica.</w:t>
      </w:r>
    </w:p>
    <w:p>
      <w:pPr>
        <w:pStyle w:val="Heading2"/>
        <w:spacing w:after="160" w:before="360"/>
      </w:pPr>
      <w:r>
        <w:rPr>
          <w:b/>
          <w:bCs/>
          <w:color w:val="C2542F"/>
          <w:sz w:val="26"/>
          <w:szCs w:val="26"/>
        </w:rPr>
        <w:t xml:space="preserve">12.4 Clientes</w:t>
      </w:r>
    </w:p>
    <w:p>
      <w:pPr>
        <w:spacing w:after="160" w:line="276"/>
      </w:pPr>
      <w:r>
        <w:rPr>
          <w:sz w:val="21"/>
          <w:szCs w:val="21"/>
        </w:rPr>
        <w:t xml:space="preserve">Mesmas três abas da web (Sem anamnese / Ativos / Aguardando aprovação), card "Enviar anamnese" no topo (copiar link, WhatsApp ou e-mail), botão "+" para cadastro manual de um novo cliente e, no detalhe do cliente, as seções Supervisões (com exclusão) e Evoluções recentes.</w:t>
      </w:r>
    </w:p>
    <w:p>
      <w:pPr>
        <w:pStyle w:val="Heading2"/>
        <w:spacing w:after="160" w:before="360"/>
      </w:pPr>
      <w:r>
        <w:rPr>
          <w:b/>
          <w:bCs/>
          <w:color w:val="C2542F"/>
          <w:sz w:val="26"/>
          <w:szCs w:val="26"/>
        </w:rPr>
        <w:t xml:space="preserve">12.5 Agenda</w:t>
      </w:r>
    </w:p>
    <w:p>
      <w:pPr>
        <w:spacing w:after="160" w:line="276"/>
      </w:pPr>
      <w:r>
        <w:rPr>
          <w:sz w:val="21"/>
          <w:szCs w:val="21"/>
        </w:rPr>
        <w:t xml:space="preserve">Calendário mensal (navegação entre meses, indicador de dias com sessão) com a lista de sessões do dia selecionado e botão "+ Nova sessão".</w:t>
      </w:r>
    </w:p>
    <w:p>
      <w:pPr>
        <w:pStyle w:val="Heading2"/>
        <w:spacing w:after="160" w:before="360"/>
      </w:pPr>
      <w:r>
        <w:rPr>
          <w:b/>
          <w:bCs/>
          <w:color w:val="C2542F"/>
          <w:sz w:val="26"/>
          <w:szCs w:val="26"/>
        </w:rPr>
        <w:t xml:space="preserve">12.6 Certificado</w:t>
      </w:r>
    </w:p>
    <w:p>
      <w:pPr>
        <w:spacing w:after="160" w:line="276"/>
      </w:pPr>
      <w:r>
        <w:rPr>
          <w:sz w:val="21"/>
          <w:szCs w:val="21"/>
        </w:rPr>
        <w:t xml:space="preserve">Mesmo layout visual da web (frente e verso, quando aplicável), gerado por abordagem e período. A exportação em PDF, por ora, está disponível apenas na versão web.</w:t>
      </w:r>
    </w:p>
    <w:p>
      <w:pPr>
        <w:pStyle w:val="Heading2"/>
        <w:spacing w:after="160" w:before="360"/>
      </w:pPr>
      <w:r>
        <w:rPr>
          <w:b/>
          <w:bCs/>
          <w:color w:val="C2542F"/>
          <w:sz w:val="26"/>
          <w:szCs w:val="26"/>
        </w:rPr>
        <w:t xml:space="preserve">12.7 Evoluções</w:t>
      </w:r>
    </w:p>
    <w:p>
      <w:pPr>
        <w:spacing w:after="160" w:line="276"/>
      </w:pPr>
      <w:r>
        <w:rPr>
          <w:sz w:val="21"/>
          <w:szCs w:val="21"/>
        </w:rPr>
        <w:t xml:space="preserve">Lista de evoluções clínicas com busca, estatísticas (total, com hipótese de IA, clientes cobertos) e detalhe de cada evolução em um modal.</w:t>
      </w:r>
    </w:p>
    <w:p>
      <w:pPr>
        <w:pStyle w:val="Heading2"/>
        <w:spacing w:after="160" w:before="360"/>
      </w:pPr>
      <w:r>
        <w:rPr>
          <w:b/>
          <w:bCs/>
          <w:color w:val="C2542F"/>
          <w:sz w:val="26"/>
          <w:szCs w:val="26"/>
        </w:rPr>
        <w:t xml:space="preserve">12.8 Configurações</w:t>
      </w:r>
    </w:p>
    <w:p>
      <w:pPr>
        <w:spacing w:after="160" w:line="276"/>
      </w:pPr>
      <w:r>
        <w:rPr>
          <w:sz w:val="21"/>
          <w:szCs w:val="21"/>
        </w:rPr>
        <w:t xml:space="preserve">Perfil, API Key e, para administradores, o editor de formulários de anamnese (mesma função da seção 11.9 na web).</w:t>
      </w:r>
    </w:p>
    <w:p>
      <w:pPr>
        <w:pStyle w:val="Heading2"/>
        <w:spacing w:after="160" w:before="360"/>
      </w:pPr>
      <w:r>
        <w:rPr>
          <w:b/>
          <w:bCs/>
          <w:color w:val="C2542F"/>
          <w:sz w:val="26"/>
          <w:szCs w:val="26"/>
        </w:rPr>
        <w:t xml:space="preserve">12.9 Pesquisa de Satisfação</w:t>
      </w:r>
    </w:p>
    <w:p>
      <w:pPr>
        <w:spacing w:after="160" w:line="276"/>
      </w:pPr>
      <w:r>
        <w:rPr>
          <w:sz w:val="21"/>
          <w:szCs w:val="21"/>
        </w:rPr>
        <w:t xml:space="preserve">Mesmo questionário de 33 perguntas da versão web, acessível pelo menu hambúrguer.</w:t>
      </w:r>
    </w:p>
    <w:p>
      <w:r>
        <w:br w:type="page"/>
      </w:r>
    </w:p>
    <w:p>
      <w:pPr>
        <w:pStyle w:val="Heading1"/>
        <w:pBdr>
          <w:bottom w:val="single" w:color="C2542F" w:sz="12" w:space="4"/>
        </w:pBdr>
        <w:spacing w:after="240" w:before="480"/>
      </w:pPr>
      <w:r>
        <w:rPr>
          <w:b/>
          <w:bCs/>
          <w:color w:val="87371A"/>
          <w:sz w:val="34"/>
          <w:szCs w:val="34"/>
        </w:rPr>
        <w:t xml:space="preserve">13. Entrada por Voz (Ditado)</w:t>
      </w:r>
    </w:p>
    <w:p>
      <w:pPr>
        <w:spacing w:after="160" w:line="276"/>
      </w:pPr>
      <w:r>
        <w:rPr>
          <w:sz w:val="21"/>
          <w:szCs w:val="21"/>
        </w:rPr>
        <w:t xml:space="preserve">Os campos de conteúdo do sistema (textos livres como demanda principal, observações, mensagens de supervisão etc.) aceitam ditado por voz, identificado pelo ícone de microfone.</w:t>
      </w:r>
    </w:p>
    <w:p>
      <w:pPr>
        <w:pStyle w:val="ListParagraph"/>
        <w:numPr>
          <w:ilvl w:val="0"/>
          <w:numId w:val="3"/>
        </w:numPr>
        <w:spacing w:after="100" w:line="270"/>
      </w:pPr>
      <w:r>
        <w:rPr>
          <w:sz w:val="21"/>
          <w:szCs w:val="21"/>
        </w:rPr>
        <w:t xml:space="preserve">Toque/clique no ícone de microfone ao lado do campo.</w:t>
      </w:r>
    </w:p>
    <w:p>
      <w:pPr>
        <w:pStyle w:val="ListParagraph"/>
        <w:numPr>
          <w:ilvl w:val="0"/>
          <w:numId w:val="3"/>
        </w:numPr>
        <w:spacing w:after="100" w:line="270"/>
      </w:pPr>
      <w:r>
        <w:rPr>
          <w:sz w:val="21"/>
          <w:szCs w:val="21"/>
        </w:rPr>
        <w:t xml:space="preserve">Fale normalmente — o texto aparece em tempo real conforme você fala.</w:t>
      </w:r>
    </w:p>
    <w:p>
      <w:pPr>
        <w:pStyle w:val="ListParagraph"/>
        <w:numPr>
          <w:ilvl w:val="0"/>
          <w:numId w:val="3"/>
        </w:numPr>
        <w:spacing w:after="100" w:line="270"/>
      </w:pPr>
      <w:r>
        <w:rPr>
          <w:sz w:val="21"/>
          <w:szCs w:val="21"/>
        </w:rPr>
        <w:t xml:space="preserve">Toque novamente para parar a gravação.</w:t>
      </w:r>
    </w:p>
    <w:p>
      <w:pPr>
        <w:spacing w:after="160" w:line="276"/>
      </w:pPr>
      <w:r>
        <w:rPr>
          <w:sz w:val="21"/>
          <w:szCs w:val="21"/>
        </w:rPr>
        <w:t xml:space="preserve">Campos de login, senha e busca não têm entrada por voz — por não fazer sentido para esse tipo de dado.</w:t>
      </w:r>
    </w:p>
    <w:p>
      <w:pPr>
        <w:pBdr>
          <w:top w:val="single" w:color="C2542F" w:sz="4" w:space="6"/>
          <w:bottom w:val="single" w:color="C2542F" w:sz="4" w:space="6"/>
          <w:left w:val="single" w:color="C2542F" w:sz="12" w:space="8"/>
          <w:right w:val="single" w:color="C2542F" w:sz="4" w:space="6"/>
        </w:pBdr>
        <w:shd w:fill="FDF1ED" w:color="auto" w:val="clear"/>
        <w:spacing w:after="200" w:before="120"/>
        <w:ind w:left="100" w:right="100"/>
      </w:pPr>
      <w:r>
        <w:rPr>
          <w:b/>
          <w:bCs/>
          <w:color w:val="87371A"/>
          <w:sz w:val="20"/>
          <w:szCs w:val="20"/>
        </w:rPr>
        <w:t xml:space="preserve">Nota: </w:t>
      </w:r>
      <w:r>
        <w:rPr>
          <w:color w:val="5C3A2E"/>
          <w:sz w:val="20"/>
          <w:szCs w:val="20"/>
        </w:rPr>
        <w:t xml:space="preserve">Não há limite de tempo definido pelo próprio Paideia, mas o mecanismo de reconhecimento de voz do navegador ou do sistema operacional pode interromper gravações muito longas ou com silêncios prolongados. Para falas contínuas de até 1–2 minutos, não costuma haver problema em nenhuma plataforma.</w:t>
      </w:r>
    </w:p>
    <w:p>
      <w:pPr>
        <w:pBdr>
          <w:top w:val="single" w:color="C2542F" w:sz="4" w:space="6"/>
          <w:bottom w:val="single" w:color="C2542F" w:sz="4" w:space="6"/>
          <w:left w:val="single" w:color="C2542F" w:sz="12" w:space="8"/>
          <w:right w:val="single" w:color="C2542F" w:sz="4" w:space="6"/>
        </w:pBdr>
        <w:shd w:fill="FDF1ED" w:color="auto" w:val="clear"/>
        <w:spacing w:after="200" w:before="120"/>
        <w:ind w:left="100" w:right="100"/>
      </w:pPr>
      <w:r>
        <w:rPr>
          <w:b/>
          <w:bCs/>
          <w:color w:val="87371A"/>
          <w:sz w:val="20"/>
          <w:szCs w:val="20"/>
        </w:rPr>
        <w:t xml:space="preserve">Nota: </w:t>
      </w:r>
      <w:r>
        <w:rPr>
          <w:color w:val="5C3A2E"/>
          <w:sz w:val="20"/>
          <w:szCs w:val="20"/>
        </w:rPr>
        <w:t xml:space="preserve">No aplicativo mobile aberto dentro do Expo Go (ambiente de testes da própria Expo), o microfone fica desabilitado — o reconhecimento de voz nativo só funciona em um build próprio do Paideia instalado no aparelho.</w:t>
      </w:r>
    </w:p>
    <w:p>
      <w:r>
        <w:br w:type="page"/>
      </w:r>
    </w:p>
    <w:p>
      <w:pPr>
        <w:pStyle w:val="Heading1"/>
        <w:pBdr>
          <w:bottom w:val="single" w:color="C2542F" w:sz="12" w:space="4"/>
        </w:pBdr>
        <w:spacing w:after="240" w:before="480"/>
      </w:pPr>
      <w:r>
        <w:rPr>
          <w:b/>
          <w:bCs/>
          <w:color w:val="87371A"/>
          <w:sz w:val="34"/>
          <w:szCs w:val="34"/>
        </w:rPr>
        <w:t xml:space="preserve">14. Perguntas Frequentes e Solução de Problemas</w:t>
      </w:r>
    </w:p>
    <w:p>
      <w:pPr>
        <w:pStyle w:val="Heading3"/>
        <w:spacing w:after="120" w:before="240"/>
      </w:pPr>
      <w:r>
        <w:rPr>
          <w:b/>
          <w:bCs/>
          <w:color w:val="1F2937"/>
          <w:sz w:val="22"/>
          <w:szCs w:val="22"/>
        </w:rPr>
        <w:t xml:space="preserve">"API Key não configurada"</w:t>
      </w:r>
    </w:p>
    <w:p>
      <w:pPr>
        <w:spacing w:after="160" w:line="276"/>
      </w:pPr>
      <w:r>
        <w:rPr>
          <w:sz w:val="21"/>
          <w:szCs w:val="21"/>
        </w:rPr>
        <w:t xml:space="preserve">Acesse Configurações → API Key, informe uma chave válida do provedor escolhido e clique em "Salvar e ativar chave".</w:t>
      </w:r>
    </w:p>
    <w:p>
      <w:pPr>
        <w:pStyle w:val="Heading3"/>
        <w:spacing w:after="120" w:before="240"/>
      </w:pPr>
      <w:r>
        <w:rPr>
          <w:b/>
          <w:bCs/>
          <w:color w:val="1F2937"/>
          <w:sz w:val="22"/>
          <w:szCs w:val="22"/>
        </w:rPr>
        <w:t xml:space="preserve">Não recebo o e-mail de convite de anamnese</w:t>
      </w:r>
    </w:p>
    <w:p>
      <w:pPr>
        <w:spacing w:after="160" w:line="276"/>
      </w:pPr>
      <w:r>
        <w:rPr>
          <w:sz w:val="21"/>
          <w:szCs w:val="21"/>
        </w:rPr>
        <w:t xml:space="preserve">Verifique a caixa de spam do destinatário e confirme se o e-mail informado está correto. Alternativamente, use "Copiar link" ou "WhatsApp" no card de Enviar anamnese.</w:t>
      </w:r>
    </w:p>
    <w:p>
      <w:pPr>
        <w:pStyle w:val="Heading3"/>
        <w:spacing w:after="120" w:before="240"/>
      </w:pPr>
      <w:r>
        <w:rPr>
          <w:b/>
          <w:bCs/>
          <w:color w:val="1F2937"/>
          <w:sz w:val="22"/>
          <w:szCs w:val="22"/>
        </w:rPr>
        <w:t xml:space="preserve">Meu certificado saiu sem uma abordagem que eu esperava</w:t>
      </w:r>
    </w:p>
    <w:p>
      <w:pPr>
        <w:spacing w:after="160" w:line="276"/>
      </w:pPr>
      <w:r>
        <w:rPr>
          <w:sz w:val="21"/>
          <w:szCs w:val="21"/>
        </w:rPr>
        <w:t xml:space="preserve">O certificado só é gerado para abordagens efetivamente usadas em supervisões dentro do período selecionado. Amplie o período ou confirme que a supervisão foi registrada com a abordagem correta.</w:t>
      </w:r>
    </w:p>
    <w:p>
      <w:pPr>
        <w:pStyle w:val="Heading3"/>
        <w:spacing w:after="120" w:before="240"/>
      </w:pPr>
      <w:r>
        <w:rPr>
          <w:b/>
          <w:bCs/>
          <w:color w:val="1F2937"/>
          <w:sz w:val="22"/>
          <w:szCs w:val="22"/>
        </w:rPr>
        <w:t xml:space="preserve">Uma resposta da IA não fez sentido ou pareceu estranha</w:t>
      </w:r>
    </w:p>
    <w:p>
      <w:pPr>
        <w:spacing w:after="160" w:line="276"/>
      </w:pPr>
      <w:r>
        <w:rPr>
          <w:sz w:val="21"/>
          <w:szCs w:val="21"/>
        </w:rPr>
        <w:t xml:space="preserve">A IA é uma ferramenta de apoio à reflexão — o julgamento clínico final é sempre do terapeuta. Se algo pareceu incorreto ou incoerente, isso pode e deve ser relatado na Pesquisa de Satisfação (seção 29 do questionário), que existe justamente para identificar esse tipo de falha.</w:t>
      </w:r>
    </w:p>
    <w:p>
      <w:pPr>
        <w:pStyle w:val="Heading3"/>
        <w:spacing w:after="120" w:before="240"/>
      </w:pPr>
      <w:r>
        <w:rPr>
          <w:b/>
          <w:bCs/>
          <w:color w:val="1F2937"/>
          <w:sz w:val="22"/>
          <w:szCs w:val="22"/>
        </w:rPr>
        <w:t xml:space="preserve">Esqueci minha senha</w:t>
      </w:r>
    </w:p>
    <w:p>
      <w:pPr>
        <w:spacing w:after="160" w:line="276"/>
      </w:pPr>
      <w:r>
        <w:rPr>
          <w:sz w:val="21"/>
          <w:szCs w:val="21"/>
        </w:rPr>
        <w:t xml:space="preserve">Na tela de login, clique em "Esqueci minha senha" e siga as instruções enviadas por e-mail.</w:t>
      </w:r>
    </w:p>
    <w:p>
      <w:r>
        <w:br w:type="page"/>
      </w:r>
    </w:p>
    <w:p>
      <w:pPr>
        <w:pStyle w:val="Heading1"/>
        <w:pBdr>
          <w:bottom w:val="single" w:color="C2542F" w:sz="12" w:space="4"/>
        </w:pBdr>
        <w:spacing w:after="240" w:before="480"/>
      </w:pPr>
      <w:r>
        <w:rPr>
          <w:b/>
          <w:bCs/>
          <w:color w:val="87371A"/>
          <w:sz w:val="34"/>
          <w:szCs w:val="34"/>
        </w:rPr>
        <w:t xml:space="preserve">15. Ética, Privacidade e Segurança (CFP e LGPD)</w:t>
      </w:r>
    </w:p>
    <w:p>
      <w:pPr>
        <w:spacing w:after="160" w:line="276"/>
      </w:pPr>
      <w:r>
        <w:rPr>
          <w:sz w:val="21"/>
          <w:szCs w:val="21"/>
        </w:rPr>
        <w:t xml:space="preserve">O Paideia foi desenhado em conformidade com a Resolução CFP nº 21/2025, que regula o uso de Inteligência Artificial na prática profissional da Psicologia, e com a Lei Geral de Proteção de Dados (LGPD).</w:t>
      </w:r>
    </w:p>
    <w:p>
      <w:pPr>
        <w:pStyle w:val="Heading2"/>
        <w:spacing w:after="160" w:before="360"/>
      </w:pPr>
      <w:r>
        <w:rPr>
          <w:b/>
          <w:bCs/>
          <w:color w:val="C2542F"/>
          <w:sz w:val="26"/>
          <w:szCs w:val="26"/>
        </w:rPr>
        <w:t xml:space="preserve">15.1 Responsabilidades do profissional</w:t>
      </w:r>
    </w:p>
    <w:p>
      <w:pPr>
        <w:pStyle w:val="ListParagraph"/>
        <w:numPr>
          <w:ilvl w:val="0"/>
          <w:numId w:val="2"/>
        </w:numPr>
        <w:spacing w:after="80" w:line="270"/>
      </w:pPr>
      <w:r>
        <w:rPr>
          <w:sz w:val="21"/>
          <w:szCs w:val="21"/>
        </w:rPr>
        <w:t xml:space="preserve">A IA não realiza diagnósticos — toda hipótese diagnóstica é de responsabilidade exclusiva do terapeuta.</w:t>
      </w:r>
    </w:p>
    <w:p>
      <w:pPr>
        <w:pStyle w:val="ListParagraph"/>
        <w:numPr>
          <w:ilvl w:val="0"/>
          <w:numId w:val="2"/>
        </w:numPr>
        <w:spacing w:after="80" w:line="270"/>
      </w:pPr>
      <w:r>
        <w:rPr>
          <w:sz w:val="21"/>
          <w:szCs w:val="21"/>
        </w:rPr>
        <w:t xml:space="preserve">As sugestões da IA são apoio ao raciocínio clínico, nunca substituem o juízo clínico do profissional.</w:t>
      </w:r>
    </w:p>
    <w:p>
      <w:pPr>
        <w:pStyle w:val="ListParagraph"/>
        <w:numPr>
          <w:ilvl w:val="0"/>
          <w:numId w:val="2"/>
        </w:numPr>
        <w:spacing w:after="80" w:line="270"/>
      </w:pPr>
      <w:r>
        <w:rPr>
          <w:sz w:val="21"/>
          <w:szCs w:val="21"/>
        </w:rPr>
        <w:t xml:space="preserve">Não inserir dados que identifiquem diretamente o cliente/paciente nas interações com a IA — usar pseudonimização sempre que possível.</w:t>
      </w:r>
    </w:p>
    <w:p>
      <w:pPr>
        <w:pStyle w:val="ListParagraph"/>
        <w:numPr>
          <w:ilvl w:val="0"/>
          <w:numId w:val="2"/>
        </w:numPr>
        <w:spacing w:after="80" w:line="270"/>
      </w:pPr>
      <w:r>
        <w:rPr>
          <w:sz w:val="21"/>
          <w:szCs w:val="21"/>
        </w:rPr>
        <w:t xml:space="preserve">Obter o Termo de Consentimento Livre e Esclarecido (TCLE) de cada pessoa atendida antes de cadastrá-la na plataforma.</w:t>
      </w:r>
    </w:p>
    <w:p>
      <w:pPr>
        <w:pStyle w:val="Heading2"/>
        <w:spacing w:after="160" w:before="360"/>
      </w:pPr>
      <w:r>
        <w:rPr>
          <w:b/>
          <w:bCs/>
          <w:color w:val="C2542F"/>
          <w:sz w:val="26"/>
          <w:szCs w:val="26"/>
        </w:rPr>
        <w:t xml:space="preserve">15.2 Como o Paideia protege os dados</w:t>
      </w:r>
    </w:p>
    <w:p>
      <w:pPr>
        <w:pStyle w:val="ListParagraph"/>
        <w:numPr>
          <w:ilvl w:val="0"/>
          <w:numId w:val="2"/>
        </w:numPr>
        <w:spacing w:after="80" w:line="270"/>
      </w:pPr>
      <w:r>
        <w:rPr>
          <w:sz w:val="21"/>
          <w:szCs w:val="21"/>
        </w:rPr>
        <w:t xml:space="preserve">Pseudonimização opcional por cliente.</w:t>
      </w:r>
    </w:p>
    <w:p>
      <w:pPr>
        <w:pStyle w:val="ListParagraph"/>
        <w:numPr>
          <w:ilvl w:val="0"/>
          <w:numId w:val="2"/>
        </w:numPr>
        <w:spacing w:after="80" w:line="270"/>
      </w:pPr>
      <w:r>
        <w:rPr>
          <w:sz w:val="21"/>
          <w:szCs w:val="21"/>
        </w:rPr>
        <w:t xml:space="preserve">Base de conhecimento fechada e curada — a IA não acessa dados de outros usuários.</w:t>
      </w:r>
    </w:p>
    <w:p>
      <w:pPr>
        <w:pStyle w:val="ListParagraph"/>
        <w:numPr>
          <w:ilvl w:val="0"/>
          <w:numId w:val="2"/>
        </w:numPr>
        <w:spacing w:after="80" w:line="270"/>
      </w:pPr>
      <w:r>
        <w:rPr>
          <w:sz w:val="21"/>
          <w:szCs w:val="21"/>
        </w:rPr>
        <w:t xml:space="preserve">Chave de API armazenada de forma cifrada, localmente, sem acesso do servidor em texto puro.</w:t>
      </w:r>
    </w:p>
    <w:p>
      <w:pPr>
        <w:pStyle w:val="ListParagraph"/>
        <w:numPr>
          <w:ilvl w:val="0"/>
          <w:numId w:val="2"/>
        </w:numPr>
        <w:spacing w:after="80" w:line="270"/>
      </w:pPr>
      <w:r>
        <w:rPr>
          <w:sz w:val="21"/>
          <w:szCs w:val="21"/>
        </w:rPr>
        <w:t xml:space="preserve">Dados clínicos não são usados para treinar modelos de IA.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2026-08-13T12:47:02.857Z</dcterms:created>
  <dcterms:modified xsi:type="dcterms:W3CDTF">2026-08-13T12:47:02.878Z</dcterms:modified>
</cp:coreProperties>
</file>

<file path=docProps/custom.xml><?xml version="1.0" encoding="utf-8"?>
<Properties xmlns="http://schemas.openxmlformats.org/officeDocument/2006/custom-properties" xmlns:vt="http://schemas.openxmlformats.org/officeDocument/2006/docPropsVTypes"/>
</file>