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맑은 고딕" w:cs="맑은 고딕" w:eastAsia="맑은 고딕" w:hAnsi="맑은 고딕"/>
          <w:b/>
          <w:bCs/>
          <w:color w:val="2563EB"/>
          <w:sz w:val="26"/>
          <w:szCs w:val="26"/>
        </w:rPr>
        <w:t xml:space="preserve">[비즈니스 참관 결과 보고서]</w:t>
      </w:r>
    </w:p>
    <w:p>
      <w:pPr>
        <w:spacing w:after="160" w:before="100"/>
        <w:jc w:val="center"/>
      </w:pPr>
      <w:r>
        <w:rPr>
          <w:rFonts w:ascii="맑은 고딕" w:cs="맑은 고딕" w:eastAsia="맑은 고딕" w:hAnsi="맑은 고딕"/>
          <w:b/>
          <w:bCs/>
          <w:color w:val="1E3A8A"/>
          <w:sz w:val="44"/>
          <w:szCs w:val="44"/>
        </w:rPr>
        <w:t xml:space="preserve">인공지능 페스타 2026 (AI FESTA 26)</w:t>
      </w:r>
    </w:p>
    <w:p>
      <w:pPr>
        <w:spacing w:after="400" w:before="0"/>
        <w:jc w:val="center"/>
      </w:pPr>
      <w:r>
        <w:rPr>
          <w:rFonts w:ascii="맑은 고딕" w:cs="맑은 고딕" w:eastAsia="맑은 고딕" w:hAnsi="맑은 고딕"/>
          <w:i/>
          <w:iCs/>
          <w:color w:val="64748B"/>
          <w:sz w:val="23"/>
          <w:szCs w:val="23"/>
        </w:rPr>
        <w:t xml:space="preserve">대한민국 AI 주간(AI Week) 대표 행사 — 에이전틱 AI와 피지컬 AI의 산업 실현(AIR) 전략</w:t>
      </w:r>
    </w:p>
    <w:tbl>
      <w:tblPr>
        <w:tblW w:type="pct" w:w="100%"/>
        <w:tblBorders>
          <w:top w:val="single" w:color="1E3A8A" w:sz="8"/>
          <w:left w:val="none"/>
          <w:bottom w:val="single" w:color="1E3A8A" w:sz="8"/>
          <w:right w:val="none"/>
          <w:insideH w:val="single" w:color="auto" w:sz="4"/>
          <w:insideV w:val="single" w:color="auto" w:sz="4"/>
        </w:tblBorders>
      </w:tblPr>
      <w:tblGrid>
        <w:gridCol w:w="100"/>
        <w:gridCol w:w="100"/>
        <w:gridCol w:w="100"/>
        <w:gridCol w:w="100"/>
      </w:tblGrid>
      <w:tr>
        <w:tc>
          <w:tcPr>
            <w:tcW w:type="pct" w:w="2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참관 일시</w:t>
            </w:r>
          </w:p>
        </w:tc>
        <w:tc>
          <w:tcPr>
            <w:tcW w:type="pct" w:w="3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2026.10.06(화) ~ 10.08(목) (3일간)</w:t>
            </w:r>
          </w:p>
        </w:tc>
        <w:tc>
          <w:tcPr>
            <w:tcW w:type="pct" w:w="2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개최 장소</w:t>
            </w:r>
          </w:p>
        </w:tc>
        <w:tc>
          <w:tcPr>
            <w:tcW w:type="pct" w:w="3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서울 코엑스 (COEX) 3층 Hall C &amp; 컨퍼런스룸</w:t>
            </w:r>
          </w:p>
        </w:tc>
      </w:tr>
      <w:tr>
        <w:tc>
          <w:tcPr>
            <w:tcW w:type="pct" w:w="2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주최 / 주관</w:t>
            </w:r>
          </w:p>
        </w:tc>
        <w:tc>
          <w:tcPr>
            <w:tcW w:type="pct" w:w="3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과기정통부, 한국인공지능소프트웨어산업협회(KOSA)</w:t>
            </w:r>
          </w:p>
        </w:tc>
        <w:tc>
          <w:tcPr>
            <w:tcW w:type="pct" w:w="2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후원 기관</w:t>
            </w:r>
          </w:p>
        </w:tc>
        <w:tc>
          <w:tcPr>
            <w:tcW w:type="pct" w:w="3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국가인공지능위원회, NIPA, IITP</w:t>
            </w:r>
          </w:p>
        </w:tc>
      </w:tr>
      <w:tr>
        <w:tc>
          <w:tcPr>
            <w:tcW w:type="pct" w:w="2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보고 부서</w:t>
            </w:r>
          </w:p>
        </w:tc>
        <w:tc>
          <w:tcPr>
            <w:tcW w:type="pct" w:w="3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전략기획팀 / AI혁신추진단</w:t>
            </w:r>
          </w:p>
        </w:tc>
        <w:tc>
          <w:tcPr>
            <w:tcW w:type="pct" w:w="2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발행 일자</w:t>
            </w:r>
          </w:p>
        </w:tc>
        <w:tc>
          <w:tcPr>
            <w:tcW w:type="pct" w:w="3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2026년 10월</w:t>
            </w:r>
          </w:p>
        </w:tc>
      </w:tr>
    </w:tbl>
    <w:p>
      <w:pPr>
        <w:spacing w:after="200" w:before="200" w:line="280"/>
        <w:jc w:val="left"/>
      </w:pPr>
      <w:r>
        <w:rPr>
          <w:rFonts w:ascii="맑은 고딕" w:cs="맑은 고딕" w:eastAsia="맑은 고딕" w:hAnsi="맑은 고딕"/>
          <w:color w:val="1E293B"/>
          <w:sz w:val="22"/>
          <w:szCs w:val="22"/>
        </w:rPr>
        <w:t xml:space="preserve"/>
      </w:r>
    </w:p>
    <w:p>
      <w:pPr>
        <w:pStyle w:val="Heading1"/>
        <w:spacing w:after="180" w:before="400"/>
      </w:pPr>
      <w:r>
        <w:rPr>
          <w:rFonts w:ascii="맑은 고딕" w:cs="맑은 고딕" w:eastAsia="맑은 고딕" w:hAnsi="맑은 고딕"/>
          <w:b/>
          <w:bCs/>
          <w:color w:val="1E3A8A"/>
          <w:sz w:val="32"/>
          <w:szCs w:val="32"/>
        </w:rPr>
        <w:t xml:space="preserve">Executive Summary (총괄 요약)</w:t>
      </w:r>
    </w:p>
    <w:tbl>
      <w:tblPr>
        <w:tblW w:type="pct" w:w="100%"/>
        <w:tblBorders>
          <w:top w:val="none"/>
          <w:left w:val="single" w:color="2563EB" w:sz="24"/>
          <w:bottom w:val="none"/>
          <w:right w:val="none"/>
          <w:insideH w:val="single" w:color="auto" w:sz="4"/>
          <w:insideV w:val="single" w:color="auto" w:sz="4"/>
        </w:tblBorders>
      </w:tblPr>
      <w:tblGrid>
        <w:gridCol w:w="100"/>
      </w:tblGrid>
      <w:tr>
        <w:tc>
          <w:tcPr>
            <w:shd w:fill="EFF6FF" w:val="clear"/>
            <w:tcMar>
              <w:top w:type="dxa" w:w="172"/>
              <w:left w:type="dxa" w:w="259"/>
              <w:bottom w:type="dxa" w:w="172"/>
              <w:right w:type="dxa" w:w="259"/>
            </w:tcMar>
          </w:tcPr>
          <w:p>
            <w:pPr>
              <w:spacing w:after="60" w:before="40"/>
            </w:pPr>
            <w:r>
              <w:rPr>
                <w:rFonts w:ascii="맑은 고딕" w:cs="맑은 고딕" w:eastAsia="맑은 고딕" w:hAnsi="맑은 고딕"/>
                <w:b/>
                <w:bCs/>
                <w:color w:val="1E3A8A"/>
                <w:sz w:val="21"/>
                <w:szCs w:val="21"/>
              </w:rPr>
              <w:t xml:space="preserve">📌 핵심 관전 총평: 모델의 크기 경쟁에서 '실제 업무 실행과 물리적 구현(AIR)'으로의 대전환</w:t>
            </w:r>
          </w:p>
          <w:p>
            <w:pPr>
              <w:spacing w:after="40" w:before="40"/>
            </w:pPr>
            <w:r>
              <w:rPr>
                <w:rFonts w:ascii="맑은 고딕" w:cs="맑은 고딕" w:eastAsia="맑은 고딕" w:hAnsi="맑은 고딕"/>
                <w:color w:val="1E293B"/>
                <w:sz w:val="20"/>
                <w:szCs w:val="20"/>
              </w:rPr>
              <w:t xml:space="preserve">본 보고서는 과학기술정보통신부 지정 국가 공식 '인공지능주간(AI Week)'의 대표 행사인 『인공지능 페스타 2026 (AI FESTA 26)』을 참관하고, 참가 250여 개사 및 6대 메인 컨퍼런스 세션을 정밀 분석하여 작성되었습니다.
1. [에이전틱 AI(Agentic Workflow)의 보편화]: 텍스트 답변형 챗봇을 넘어, 기업 ERP/메신저와 연동되어 결제·문서작성·데이터분석 워크플로우를 스스로 완수하는 자율 실행형 에이전트(업스테이지, 포티투마루)가 엔터프라이즈의 표준으로 정착했습니다.
2. [피지컬 AI &amp; 로보틱스의 산업 실증]: 화면 속 지능을 넘어 현실 공간을 물리적으로 조작하는 멀티모달 비전-언어-행동(VLA) 로봇 솔루션(레인보우로보틱스)이 제조 및 물류 라인에 실전 배치되고 있습니다.
3. [버티컬 AX와 초저전력 NPU 가속]: 야놀자 그룹의 호스피탈리티 공간 운영 자동화처럼 산업별 특화 데이터와 결합된 버티컬 솔루션이 부각되었으며, 추론 비용을 1/3로 절감하는 국산 NPU(리벨리온, 딥엑스)가 TCO 최적화 대안으로 급부상했습니다.</w:t>
            </w:r>
          </w:p>
        </w:tc>
      </w:tr>
    </w:tbl>
    <w:p>
      <w:pPr>
        <w:spacing w:after="150" w:before="150" w:line="280"/>
        <w:jc w:val="left"/>
      </w:pPr>
      <w:r>
        <w:rPr>
          <w:rFonts w:ascii="맑은 고딕" w:cs="맑은 고딕" w:eastAsia="맑은 고딕" w:hAnsi="맑은 고딕"/>
          <w:color w:val="1E293B"/>
          <w:sz w:val="22"/>
          <w:szCs w:val="22"/>
        </w:rPr>
        <w:t xml:space="preserve"/>
      </w:r>
    </w:p>
    <w:p>
      <w:pPr>
        <w:pStyle w:val="Heading1"/>
        <w:spacing w:after="180" w:before="400"/>
      </w:pPr>
      <w:r>
        <w:rPr>
          <w:rFonts w:ascii="맑은 고딕" w:cs="맑은 고딕" w:eastAsia="맑은 고딕" w:hAnsi="맑은 고딕"/>
          <w:b/>
          <w:bCs/>
          <w:color w:val="1E3A8A"/>
          <w:sz w:val="32"/>
          <w:szCs w:val="32"/>
        </w:rPr>
        <w:t xml:space="preserve">01. 박람회 개요 및 정량 지표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지표 구분</w:t>
            </w:r>
          </w:p>
        </w:tc>
        <w:tc>
          <w:tcPr>
            <w:tcW w:type="pct" w:w="20%"/>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실적 수치</w:t>
            </w:r>
          </w:p>
        </w:tc>
        <w:tc>
          <w:tcPr>
            <w:tcW w:type="pct" w:w="15%"/>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증감율</w:t>
            </w:r>
          </w:p>
        </w:tc>
        <w:tc>
          <w:tcPr>
            <w:tcW w:type="pct" w:w="40%"/>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비고 및 세부 분석</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참가사 및 기관</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15개국 250개사+</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+35.4%↑</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야놀자 그룹, 업스테이지, 리벨리온, 레인보우로보틱스 등 참가</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전시 부스 규모</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480개 부스</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+40.2%↑</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코엑스 C홀 전관, 에이전틱 AI·피지컬 로봇·국방 9대 특별관</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전문 참관객 수</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25,000명 이상</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역대 최다</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산업계 의사결정권자, IT 개발자, 정부·공공 및 투자사 대거 방문</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전문 컨퍼런스</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6개 트랙 58세션</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AI Summit, Future Tech, AIR Showcase, 사이버보안 포럼 동시 진행</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1:1 비즈니스 매칭</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820여 건 체결</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업무용 자율 에이전트 도입 및 피지컬 협동로봇 연계 상담 집중</w:t>
            </w:r>
          </w:p>
        </w:tc>
      </w:tr>
    </w:tbl>
    <w:p>
      <w:pPr>
        <w:spacing w:after="100" w:before="120" w:line="280"/>
        <w:jc w:val="left"/>
      </w:pPr>
      <w:r>
        <w:rPr>
          <w:rFonts w:ascii="맑은 고딕" w:cs="맑은 고딕" w:eastAsia="맑은 고딕" w:hAnsi="맑은 고딕"/>
          <w:color w:val="1E293B"/>
          <w:sz w:val="22"/>
          <w:szCs w:val="22"/>
        </w:rPr>
        <w:t xml:space="preserve"/>
      </w:r>
    </w:p>
    <w:tbl>
      <w:tblPr>
        <w:tblW w:type="pct" w:w="100%"/>
        <w:tblBorders>
          <w:top w:val="none"/>
          <w:left w:val="single" w:color="F59E0B" w:sz="24"/>
          <w:bottom w:val="none"/>
          <w:right w:val="none"/>
          <w:insideH w:val="single" w:color="auto" w:sz="4"/>
          <w:insideV w:val="single" w:color="auto" w:sz="4"/>
        </w:tblBorders>
      </w:tblPr>
      <w:tblGrid>
        <w:gridCol w:w="100"/>
      </w:tblGrid>
      <w:tr>
        <w:tc>
          <w:tcPr>
            <w:shd w:fill="FEF3C7" w:val="clear"/>
            <w:tcMar>
              <w:top w:type="dxa" w:w="172"/>
              <w:left w:type="dxa" w:w="259"/>
              <w:bottom w:type="dxa" w:w="172"/>
              <w:right w:type="dxa" w:w="259"/>
            </w:tcMar>
          </w:tcPr>
          <w:p>
            <w:pPr>
              <w:spacing w:after="60" w:before="40"/>
            </w:pPr>
            <w:r>
              <w:rPr>
                <w:rFonts w:ascii="맑은 고딕" w:cs="맑은 고딕" w:eastAsia="맑은 고딕" w:hAnsi="맑은 고딕"/>
                <w:b/>
                <w:bCs/>
                <w:color w:val="B45309"/>
                <w:sz w:val="21"/>
                <w:szCs w:val="21"/>
              </w:rPr>
              <w:t xml:space="preserve">💡 헷갈리기 쉬운 점 — 'AI Summit' vs 'AI FESTA 26' 차이점 팩트체크</w:t>
            </w:r>
          </w:p>
          <w:p>
            <w:pPr>
              <w:spacing w:after="40" w:before="40"/>
            </w:pPr>
            <w:r>
              <w:rPr>
                <w:rFonts w:ascii="맑은 고딕" w:cs="맑은 고딕" w:eastAsia="맑은 고딕" w:hAnsi="맑은 고딕"/>
                <w:color w:val="1E293B"/>
                <w:sz w:val="20"/>
                <w:szCs w:val="20"/>
              </w:rPr>
              <w:t xml:space="preserve">단순 민간 컨퍼런스인 타 행사들과 달리, AI FESTA 26은 과학기술정보통신부가 공식 지정한 국가 단위 '인공지능주간(AI Week)'의 중심 축입니다. 코엑스 C홀 전관의 9대 특별관(에이전틱 AI, 피지컬 AI, 국방, 보안)과 코엑스·파르나스 일대에서 동시 다발적으로 열리는 정책 토크쇼, 글로벌 IR 피칭이 결합된 대한민국 최대 국가대표 AI 비즈니스 플랫폼입니다.</w:t>
            </w:r>
          </w:p>
        </w:tc>
      </w:tr>
    </w:tbl>
    <w:p>
      <w:pPr>
        <w:spacing w:after="150" w:before="150" w:line="280"/>
        <w:jc w:val="left"/>
      </w:pPr>
      <w:r>
        <w:rPr>
          <w:rFonts w:ascii="맑은 고딕" w:cs="맑은 고딕" w:eastAsia="맑은 고딕" w:hAnsi="맑은 고딕"/>
          <w:color w:val="1E293B"/>
          <w:sz w:val="22"/>
          <w:szCs w:val="22"/>
        </w:rPr>
        <w:t xml:space="preserve"/>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2026-09-27T09:01:04.449Z</dcterms:created>
  <dcterms:modified xsi:type="dcterms:W3CDTF">2026-09-27T09:01:04.450Z</dcterms:modified>
</cp:coreProperties>
</file>

<file path=docProps/custom.xml><?xml version="1.0" encoding="utf-8"?>
<Properties xmlns="http://schemas.openxmlformats.org/officeDocument/2006/custom-properties" xmlns:vt="http://schemas.openxmlformats.org/officeDocument/2006/docPropsVTypes"/>
</file>