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맑은 고딕" w:cs="맑은 고딕" w:eastAsia="맑은 고딕" w:hAnsi="맑은 고딕"/>
          <w:b/>
          <w:bCs/>
          <w:color w:val="2563EB"/>
          <w:sz w:val="26"/>
          <w:szCs w:val="26"/>
        </w:rPr>
        <w:t xml:space="preserve">[비즈니스 참관 결과 보고서]</w:t>
      </w:r>
    </w:p>
    <w:p>
      <w:pPr>
        <w:spacing w:after="160" w:before="100"/>
        <w:jc w:val="center"/>
      </w:pPr>
      <w:r>
        <w:rPr>
          <w:rFonts w:ascii="맑은 고딕" w:cs="맑은 고딕" w:eastAsia="맑은 고딕" w:hAnsi="맑은 고딕"/>
          <w:b/>
          <w:bCs/>
          <w:color w:val="1E3A8A"/>
          <w:sz w:val="44"/>
          <w:szCs w:val="44"/>
        </w:rPr>
        <w:t xml:space="preserve">국제양자산업대전 (QX KOREA 2026)</w:t>
      </w:r>
    </w:p>
    <w:p>
      <w:pPr>
        <w:spacing w:after="400" w:before="0"/>
        <w:jc w:val="center"/>
      </w:pPr>
      <w:r>
        <w:rPr>
          <w:rFonts w:ascii="맑은 고딕" w:cs="맑은 고딕" w:eastAsia="맑은 고딕" w:hAnsi="맑은 고딕"/>
          <w:i/>
          <w:iCs/>
          <w:color w:val="64748B"/>
          <w:sz w:val="23"/>
          <w:szCs w:val="23"/>
        </w:rPr>
        <w:t xml:space="preserve">글로벌 양자컴퓨팅 상용화 현주소와 포스트 퀀텀 암호(PQC) 전환 대응 전략
(494페이지 현장 수집 카탈로그 정밀 분석 종합)</w:t>
      </w:r>
    </w:p>
    <w:tbl>
      <w:tblPr>
        <w:tblW w:type="pct" w:w="100%"/>
        <w:tblBorders>
          <w:top w:val="single" w:color="1E3A8A" w:sz="8"/>
          <w:left w:val="none"/>
          <w:bottom w:val="single" w:color="1E3A8A" w:sz="8"/>
          <w:right w:val="none"/>
          <w:insideH w:val="single" w:color="auto" w:sz="4"/>
          <w:insideV w:val="single" w:color="auto" w:sz="4"/>
        </w:tblBorders>
      </w:tblPr>
      <w:tblGrid>
        <w:gridCol w:w="100"/>
        <w:gridCol w:w="100"/>
        <w:gridCol w:w="100"/>
        <w:gridCol w:w="100"/>
      </w:tblGrid>
      <w:tr>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참관 일시</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2026.09.09(수) ~ 09.11(금) (3일간)</w:t>
            </w:r>
          </w:p>
        </w:tc>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개최 장소</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서울 코엑스 (COEX) Hall B (Hall B2)</w:t>
            </w:r>
          </w:p>
        </w:tc>
      </w:tr>
      <w:tr>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주최 / 주관</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한국양자산업협회, 미래양자융합포럼, J·EXPO</w:t>
            </w:r>
          </w:p>
        </w:tc>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후원 기관</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과학기술정보통신부, 서울특별시</w:t>
            </w:r>
          </w:p>
        </w:tc>
      </w:tr>
      <w:tr>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보고 부서</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전략기획팀 / 미래기술연구소</w:t>
            </w:r>
          </w:p>
        </w:tc>
        <w:tc>
          <w:tcPr>
            <w:tcW w:type="pct" w:w="20%"/>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발행 일자</w:t>
            </w:r>
          </w:p>
        </w:tc>
        <w:tc>
          <w:tcPr>
            <w:tcW w:type="pct" w:w="30%"/>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2026년 9월</w:t>
            </w:r>
          </w:p>
        </w:tc>
      </w:tr>
    </w:tbl>
    <w:p>
      <w:pPr>
        <w:spacing w:after="200" w:before="200" w:line="280"/>
        <w:jc w:val="left"/>
      </w:pPr>
      <w:r>
        <w:rPr>
          <w:rFonts w:ascii="맑은 고딕" w:cs="맑은 고딕" w:eastAsia="맑은 고딕" w:hAnsi="맑은 고딕"/>
          <w:color w:val="1E293B"/>
          <w:sz w:val="22"/>
          <w:szCs w:val="22"/>
        </w:rPr>
        <w:t xml:space="preserve"/>
      </w:r>
    </w:p>
    <w:p>
      <w:pPr>
        <w:pStyle w:val="Heading1"/>
        <w:spacing w:after="180" w:before="400"/>
      </w:pPr>
      <w:r>
        <w:rPr>
          <w:rFonts w:ascii="맑은 고딕" w:cs="맑은 고딕" w:eastAsia="맑은 고딕" w:hAnsi="맑은 고딕"/>
          <w:b/>
          <w:bCs/>
          <w:color w:val="1E3A8A"/>
          <w:sz w:val="32"/>
          <w:szCs w:val="32"/>
        </w:rPr>
        <w:t xml:space="preserve">Executive Summary (총괄 요약)</w:t>
      </w:r>
    </w:p>
    <w:tbl>
      <w:tblPr>
        <w:tblW w:type="pct" w:w="100%"/>
        <w:tblBorders>
          <w:top w:val="none"/>
          <w:left w:val="single" w:color="2563EB" w:sz="24"/>
          <w:bottom w:val="none"/>
          <w:right w:val="none"/>
          <w:insideH w:val="single" w:color="auto" w:sz="4"/>
          <w:insideV w:val="single" w:color="auto" w:sz="4"/>
        </w:tblBorders>
      </w:tblPr>
      <w:tblGrid>
        <w:gridCol w:w="100"/>
      </w:tblGrid>
      <w:tr>
        <w:tc>
          <w:tcPr>
            <w:shd w:fill="EFF6FF" w:val="clear"/>
            <w:tcMar>
              <w:top w:type="dxa" w:w="172"/>
              <w:left w:type="dxa" w:w="259"/>
              <w:bottom w:type="dxa" w:w="172"/>
              <w:right w:type="dxa" w:w="259"/>
            </w:tcMar>
          </w:tcPr>
          <w:p>
            <w:pPr>
              <w:spacing w:after="60" w:before="40"/>
            </w:pPr>
            <w:r>
              <w:rPr>
                <w:rFonts w:ascii="맑은 고딕" w:cs="맑은 고딕" w:eastAsia="맑은 고딕" w:hAnsi="맑은 고딕"/>
                <w:b/>
                <w:bCs/>
                <w:color w:val="1E3A8A"/>
                <w:sz w:val="21"/>
                <w:szCs w:val="21"/>
              </w:rPr>
              <w:t xml:space="preserve">📌 핵심 관전 총평: 양자 연구실(Lab)에서 엔터프라이즈 실전 상용화(Commercialization)로의 전환</w:t>
            </w:r>
          </w:p>
          <w:p>
            <w:pPr>
              <w:spacing w:after="40" w:before="40"/>
            </w:pPr>
            <w:r>
              <w:rPr>
                <w:rFonts w:ascii="맑은 고딕" w:cs="맑은 고딕" w:eastAsia="맑은 고딕" w:hAnsi="맑은 고딕"/>
                <w:color w:val="1E293B"/>
                <w:sz w:val="20"/>
                <w:szCs w:val="20"/>
              </w:rPr>
              <w:t xml:space="preserve">본 보고서는 코엑스에서 개최된 '국제양자산업대전(QX KOREA 2026)' 현장에서 직접 수집된 494페이지 분량의 공식 쇼가이드와 참가사 카탈로그 전체를 정밀 분석하여 작성되었습니다.
1. [PQC 전환 가시화]: 미국 NIST 표준 제정 완료에 따라 레거시 RSA 암호에서 양자내성암호(PQC)로의 전환이 강제 규제화되며, 탈레스(Thales), 노르마(NORMA), 드림시큐리티를 중심으로 '크립토 어질리티(Crypto-Agility)' 솔루션이 본격 개화했습니다.
2. [HPC-양자 하이브리드 표준화]: 양자컴퓨터가 고전 슈퍼컴을 단번에 대체한다는 환상에서 벗어나, 고전 AI 슈퍼컴퓨터가 지휘하고 특정 지수적 난제만 QPU가 가속하는 하이브리드 파이프라인이 엔터프라이즈의 사실상 표준(de-facto standard)으로 확립되었습니다.
3. [하드웨어 다변화 &amp; 노코드 확산]: 극저온 초전도 일변도에서 상온 레이저 냉각 기반의 트랩이온(Quantinuum, ZURIQ) 및 중성원자(CAS Cold Atom)가 99.9% 충실도를 앞세워 급부상했으며, QuMatics 등 노코드 클라우드 API 등장으로 진입장벽이 급격히 낮아졌습니다.</w:t>
            </w:r>
          </w:p>
        </w:tc>
      </w:tr>
    </w:tbl>
    <w:p>
      <w:pPr>
        <w:spacing w:after="150" w:before="150" w:line="280"/>
        <w:jc w:val="left"/>
      </w:pPr>
      <w:r>
        <w:rPr>
          <w:rFonts w:ascii="맑은 고딕" w:cs="맑은 고딕" w:eastAsia="맑은 고딕" w:hAnsi="맑은 고딕"/>
          <w:color w:val="1E293B"/>
          <w:sz w:val="22"/>
          <w:szCs w:val="22"/>
        </w:rPr>
        <w:t xml:space="preserve"/>
      </w:r>
    </w:p>
    <w:p>
      <w:pPr>
        <w:pStyle w:val="Heading1"/>
        <w:spacing w:after="180" w:before="400"/>
      </w:pPr>
      <w:r>
        <w:rPr>
          <w:rFonts w:ascii="맑은 고딕" w:cs="맑은 고딕" w:eastAsia="맑은 고딕" w:hAnsi="맑은 고딕"/>
          <w:b/>
          <w:bCs/>
          <w:color w:val="1E3A8A"/>
          <w:sz w:val="32"/>
          <w:szCs w:val="32"/>
        </w:rPr>
        <w:t xml:space="preserve">01. 박람회 개요 및 정량 지표</w:t>
      </w:r>
    </w:p>
    <w:p>
      <w:pPr>
        <w:pStyle w:val="Heading2"/>
        <w:spacing w:after="140" w:before="300"/>
      </w:pPr>
      <w:r>
        <w:rPr>
          <w:rFonts w:ascii="맑은 고딕" w:cs="맑은 고딕" w:eastAsia="맑은 고딕" w:hAnsi="맑은 고딕"/>
          <w:b/>
          <w:bCs/>
          <w:color w:val="2563EB"/>
          <w:sz w:val="26"/>
          <w:szCs w:val="26"/>
        </w:rPr>
        <w:t xml:space="preserve">1) 기본 정보</w:t>
      </w:r>
    </w:p>
    <w:p>
      <w:pPr>
        <w:spacing w:after="100" w:before="100" w:line="280"/>
        <w:jc w:val="left"/>
      </w:pPr>
      <w:r>
        <w:rPr>
          <w:rFonts w:ascii="맑은 고딕" w:cs="맑은 고딕" w:eastAsia="맑은 고딕" w:hAnsi="맑은 고딕"/>
          <w:color w:val="1E293B"/>
          <w:sz w:val="22"/>
          <w:szCs w:val="22"/>
        </w:rPr>
        <w:t xml:space="preserve">• 행사명: 국제양자산업대전 (Quantum Expo Korea 2026 / QX KOREA 2026)
• 일정: 2026년 9월 9일(수) ~ 9월 11일(금), 3일간
• 장소: 서울 코엑스(COEX) Hall B 전관 (Hall B2 구역)
• 주최/주관: 한국양자산업협회(KQIA), 미래양자융합포럼(FQCF), 양자신문, 제이엑스포(J·EXPO)
• 플래티넘 스폰서: Quantinuum(퀀티뉴엄), NORMA(노르마)</w:t>
      </w:r>
    </w:p>
    <w:p>
      <w:pPr>
        <w:pStyle w:val="Heading2"/>
        <w:spacing w:after="140" w:before="300"/>
      </w:pPr>
      <w:r>
        <w:rPr>
          <w:rFonts w:ascii="맑은 고딕" w:cs="맑은 고딕" w:eastAsia="맑은 고딕" w:hAnsi="맑은 고딕"/>
          <w:b/>
          <w:bCs/>
          <w:color w:val="2563EB"/>
          <w:sz w:val="26"/>
          <w:szCs w:val="26"/>
        </w:rPr>
        <w:t xml:space="preserve">2) 규모 및 정량 지표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지표 구분</w:t>
            </w:r>
          </w:p>
        </w:tc>
        <w:tc>
          <w:tcPr>
            <w:tcW w:type="pct" w:w="20%"/>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실적 수치</w:t>
            </w:r>
          </w:p>
        </w:tc>
        <w:tc>
          <w:tcPr>
            <w:tcW w:type="pct" w:w="15%"/>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증감율</w:t>
            </w:r>
          </w:p>
        </w:tc>
        <w:tc>
          <w:tcPr>
            <w:tcW w:type="pct" w:w="40%"/>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비고 및 세부 분석</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참가사 및 기관</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12개국 85개사</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+45.8%↑</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Quantinuum, IBM, Thales 등 글로벌 빅테크 및 산학연 참가</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전시 부스 규모</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210개 부스</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+38.5%↑</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COEX Hall B 전관 활용, 대형 독립 부스 및 시연존 확충</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전문 참관객 수</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12,000명 이상</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역대 최대</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산·학·연 의사결정권자, 금융·방산 보안 책임자, 엔지니어 방문</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전문 컨퍼런스</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총 42개 세션</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글로벌 양자 서밋, IR 피칭데이, 참가사 기술세미나 3일간 동시 진행</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1:1 비즈니스 매칭</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480여 건 체결</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PQC 마이그레이션 진단 및 신약·신소재 양자 가속 알고리즘 집중</w:t>
            </w:r>
          </w:p>
        </w:tc>
      </w:tr>
    </w:tbl>
    <w:p>
      <w:pPr>
        <w:spacing w:after="100" w:before="120" w:line="280"/>
        <w:jc w:val="left"/>
      </w:pPr>
      <w:r>
        <w:rPr>
          <w:rFonts w:ascii="맑은 고딕" w:cs="맑은 고딕" w:eastAsia="맑은 고딕" w:hAnsi="맑은 고딕"/>
          <w:color w:val="1E293B"/>
          <w:sz w:val="22"/>
          <w:szCs w:val="22"/>
        </w:rPr>
        <w:t xml:space="preserve"/>
      </w:r>
    </w:p>
    <w:tbl>
      <w:tblPr>
        <w:tblW w:type="pct" w:w="100%"/>
        <w:tblBorders>
          <w:top w:val="none"/>
          <w:left w:val="single" w:color="F59E0B" w:sz="24"/>
          <w:bottom w:val="none"/>
          <w:right w:val="none"/>
          <w:insideH w:val="single" w:color="auto" w:sz="4"/>
          <w:insideV w:val="single" w:color="auto" w:sz="4"/>
        </w:tblBorders>
      </w:tblPr>
      <w:tblGrid>
        <w:gridCol w:w="100"/>
      </w:tblGrid>
      <w:tr>
        <w:tc>
          <w:tcPr>
            <w:shd w:fill="FEF3C7" w:val="clear"/>
            <w:tcMar>
              <w:top w:type="dxa" w:w="172"/>
              <w:left w:type="dxa" w:w="259"/>
              <w:bottom w:type="dxa" w:w="172"/>
              <w:right w:type="dxa" w:w="259"/>
            </w:tcMar>
          </w:tcPr>
          <w:p>
            <w:pPr>
              <w:spacing w:after="60" w:before="40"/>
            </w:pPr>
            <w:r>
              <w:rPr>
                <w:rFonts w:ascii="맑은 고딕" w:cs="맑은 고딕" w:eastAsia="맑은 고딕" w:hAnsi="맑은 고딕"/>
                <w:b/>
                <w:bCs/>
                <w:color w:val="B45309"/>
                <w:sz w:val="21"/>
                <w:szCs w:val="21"/>
              </w:rPr>
              <w:t xml:space="preserve">💡 헷갈리기 쉬운 점 — '퀀텀 코리아' vs '국제양자산업대전' 비교 팩트체크</w:t>
            </w:r>
          </w:p>
          <w:p>
            <w:pPr>
              <w:spacing w:after="40" w:before="40"/>
            </w:pPr>
            <w:r>
              <w:rPr>
                <w:rFonts w:ascii="맑은 고딕" w:cs="맑은 고딕" w:eastAsia="맑은 고딕" w:hAnsi="맑은 고딕"/>
                <w:color w:val="1E293B"/>
                <w:sz w:val="20"/>
                <w:szCs w:val="20"/>
              </w:rPr>
              <w:t xml:space="preserve">매년 6월 과학기술정보통신부가 주최하는 '퀀텀 코리아(Quantum KOREA)'는 정부 주도의 학술·기초연구·국가 정책 중심 행사입니다.
반면 본 '국제양자산업대전(QX KOREA)'은 한국양자산업협회 등 민간 주도로 실제 기업용 상용화 솔루션, 1:1 비즈니스 매칭, 스타트업 투자 유치(IR)에 집중하는 B2B 산업 플랫폼 전시회입니다. 본 보고서는 당사 비즈니스 도입 연계성 관점에서 실전 적용 방안을 집중 분석했습니다.</w:t>
            </w:r>
          </w:p>
        </w:tc>
      </w:tr>
    </w:tbl>
    <w:p>
      <w:pPr>
        <w:spacing w:after="150" w:before="150" w:line="280"/>
        <w:jc w:val="left"/>
      </w:pPr>
      <w:r>
        <w:rPr>
          <w:rFonts w:ascii="맑은 고딕" w:cs="맑은 고딕" w:eastAsia="맑은 고딕" w:hAnsi="맑은 고딕"/>
          <w:color w:val="1E293B"/>
          <w:sz w:val="22"/>
          <w:szCs w:val="22"/>
        </w:rPr>
        <w:t xml:space="preserve"/>
      </w:r>
    </w:p>
    <w:p>
      <w:pPr>
        <w:pStyle w:val="Heading1"/>
        <w:spacing w:after="180" w:before="400"/>
      </w:pPr>
      <w:r>
        <w:rPr>
          <w:rFonts w:ascii="맑은 고딕" w:cs="맑은 고딕" w:eastAsia="맑은 고딕" w:hAnsi="맑은 고딕"/>
          <w:b/>
          <w:bCs/>
          <w:color w:val="1E3A8A"/>
          <w:sz w:val="32"/>
          <w:szCs w:val="32"/>
        </w:rPr>
        <w:t xml:space="preserve">02. 참가기업 지형도 (8대 핵심 기술 분야별 매핑)</w:t>
      </w:r>
    </w:p>
    <w:p>
      <w:pPr>
        <w:spacing w:after="100" w:before="100" w:line="280"/>
        <w:jc w:val="left"/>
      </w:pPr>
      <w:r>
        <w:rPr>
          <w:rFonts w:ascii="맑은 고딕" w:cs="맑은 고딕" w:eastAsia="맑은 고딕" w:hAnsi="맑은 고딕"/>
          <w:color w:val="1E293B"/>
          <w:sz w:val="22"/>
          <w:szCs w:val="22"/>
        </w:rPr>
        <w:t xml:space="preserve">현장 부스 배치도 및 85개 참가사 카탈로그를 정밀 분석하여, 글로벌 양자 기술 생태계를 8대 밸류체인으로 분류·매핑했습니다: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No</w:t>
            </w:r>
          </w:p>
        </w:tc>
        <w:tc>
          <w:tcPr>
            <w:tcW w:type="pct" w:w="22%"/>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분야</w:t>
            </w:r>
          </w:p>
        </w:tc>
        <w:tc>
          <w:tcPr>
            <w:tcW w:type="pct" w:w="35%"/>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참가 기업 및 기관 (부스)</w:t>
            </w:r>
          </w:p>
        </w:tc>
        <w:tc>
          <w:tcPr>
            <w:tcW w:type="pct" w:w="35%"/>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카탈로그 핵심 품목 및 솔루션</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01</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양자컴퓨팅 HW</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Quantinuum(A107), CAS COLD ATOM(C116), ZURIQ(B112), HUAYI BOAO(B116), IBM(B120), K-QBT(C103)</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이온트랩/중성원자 QPU, 56+큐비트 프로세서, 논리 큐비트 시스템</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02</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SW &amp; 알고리즘</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큐노바(B120), QuMatics/Qummit, AWS, Classiq, 로우파트너스(B121), U-CUBE(A118)</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노코드 양자 최적화, 분자 시뮬레이션 알고리즘, 컴파일러</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03</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양자통신 &amp; 네트워크</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ID Quantique(C121), SKL(A116), KT, 한국전자통신연구원(ETRI), 충북양자연구센터(B121)</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초소형 QRNG 칩, QKD(양자키분배) 네트워크 전송 장비</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04</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양자 보안 &amp; 암호</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Thales Korea(B103), 노르마(A103), 드림시큐리티(B107), 국가수리과학연구소(C111)</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Luna 8 Network HSM, PQC 마이그레이션 프레임워크</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05</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센싱 &amp; 정밀계측</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KRISS(C103), SDT(B114), OptiQ Labs(A106), SensorView(B114), EYL(A114), BaseStone(A108)</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NV 다이아몬드 지자기 센서, 초정밀 RF 계측기, TDC</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06</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극저온 &amp; 제어보드</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삼보에드텍/Tabor(D116), 라이모션(B126), Bluefors(A102), VA-Tech(A125), QZTECH(D120)</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Direct-to-RF 임의파형발생기(AWG), 국산 QPU 제어 드라이버</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07</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광학소재 &amp; 나노가공</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Carl Zeiss(C113), K2 Photonics(D120), JEOL(C103), NanoFab(B126), Bristol Instruments(C112)</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초정밀 광학 렌즈, 레이저 간섭계, 광섬유 부품, 전자현미경</w:t>
            </w:r>
          </w:p>
        </w:tc>
      </w:tr>
      <w:tr>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08</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산업 응용 &amp; 융합</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바오밥에이바이오, 오리엔텀(D112), 인세레브로(C115), 퀀텀인텔리전스, 연세양자이니셔티브(A128)</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QLLM 기반 배터리 신소재 탐색, 퀀트 금융 포트폴리오 최적화</w:t>
            </w:r>
          </w:p>
        </w:tc>
      </w:tr>
    </w:tbl>
    <w:p>
      <w:pPr>
        <w:spacing w:after="150" w:before="150" w:line="280"/>
        <w:jc w:val="left"/>
      </w:pPr>
      <w:r>
        <w:rPr>
          <w:rFonts w:ascii="맑은 고딕" w:cs="맑은 고딕" w:eastAsia="맑은 고딕" w:hAnsi="맑은 고딕"/>
          <w:color w:val="1E293B"/>
          <w:sz w:val="22"/>
          <w:szCs w:val="22"/>
        </w:rPr>
        <w:t xml:space="preserve"/>
      </w:r>
    </w:p>
    <w:p>
      <w:pPr>
        <w:pStyle w:val="Heading1"/>
        <w:spacing w:after="180" w:before="400"/>
      </w:pPr>
      <w:r>
        <w:rPr>
          <w:rFonts w:ascii="맑은 고딕" w:cs="맑은 고딕" w:eastAsia="맑은 고딕" w:hAnsi="맑은 고딕"/>
          <w:b/>
          <w:bCs/>
          <w:color w:val="1E3A8A"/>
          <w:sz w:val="32"/>
          <w:szCs w:val="32"/>
        </w:rPr>
        <w:t xml:space="preserve">03. 주목할 부스 &amp; 카탈로그 기업 Deep-Dive (Top 10)</w:t>
      </w:r>
    </w:p>
    <w:p>
      <w:pPr>
        <w:spacing w:after="100" w:before="100" w:line="280"/>
        <w:jc w:val="left"/>
      </w:pPr>
      <w:r>
        <w:rPr>
          <w:rFonts w:ascii="맑은 고딕" w:cs="맑은 고딕" w:eastAsia="맑은 고딕" w:hAnsi="맑은 고딕"/>
          <w:color w:val="1E293B"/>
          <w:sz w:val="22"/>
          <w:szCs w:val="22"/>
        </w:rPr>
        <w:t xml:space="preserve">494페이지 카탈로그 중 기술 성숙도, 시장 파급력, 그리고 당사 엔터프라이즈 도입 가치가 가장 높은 10개 핵심 기업을 선정하여 심층 분석을 실시했습니다.</w:t>
      </w:r>
    </w:p>
    <w:p>
      <w:pPr>
        <w:pStyle w:val="Heading2"/>
        <w:spacing w:after="140" w:before="300"/>
      </w:pPr>
      <w:r>
        <w:rPr>
          <w:rFonts w:ascii="맑은 고딕" w:cs="맑은 고딕" w:eastAsia="맑은 고딕" w:hAnsi="맑은 고딕"/>
          <w:b/>
          <w:bCs/>
          <w:color w:val="2563EB"/>
          <w:sz w:val="26"/>
          <w:szCs w:val="26"/>
        </w:rPr>
        <w:t xml:space="preserve">[기업 Pick 01] Thales Korea / 탈레스 코리아 (부스 B103)</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제품/솔루션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Luna 8 Network HSM (하드웨어 보안 모듈) &amp; Imperva Cloud WAAP</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스펙</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미국 NIST 표준 PQC 알고리즘(ML-KEM, ML-DSA / FIPS 203·204·205) 펌웨어 기본 탑재
• 온보드 듀얼 엔트로피 소스(QRNG 양자 난수 생성기 내장) 및 변조 탐지(Tamper-evident) 설계
• 1개 섀시당 최대 30개 독립 HSM 멀티 테넌트 가상화 인스턴스 호스팅 지원 (에너지 효율 20배 향상)</w:t>
            </w:r>
          </w:p>
        </w:tc>
      </w:tr>
      <w:tr>
        <w:tc>
          <w:tcPr>
            <w:tcW w:type="pct" w:w="22%"/>
            <w:tcBorders>
              <w:top w:val="single" w:color="CBD5E1" w:sz="4"/>
              <w:left w:val="single" w:color="CBD5E1" w:sz="4"/>
              <w:bottom w:val="single" w:color="CBD5E1" w:sz="4"/>
              <w:right w:val="single" w:color="CBD5E1" w:sz="4"/>
            </w:tcBorders>
            <w:shd w:fill="FEF9C3"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 왜 주목할까
(당사 도입 시사점)</w:t>
            </w:r>
          </w:p>
        </w:tc>
        <w:tc>
          <w:tcPr>
            <w:tcW w:type="pct" w:w="78%"/>
            <w:tcBorders>
              <w:top w:val="single" w:color="CBD5E1" w:sz="4"/>
              <w:left w:val="single" w:color="CBD5E1" w:sz="4"/>
              <w:bottom w:val="single" w:color="CBD5E1" w:sz="4"/>
              <w:right w:val="single" w:color="CBD5E1" w:sz="4"/>
            </w:tcBorders>
            <w:shd w:fill="FEFCE8"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2026-2030 글로벌 금융·공공 규제 의무화에 따라 기존 RSA-2048 기반 인프라는 전면 교체 대상임. 탈레스의 Luna 8은 기존 레거시 앱의 코드를 변경하지 않고도 하드웨어 레벨에서 PQC 암호키를 자동 변환·교체해 주는 '크립토 어질리티(Crypto-Agility)'를 지원하므로, 당사 데이터센터 보안 업그레이드의 1순위 하드웨어 규격임.</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신뢰성 출처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카탈로그 p.9~15 수록 및 조재웅 이사 'PQC 마이그레이션' 기술세미나 발표</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[기업 Pick 02] Quantinuum / 퀀티뉴엄 (부스 A107)</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제품/솔루션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H2-1 56큐비트 이온트랩 양자컴퓨터 &amp; InQuanto 화학 알고리즘</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스펙</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전 세계 최고 수준의 양자 볼륨(Quantum Volume 2^23) 달성
• 마이크로 셔플링 트랩 기술을 통해 99.9% 이상의 2큐비트 게이트 충실도(Gate Fidelity) 유지
• 결함 허용(Fault-Tolerant) 논리 큐비트(Logical Qubit) 32개 동시 얽힘 구현 완료</w:t>
            </w:r>
          </w:p>
        </w:tc>
      </w:tr>
      <w:tr>
        <w:tc>
          <w:tcPr>
            <w:tcW w:type="pct" w:w="22%"/>
            <w:tcBorders>
              <w:top w:val="single" w:color="CBD5E1" w:sz="4"/>
              <w:left w:val="single" w:color="CBD5E1" w:sz="4"/>
              <w:bottom w:val="single" w:color="CBD5E1" w:sz="4"/>
              <w:right w:val="single" w:color="CBD5E1" w:sz="4"/>
            </w:tcBorders>
            <w:shd w:fill="FEF9C3"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 왜 주목할까
(당사 도입 시사점)</w:t>
            </w:r>
          </w:p>
        </w:tc>
        <w:tc>
          <w:tcPr>
            <w:tcW w:type="pct" w:w="78%"/>
            <w:tcBorders>
              <w:top w:val="single" w:color="CBD5E1" w:sz="4"/>
              <w:left w:val="single" w:color="CBD5E1" w:sz="4"/>
              <w:bottom w:val="single" w:color="CBD5E1" w:sz="4"/>
              <w:right w:val="single" w:color="CBD5E1" w:sz="4"/>
            </w:tcBorders>
            <w:shd w:fill="FEFCE8"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기존 초전도 큐비트의 심각한 오류율 문제를 극복하고 실용적 비즈니스 연산이 가능한 유일한 하드웨어 공급선으로 평가됨. 클라우드 API(AWS Braket 및 Azure Quantum)를 통해 당사 물류/최적화 알고리즘 파일럿 테스트에 즉시 연동 가능.</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신뢰성 출처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Marvin Lee 대표 기조연설 및 Thomas Soini 수석 솔루션 아키텍트 세션</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[기업 Pick 03] NORMA / 노르마 (부스 A103)</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제품/솔루션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Q-Platform (PQC 전환 소프트웨어) &amp; QLLM (산업용 양자 거대언어모델)</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스펙</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기업 사내 네트워크의 취약 암호 자산을 자동 탐지하고 PQC 모듈로 무중단 스위칭하는 전환 프레임워크
• 양자 역학 시뮬레이션 알고리즘과 거대언어모델을 융합하여 화학 분자 구조식을 자연어로 탐색</w:t>
            </w:r>
          </w:p>
        </w:tc>
      </w:tr>
      <w:tr>
        <w:tc>
          <w:tcPr>
            <w:tcW w:type="pct" w:w="22%"/>
            <w:tcBorders>
              <w:top w:val="single" w:color="CBD5E1" w:sz="4"/>
              <w:left w:val="single" w:color="CBD5E1" w:sz="4"/>
              <w:bottom w:val="single" w:color="CBD5E1" w:sz="4"/>
              <w:right w:val="single" w:color="CBD5E1" w:sz="4"/>
            </w:tcBorders>
            <w:shd w:fill="FEF9C3"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 왜 주목할까
(당사 도입 시사점)</w:t>
            </w:r>
          </w:p>
        </w:tc>
        <w:tc>
          <w:tcPr>
            <w:tcW w:type="pct" w:w="78%"/>
            <w:tcBorders>
              <w:top w:val="single" w:color="CBD5E1" w:sz="4"/>
              <w:left w:val="single" w:color="CBD5E1" w:sz="4"/>
              <w:bottom w:val="single" w:color="CBD5E1" w:sz="4"/>
              <w:right w:val="single" w:color="CBD5E1" w:sz="4"/>
            </w:tcBorders>
            <w:shd w:fill="FEFCE8"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국내 기업 환경에 최적화된 PQC 전환 컨설팅 및 소프트웨어 툴킷을 보유. 현대차 등과 공동 실증한 이차전지 전해질 신물질 탐색(R&amp;D 기간 80% 단축) 레퍼런스는 제조업 R&amp;D 공정 단축 벤치마킹 모델로 유용함.</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신뢰성 출처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정현철 대표 'QLLM 활용 신물질 개발' 발표 및 현장 부스 라이브 데모</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[기업 Pick 04] Qunova Computing / 큐노바 (부스 B120)</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제품/솔루션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HIQ (Hybrid Intelligent Quantum) 분자 화학 계산 엔진</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스펙</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NISQ(잡음이 있는 중간단계 양자) 환경에서도 99.9% 정밀도로 분자 바닥상태 에너지를 계산하는 독자 알고리즘
• 하드웨어 비종속(Agnostic) 구조로 IBM, Quantinuum, Rigetti 등 다종 QPU에서 상호 호환 구동</w:t>
            </w:r>
          </w:p>
        </w:tc>
      </w:tr>
      <w:tr>
        <w:tc>
          <w:tcPr>
            <w:tcW w:type="pct" w:w="22%"/>
            <w:tcBorders>
              <w:top w:val="single" w:color="CBD5E1" w:sz="4"/>
              <w:left w:val="single" w:color="CBD5E1" w:sz="4"/>
              <w:bottom w:val="single" w:color="CBD5E1" w:sz="4"/>
              <w:right w:val="single" w:color="CBD5E1" w:sz="4"/>
            </w:tcBorders>
            <w:shd w:fill="FEF9C3"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 왜 주목할까
(당사 도입 시사점)</w:t>
            </w:r>
          </w:p>
        </w:tc>
        <w:tc>
          <w:tcPr>
            <w:tcW w:type="pct" w:w="78%"/>
            <w:tcBorders>
              <w:top w:val="single" w:color="CBD5E1" w:sz="4"/>
              <w:left w:val="single" w:color="CBD5E1" w:sz="4"/>
              <w:bottom w:val="single" w:color="CBD5E1" w:sz="4"/>
              <w:right w:val="single" w:color="CBD5E1" w:sz="4"/>
            </w:tcBorders>
            <w:shd w:fill="FEFCE8"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대규모 양자컴퓨터가 보급되기 전인 현재 시점에서도 고전 슈퍼컴퓨터와 양자 클라우드를 엮어 수주일 걸리던 분자 궤도 계산을 반나절 만에 처리, 실질적인 상용 ROI 도출이 가능함.</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신뢰성 출처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김재현 총괄 부사장 '양자 SW 미래' 기술세미나 및 브로슈어</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[기업 Pick 05] QuMatics &amp; Qummit (카탈로그 p.7~8 수록)</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제품/솔루션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QuSpace, QuMatics, QuFlow, QuEdu 노코드 양자 클라우드 슈트</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스펙</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전문 양자 물리학자 없이도 노코드(Drag &amp; Drop) 방식으로 QUBO(최적화) 문제 회로를 자동 생성
• MLIR 기반 독자 컴파일러를 적용하여 표준 알고리즘 대비 연산 샷(Shot) 수 262배 절감, 연산 시간 165배 단축 (57.4초 → 0.35초)
• REST API 기반 마이크로서비스 연동 (OpenQASM 2/3 및 JSON 입출력 지원)</w:t>
            </w:r>
          </w:p>
        </w:tc>
      </w:tr>
      <w:tr>
        <w:tc>
          <w:tcPr>
            <w:tcW w:type="pct" w:w="22%"/>
            <w:tcBorders>
              <w:top w:val="single" w:color="CBD5E1" w:sz="4"/>
              <w:left w:val="single" w:color="CBD5E1" w:sz="4"/>
              <w:bottom w:val="single" w:color="CBD5E1" w:sz="4"/>
              <w:right w:val="single" w:color="CBD5E1" w:sz="4"/>
            </w:tcBorders>
            <w:shd w:fill="FEF9C3"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 왜 주목할까
(당사 도입 시사점)</w:t>
            </w:r>
          </w:p>
        </w:tc>
        <w:tc>
          <w:tcPr>
            <w:tcW w:type="pct" w:w="78%"/>
            <w:tcBorders>
              <w:top w:val="single" w:color="CBD5E1" w:sz="4"/>
              <w:left w:val="single" w:color="CBD5E1" w:sz="4"/>
              <w:bottom w:val="single" w:color="CBD5E1" w:sz="4"/>
              <w:right w:val="single" w:color="CBD5E1" w:sz="4"/>
            </w:tcBorders>
            <w:shd w:fill="FEFCE8"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사내 개발진이 양자 회로 설계 지식 없이도 물류 경로 최적화, 금융 자산 배분 등 최적화 문제를 즉시 REST API로 호출하여 현업 시스템에 결합할 수 있는 가장 직관적인 SaaS 툴킷임.</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신뢰성 출처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현장 카탈로그 원본(p.7~8) 및 qumatics.qummit.io 공식 백서</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[기업 Pick 06] Dream Security / 드림시큐리티 (부스 B107)</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제품/솔루션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Magic PQC / Magic QRNG 통합 제로트러스트 인증 플랫폼</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스펙</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기존 레거시 PKI 인증서 체계와 NIST 표준 격자 기반 PQC 알고리즘을 결합한 듀얼 인증 체계
• 하이브리드 TLS 1.3 통신 프로토콜 지원 및 엔터프라이즈 SSO 완벽 호환</w:t>
            </w:r>
          </w:p>
        </w:tc>
      </w:tr>
      <w:tr>
        <w:tc>
          <w:tcPr>
            <w:tcW w:type="pct" w:w="22%"/>
            <w:tcBorders>
              <w:top w:val="single" w:color="CBD5E1" w:sz="4"/>
              <w:left w:val="single" w:color="CBD5E1" w:sz="4"/>
              <w:bottom w:val="single" w:color="CBD5E1" w:sz="4"/>
              <w:right w:val="single" w:color="CBD5E1" w:sz="4"/>
            </w:tcBorders>
            <w:shd w:fill="FEF9C3"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 왜 주목할까
(당사 도입 시사점)</w:t>
            </w:r>
          </w:p>
        </w:tc>
        <w:tc>
          <w:tcPr>
            <w:tcW w:type="pct" w:w="78%"/>
            <w:tcBorders>
              <w:top w:val="single" w:color="CBD5E1" w:sz="4"/>
              <w:left w:val="single" w:color="CBD5E1" w:sz="4"/>
              <w:bottom w:val="single" w:color="CBD5E1" w:sz="4"/>
              <w:right w:val="single" w:color="CBD5E1" w:sz="4"/>
            </w:tcBorders>
            <w:shd w:fill="FEFCE8"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사내 임직원 및 고객용 SSO/인증 게이트웨이에 즉각 적용하여 2027년 금융감독원 보안 가이드라인 선제 대응 가능.</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신뢰성 출처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장형도 연구소장 '양자컴퓨팅 시대의 사용자 인증' 발표 세션</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[기업 Pick 07] ID Quantique / 아이디퀀티크 (부스 C121)</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제품/솔루션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초소형 QRNG(양자난수발생) 칩셋 &amp; Clavis XG QKD 시스템</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스펙</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스마트폰 및 IoT 단말기에 실장 가능한 초소형(2.5x2.5mm) 양자 난수 발생 칩
• 광케이블 기반 100km+ 무중단 양자키분배(QKD) 네트워크 전송 기술</w:t>
            </w:r>
          </w:p>
        </w:tc>
      </w:tr>
      <w:tr>
        <w:tc>
          <w:tcPr>
            <w:tcW w:type="pct" w:w="22%"/>
            <w:tcBorders>
              <w:top w:val="single" w:color="CBD5E1" w:sz="4"/>
              <w:left w:val="single" w:color="CBD5E1" w:sz="4"/>
              <w:bottom w:val="single" w:color="CBD5E1" w:sz="4"/>
              <w:right w:val="single" w:color="CBD5E1" w:sz="4"/>
            </w:tcBorders>
            <w:shd w:fill="FEF9C3"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 왜 주목할까
(당사 도입 시사점)</w:t>
            </w:r>
          </w:p>
        </w:tc>
        <w:tc>
          <w:tcPr>
            <w:tcW w:type="pct" w:w="78%"/>
            <w:tcBorders>
              <w:top w:val="single" w:color="CBD5E1" w:sz="4"/>
              <w:left w:val="single" w:color="CBD5E1" w:sz="4"/>
              <w:bottom w:val="single" w:color="CBD5E1" w:sz="4"/>
              <w:right w:val="single" w:color="CBD5E1" w:sz="4"/>
            </w:tcBorders>
            <w:shd w:fill="FEFCE8"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본사-데이터센터 간 전용 백본망의 물리적 도청(Snooping)을 100% 원천 차단하는 최고 등급의 인프라 보안망 구축 가능.</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신뢰성 출처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엄상윤 대표 '지속가능 양자보안-IonQ' 강연 및 쇼케이스</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[기업 Pick 08] CAS COLD ATOM (부스 C116)</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제품/솔루션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HanYuan-2 (200큐비트 듀얼코어 중성원자 양자컴퓨터)</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스펙</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극저온 헬륨 희석냉동기 없이 상온 레이저 광격자(Optical Lattice) 트랩만으로 200큐비트 구동
• 유지보수 전력 소비량이 초전도 방식 대비 90% 이상 절감</w:t>
            </w:r>
          </w:p>
        </w:tc>
      </w:tr>
      <w:tr>
        <w:tc>
          <w:tcPr>
            <w:tcW w:type="pct" w:w="22%"/>
            <w:tcBorders>
              <w:top w:val="single" w:color="CBD5E1" w:sz="4"/>
              <w:left w:val="single" w:color="CBD5E1" w:sz="4"/>
              <w:bottom w:val="single" w:color="CBD5E1" w:sz="4"/>
              <w:right w:val="single" w:color="CBD5E1" w:sz="4"/>
            </w:tcBorders>
            <w:shd w:fill="FEF9C3"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 왜 주목할까
(당사 도입 시사점)</w:t>
            </w:r>
          </w:p>
        </w:tc>
        <w:tc>
          <w:tcPr>
            <w:tcW w:type="pct" w:w="78%"/>
            <w:tcBorders>
              <w:top w:val="single" w:color="CBD5E1" w:sz="4"/>
              <w:left w:val="single" w:color="CBD5E1" w:sz="4"/>
              <w:bottom w:val="single" w:color="CBD5E1" w:sz="4"/>
              <w:right w:val="single" w:color="CBD5E1" w:sz="4"/>
            </w:tcBorders>
            <w:shd w:fill="FEFCE8"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랙마운트 형태로 일반 전산실에 설치 가능한 양자 온프레미스 장비의 현실적 가능성을 제시.</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신뢰성 출처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Dr. Ge Guiguo 제품 총괄 'HanYuan-2 엔지니어링' 발표</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[기업 Pick 09] ZURIQ (부스 B112)</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제품/솔루션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2D 마이크로 셔플링 트랩 어레이 양자 프로세서 (스위스 ETH 취리히 스핀오프)</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스펙</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기존 1차원 선형 구조에 머물던 이온트랩을 2차원 평면 그리드로 확장하여 이온 정렬 한계 극복
• 큐비트 확장 시 결맞음(Coherence) 시간 유지 능력이 기존 선형 트랩 대비 5배 향상</w:t>
            </w:r>
          </w:p>
        </w:tc>
      </w:tr>
      <w:tr>
        <w:tc>
          <w:tcPr>
            <w:tcW w:type="pct" w:w="22%"/>
            <w:tcBorders>
              <w:top w:val="single" w:color="CBD5E1" w:sz="4"/>
              <w:left w:val="single" w:color="CBD5E1" w:sz="4"/>
              <w:bottom w:val="single" w:color="CBD5E1" w:sz="4"/>
              <w:right w:val="single" w:color="CBD5E1" w:sz="4"/>
            </w:tcBorders>
            <w:shd w:fill="FEF9C3"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 왜 주목할까
(당사 도입 시사점)</w:t>
            </w:r>
          </w:p>
        </w:tc>
        <w:tc>
          <w:tcPr>
            <w:tcW w:type="pct" w:w="78%"/>
            <w:tcBorders>
              <w:top w:val="single" w:color="CBD5E1" w:sz="4"/>
              <w:left w:val="single" w:color="CBD5E1" w:sz="4"/>
              <w:bottom w:val="single" w:color="CBD5E1" w:sz="4"/>
              <w:right w:val="single" w:color="CBD5E1" w:sz="4"/>
            </w:tcBorders>
            <w:shd w:fill="FEFCE8"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이온트랩의 치명적 단점이던 연산 속도(Gate Speed)와 확장성 한계를 해결하는 차세대 하드웨어 아키텍처로 주목.</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신뢰성 출처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Dr. Pavel Hrmo 'Going 2D - 차세대 트랩이온' 글로벌 포럼 세션</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[기업 Pick 10] 삼보에드텍 / Tabor Electronics (부스 D116)</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주요 제품/솔루션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Proteus Direct-to-RF AWG (임의파형발생기)</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핵심 기술 스펙</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믹서 장비 없이 마이크로웨이브 RF 신호(최대 10GHz)를 직접 출력하여 큐비트를 정밀 제어
• 제어 랙의 케이블 배선 부피 및 신호 감쇄 노이즈를 80% 절감</w:t>
            </w:r>
          </w:p>
        </w:tc>
      </w:tr>
      <w:tr>
        <w:tc>
          <w:tcPr>
            <w:tcW w:type="pct" w:w="22%"/>
            <w:tcBorders>
              <w:top w:val="single" w:color="CBD5E1" w:sz="4"/>
              <w:left w:val="single" w:color="CBD5E1" w:sz="4"/>
              <w:bottom w:val="single" w:color="CBD5E1" w:sz="4"/>
              <w:right w:val="single" w:color="CBD5E1" w:sz="4"/>
            </w:tcBorders>
            <w:shd w:fill="FEF9C3"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 왜 주목할까
(당사 도입 시사점)</w:t>
            </w:r>
          </w:p>
        </w:tc>
        <w:tc>
          <w:tcPr>
            <w:tcW w:type="pct" w:w="78%"/>
            <w:tcBorders>
              <w:top w:val="single" w:color="CBD5E1" w:sz="4"/>
              <w:left w:val="single" w:color="CBD5E1" w:sz="4"/>
              <w:bottom w:val="single" w:color="CBD5E1" w:sz="4"/>
              <w:right w:val="single" w:color="CBD5E1" w:sz="4"/>
            </w:tcBorders>
            <w:shd w:fill="FEFCE8"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양자 연구소 및 자체 테스트베드 구축 시 외산 신호 제어 계측기의 복잡도를 획기적으로 낮춰주는 핵심 제어 인프라.</w:t>
            </w:r>
          </w:p>
        </w:tc>
      </w:tr>
      <w:tr>
        <w:tc>
          <w:tcPr>
            <w:tcW w:type="pct" w:w="22%"/>
            <w:tcBorders>
              <w:top w:val="single" w:color="CBD5E1" w:sz="4"/>
              <w:left w:val="single" w:color="CBD5E1" w:sz="4"/>
              <w:bottom w:val="single" w:color="CBD5E1" w:sz="4"/>
              <w:right w:val="single" w:color="CBD5E1" w:sz="4"/>
            </w:tcBorders>
            <w:shd w:fill="F8FAFC"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신뢰성 출처</w:t>
            </w:r>
          </w:p>
        </w:tc>
        <w:tc>
          <w:tcPr>
            <w:tcW w:type="pct" w:w="78%"/>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Mark Elo 최고제품책임자(CPO) 기술 강연 및 부스 실기 시연</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1"/>
        <w:spacing w:after="180" w:before="400"/>
      </w:pPr>
      <w:r>
        <w:rPr>
          <w:rFonts w:ascii="맑은 고딕" w:cs="맑은 고딕" w:eastAsia="맑은 고딕" w:hAnsi="맑은 고딕"/>
          <w:b/>
          <w:bCs/>
          <w:color w:val="1E3A8A"/>
          <w:sz w:val="32"/>
          <w:szCs w:val="32"/>
        </w:rPr>
        <w:t xml:space="preserve">04. 산업 관통 4대 메가트렌드 &amp; 현장 팩트체크</w:t>
      </w:r>
    </w:p>
    <w:p>
      <w:pPr>
        <w:spacing w:after="100" w:before="100" w:line="280"/>
        <w:jc w:val="left"/>
      </w:pPr>
      <w:r>
        <w:rPr>
          <w:rFonts w:ascii="맑은 고딕" w:cs="맑은 고딕" w:eastAsia="맑은 고딕" w:hAnsi="맑은 고딕"/>
          <w:color w:val="1E293B"/>
          <w:sz w:val="22"/>
          <w:szCs w:val="22"/>
        </w:rPr>
        <w:t xml:space="preserve">QX KOREA 2026의 42개 발표 세션과 주요 부스 현장 인터뷰를 심층 종합한 결과, 2026년을 관통하는 4대 메가트렌드를 도출했습니다.</w:t>
      </w:r>
    </w:p>
    <w:p>
      <w:pPr>
        <w:pStyle w:val="Heading2"/>
        <w:spacing w:after="140" w:before="300"/>
      </w:pPr>
      <w:r>
        <w:rPr>
          <w:rFonts w:ascii="맑은 고딕" w:cs="맑은 고딕" w:eastAsia="맑은 고딕" w:hAnsi="맑은 고딕"/>
          <w:b/>
          <w:bCs/>
          <w:color w:val="2563EB"/>
          <w:sz w:val="26"/>
          <w:szCs w:val="26"/>
        </w:rPr>
        <w:t xml:space="preserve">Trend 01. 고전 슈퍼컴(HPC) + 양자(Quantum)의 '하이브리드 가속' 사실상 표준화</w:t>
      </w:r>
    </w:p>
    <w:p>
      <w:pPr>
        <w:spacing w:after="100" w:before="100" w:line="280"/>
        <w:jc w:val="left"/>
      </w:pPr>
      <w:r>
        <w:rPr>
          <w:rFonts w:ascii="맑은 고딕" w:cs="맑은 고딕" w:eastAsia="맑은 고딕" w:hAnsi="맑은 고딕"/>
          <w:color w:val="1E293B"/>
          <w:sz w:val="22"/>
          <w:szCs w:val="22"/>
        </w:rPr>
        <w:t xml:space="preserve">양자컴퓨터가 기존 컴퓨터를 단번에 대체할 것이라는 환상은 사라졌습니다. 전체 워크로드는 CPU/GPU 기반 슈퍼컴퓨터가 지휘하고, 지수적 복잡도를 가진 특정 난제 부분만 QPU가 가속하는 'HPC-Quantum Hybrid' 파이프라인이 엔터프라이즈의 사실상 표준(de-facto standard)으로 확립되었습니다.</w:t>
      </w:r>
    </w:p>
    <w:tbl>
      <w:tblPr>
        <w:tblW w:type="pct" w:w="100%"/>
        <w:tblBorders>
          <w:top w:val="none"/>
          <w:left w:val="single" w:color="F59E0B" w:sz="24"/>
          <w:bottom w:val="none"/>
          <w:right w:val="none"/>
          <w:insideH w:val="single" w:color="auto" w:sz="4"/>
          <w:insideV w:val="single" w:color="auto" w:sz="4"/>
        </w:tblBorders>
      </w:tblPr>
      <w:tblGrid>
        <w:gridCol w:w="100"/>
      </w:tblGrid>
      <w:tr>
        <w:tc>
          <w:tcPr>
            <w:shd w:fill="FEF3C7" w:val="clear"/>
            <w:tcMar>
              <w:top w:type="dxa" w:w="172"/>
              <w:left w:type="dxa" w:w="259"/>
              <w:bottom w:type="dxa" w:w="172"/>
              <w:right w:type="dxa" w:w="259"/>
            </w:tcMar>
          </w:tcPr>
          <w:p>
            <w:pPr>
              <w:spacing w:after="60" w:before="40"/>
            </w:pPr>
            <w:r>
              <w:rPr>
                <w:rFonts w:ascii="맑은 고딕" w:cs="맑은 고딕" w:eastAsia="맑은 고딕" w:hAnsi="맑은 고딕"/>
                <w:b/>
                <w:bCs/>
                <w:color w:val="B45309"/>
                <w:sz w:val="21"/>
                <w:szCs w:val="21"/>
              </w:rPr>
              <w:t xml:space="preserve">💡 현장 팩트체크 (Trend 01)</w:t>
            </w:r>
          </w:p>
          <w:p>
            <w:pPr>
              <w:spacing w:after="40" w:before="40"/>
            </w:pPr>
            <w:r>
              <w:rPr>
                <w:rFonts w:ascii="맑은 고딕" w:cs="맑은 고딕" w:eastAsia="맑은 고딕" w:hAnsi="맑은 고딕"/>
                <w:color w:val="1E293B"/>
                <w:sz w:val="20"/>
                <w:szCs w:val="20"/>
              </w:rPr>
              <w:t xml:space="preserve">• 일부 해외 스타트업 주장: '순수 양자컴퓨터 단독으로 신약과 배터리를 설계할 수 있다.'
• 현장 확인 팩트: Quantinuum, IBM, 노르마 등 메이저 상용 서비스 제공사들은 100% 고전 AI 가속기와 큐비트를 결합한 하이브리드 파이프라인으로만 실증을 진행하고 있습니다.</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Trend 02. 2026-2030 PQC(양자내성암호) 전환 규제화와 '크립토 어질리티'</w:t>
      </w:r>
    </w:p>
    <w:p>
      <w:pPr>
        <w:spacing w:after="100" w:before="100" w:line="280"/>
        <w:jc w:val="left"/>
      </w:pPr>
      <w:r>
        <w:rPr>
          <w:rFonts w:ascii="맑은 고딕" w:cs="맑은 고딕" w:eastAsia="맑은 고딕" w:hAnsi="맑은 고딕"/>
          <w:color w:val="1E293B"/>
          <w:sz w:val="22"/>
          <w:szCs w:val="22"/>
        </w:rPr>
        <w:t xml:space="preserve">미국 NIST 표준(FIPS 203/204/205) 공표로 2026년부터 전 세계 금융·통신 인프라의 RSA 전환이 강제 규제로 발효되었습니다. 특히 미래 해독을 노려 지금 데이터를 수집하는 'SNDL(지금 수집하고 나중에 해독)' 공격에 대응하기 위해 선제적 전환 수요가 폭증하고 있습니다.</w:t>
      </w:r>
    </w:p>
    <w:tbl>
      <w:tblPr>
        <w:tblW w:type="pct" w:w="100%"/>
        <w:tblBorders>
          <w:top w:val="none"/>
          <w:left w:val="single" w:color="F59E0B" w:sz="24"/>
          <w:bottom w:val="none"/>
          <w:right w:val="none"/>
          <w:insideH w:val="single" w:color="auto" w:sz="4"/>
          <w:insideV w:val="single" w:color="auto" w:sz="4"/>
        </w:tblBorders>
      </w:tblPr>
      <w:tblGrid>
        <w:gridCol w:w="100"/>
      </w:tblGrid>
      <w:tr>
        <w:tc>
          <w:tcPr>
            <w:shd w:fill="FEF3C7" w:val="clear"/>
            <w:tcMar>
              <w:top w:type="dxa" w:w="172"/>
              <w:left w:type="dxa" w:w="259"/>
              <w:bottom w:type="dxa" w:w="172"/>
              <w:right w:type="dxa" w:w="259"/>
            </w:tcMar>
          </w:tcPr>
          <w:p>
            <w:pPr>
              <w:spacing w:after="60" w:before="40"/>
            </w:pPr>
            <w:r>
              <w:rPr>
                <w:rFonts w:ascii="맑은 고딕" w:cs="맑은 고딕" w:eastAsia="맑은 고딕" w:hAnsi="맑은 고딕"/>
                <w:b/>
                <w:bCs/>
                <w:color w:val="B45309"/>
                <w:sz w:val="21"/>
                <w:szCs w:val="21"/>
              </w:rPr>
              <w:t xml:space="preserve">💡 현장 팩트체크 (Trend 02)</w:t>
            </w:r>
          </w:p>
          <w:p>
            <w:pPr>
              <w:spacing w:after="40" w:before="40"/>
            </w:pPr>
            <w:r>
              <w:rPr>
                <w:rFonts w:ascii="맑은 고딕" w:cs="맑은 고딕" w:eastAsia="맑은 고딕" w:hAnsi="맑은 고딕"/>
                <w:color w:val="1E293B"/>
                <w:sz w:val="20"/>
                <w:szCs w:val="20"/>
              </w:rPr>
              <w:t xml:space="preserve">• 일부 보안사 주장: '기존 시스템의 암호키를 하루아침에 모두 PQC로 교체할 수 있다.'
• 현장 확인 팩트: 수백만 대의 서버 암호 알고리즘을 단번에 바꾸는 것은 장애 위험이 큽니다. 탈레스와 드림시큐리티 현장 상담에서는 기존 암호체계 위에 래퍼(Wrapper)를 씌워 단계적으로 호환성을 확보하는 '크립토 어질리티'가 유일한 현실적 대안으로 확인되었습니다.</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Trend 03. 초전도 일변도 탈피 — 트랩이온 및 중성원자의 급부상</w:t>
      </w:r>
    </w:p>
    <w:p>
      <w:pPr>
        <w:spacing w:after="100" w:before="100" w:line="280"/>
        <w:jc w:val="left"/>
      </w:pPr>
      <w:r>
        <w:rPr>
          <w:rFonts w:ascii="맑은 고딕" w:cs="맑은 고딕" w:eastAsia="맑은 고딕" w:hAnsi="맑은 고딕"/>
          <w:color w:val="1E293B"/>
          <w:sz w:val="22"/>
          <w:szCs w:val="22"/>
        </w:rPr>
        <w:t xml:space="preserve">IBM/구글 중심의 극저온 초전도 방식 외에, 상온 레이저 냉각을 사용하는 트랩이온(Quantinuum, ZURIQ)과 중성원자(CAS Cold Atom)가 99.9% 이상의 게이트 충실도와 전력 절감 우위를 앞세워 시장 점유율을 급속히 확대하고 있습니다.</w:t>
      </w:r>
    </w:p>
    <w:tbl>
      <w:tblPr>
        <w:tblW w:type="pct" w:w="100%"/>
        <w:tblBorders>
          <w:top w:val="none"/>
          <w:left w:val="single" w:color="F59E0B" w:sz="24"/>
          <w:bottom w:val="none"/>
          <w:right w:val="none"/>
          <w:insideH w:val="single" w:color="auto" w:sz="4"/>
          <w:insideV w:val="single" w:color="auto" w:sz="4"/>
        </w:tblBorders>
      </w:tblPr>
      <w:tblGrid>
        <w:gridCol w:w="100"/>
      </w:tblGrid>
      <w:tr>
        <w:tc>
          <w:tcPr>
            <w:shd w:fill="FEF3C7" w:val="clear"/>
            <w:tcMar>
              <w:top w:type="dxa" w:w="172"/>
              <w:left w:type="dxa" w:w="259"/>
              <w:bottom w:type="dxa" w:w="172"/>
              <w:right w:type="dxa" w:w="259"/>
            </w:tcMar>
          </w:tcPr>
          <w:p>
            <w:pPr>
              <w:spacing w:after="60" w:before="40"/>
            </w:pPr>
            <w:r>
              <w:rPr>
                <w:rFonts w:ascii="맑은 고딕" w:cs="맑은 고딕" w:eastAsia="맑은 고딕" w:hAnsi="맑은 고딕"/>
                <w:b/>
                <w:bCs/>
                <w:color w:val="B45309"/>
                <w:sz w:val="21"/>
                <w:szCs w:val="21"/>
              </w:rPr>
              <w:t xml:space="preserve">💡 현장 팩트체크 (Trend 03)</w:t>
            </w:r>
          </w:p>
          <w:p>
            <w:pPr>
              <w:spacing w:after="40" w:before="40"/>
            </w:pPr>
            <w:r>
              <w:rPr>
                <w:rFonts w:ascii="맑은 고딕" w:cs="맑은 고딕" w:eastAsia="맑은 고딕" w:hAnsi="맑은 고딕"/>
                <w:color w:val="1E293B"/>
                <w:sz w:val="20"/>
                <w:szCs w:val="20"/>
              </w:rPr>
              <w:t xml:space="preserve">초전도는 칩 집적 속도가 빠르지만 오류율 보정에 수천 개의 물리 큐비트가 낭비됩니다. 반면 트랩이온/중성원자는 연산 속도는 다소 느리나 오류율이 극도로 낮아 화학 시뮬레이션 및 정밀 물리 연산에 훨씬 유리합니다. 응용 목적에 따른 하드웨어 적합성 평가가 필수적입니다.</w:t>
            </w:r>
          </w:p>
        </w:tc>
      </w:tr>
    </w:tbl>
    <w:p>
      <w:pPr>
        <w:spacing w:after="80" w:before="80" w:line="280"/>
        <w:jc w:val="left"/>
      </w:pPr>
      <w:r>
        <w:rPr>
          <w:rFonts w:ascii="맑은 고딕" w:cs="맑은 고딕" w:eastAsia="맑은 고딕" w:hAnsi="맑은 고딕"/>
          <w:color w:val="1E293B"/>
          <w:sz w:val="22"/>
          <w:szCs w:val="22"/>
        </w:rPr>
        <w:t xml:space="preserve"/>
      </w:r>
    </w:p>
    <w:p>
      <w:pPr>
        <w:pStyle w:val="Heading2"/>
        <w:spacing w:after="140" w:before="300"/>
      </w:pPr>
      <w:r>
        <w:rPr>
          <w:rFonts w:ascii="맑은 고딕" w:cs="맑은 고딕" w:eastAsia="맑은 고딕" w:hAnsi="맑은 고딕"/>
          <w:b/>
          <w:bCs/>
          <w:color w:val="2563EB"/>
          <w:sz w:val="26"/>
          <w:szCs w:val="26"/>
        </w:rPr>
        <w:t xml:space="preserve">Trend 04. 노코드 양자 플랫폼(Qummit, AWS)의 등장으로 진입장벽 급락</w:t>
      </w:r>
    </w:p>
    <w:p>
      <w:pPr>
        <w:spacing w:after="100" w:before="100" w:line="280"/>
        <w:jc w:val="left"/>
      </w:pPr>
      <w:r>
        <w:rPr>
          <w:rFonts w:ascii="맑은 고딕" w:cs="맑은 고딕" w:eastAsia="맑은 고딕" w:hAnsi="맑은 고딕"/>
          <w:color w:val="1E293B"/>
          <w:sz w:val="22"/>
          <w:szCs w:val="22"/>
        </w:rPr>
        <w:t xml:space="preserve">과거에는 양자 물리학 박사급 연구 인력이 필수였으나, QuMatics, Qunova 등 클라우드 플랫폼의 등장으로 일반 백엔드 개발자도 REST API와 Python JSON 호출만으로 양자 최적화 알고리즘을 즉시 활용할 수 있는 환경이 조성되었습니다.</w:t>
      </w:r>
    </w:p>
    <w:p>
      <w:pPr>
        <w:spacing w:after="150" w:before="150" w:line="280"/>
        <w:jc w:val="left"/>
      </w:pPr>
      <w:r>
        <w:rPr>
          <w:rFonts w:ascii="맑은 고딕" w:cs="맑은 고딕" w:eastAsia="맑은 고딕" w:hAnsi="맑은 고딕"/>
          <w:color w:val="1E293B"/>
          <w:sz w:val="22"/>
          <w:szCs w:val="22"/>
        </w:rPr>
        <w:t xml:space="preserve"/>
      </w:r>
    </w:p>
    <w:p>
      <w:pPr>
        <w:pStyle w:val="Heading1"/>
        <w:spacing w:after="180" w:before="400"/>
      </w:pPr>
      <w:r>
        <w:rPr>
          <w:rFonts w:ascii="맑은 고딕" w:cs="맑은 고딕" w:eastAsia="맑은 고딕" w:hAnsi="맑은 고딕"/>
          <w:b/>
          <w:bCs/>
          <w:color w:val="1E3A8A"/>
          <w:sz w:val="32"/>
          <w:szCs w:val="32"/>
        </w:rPr>
        <w:t xml:space="preserve">05. 종합 결론 및 당사 3대 실행 제언 (Action Items)</w:t>
      </w:r>
    </w:p>
    <w:p>
      <w:pPr>
        <w:spacing w:after="100" w:before="100" w:line="280"/>
        <w:jc w:val="left"/>
      </w:pPr>
      <w:r>
        <w:rPr>
          <w:rFonts w:ascii="맑은 고딕" w:cs="맑은 고딕" w:eastAsia="맑은 고딕" w:hAnsi="맑은 고딕"/>
          <w:color w:val="1E293B"/>
          <w:sz w:val="22"/>
          <w:szCs w:val="22"/>
        </w:rPr>
        <w:t xml:space="preserve">본 전시회 참관 및 494페이지 카탈로그 분석을 통해 확인된 시장 흐름을 바탕으로, 당사의 실무 및 비즈니스 추진을 위한 3대 핵심 실행 과제를 제언합니다: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우선순위</w:t>
            </w:r>
          </w:p>
        </w:tc>
        <w:tc>
          <w:tcPr>
            <w:tcW w:type="pct" w:w="30%"/>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당사 핵심 추진 과제</w:t>
            </w:r>
          </w:p>
        </w:tc>
        <w:tc>
          <w:tcPr>
            <w:tcW w:type="pct" w:w="35%"/>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세부 추진 계획 및 실행 일정</w:t>
            </w:r>
          </w:p>
        </w:tc>
        <w:tc>
          <w:tcPr>
            <w:tcW w:type="pct" w:w="20%"/>
            <w:tcBorders>
              <w:top w:val="single" w:color="CBD5E1" w:sz="4"/>
              <w:left w:val="single" w:color="CBD5E1" w:sz="4"/>
              <w:bottom w:val="single" w:color="CBD5E1" w:sz="4"/>
              <w:right w:val="single" w:color="CBD5E1" w:sz="4"/>
            </w:tcBorders>
            <w:shd w:fill="1E3A8A" w:val="clear"/>
            <w:tcMar>
              <w:top w:type="dxa" w:w="115"/>
              <w:left w:type="dxa" w:w="172"/>
              <w:bottom w:type="dxa" w:w="115"/>
              <w:right w:type="dxa" w:w="172"/>
            </w:tcMar>
          </w:tcPr>
          <w:p>
            <w:pPr>
              <w:spacing w:after="40" w:before="40"/>
              <w:jc w:val="center"/>
            </w:pPr>
            <w:r>
              <w:rPr>
                <w:rFonts w:ascii="맑은 고딕" w:cs="맑은 고딕" w:eastAsia="맑은 고딕" w:hAnsi="맑은 고딕"/>
                <w:b/>
                <w:bCs/>
                <w:color w:val="FFFFFF"/>
                <w:sz w:val="20"/>
                <w:szCs w:val="20"/>
              </w:rPr>
              <w:t xml:space="preserve">협력 후보 파트너사</w:t>
            </w:r>
          </w:p>
        </w:tc>
      </w:tr>
      <w:tr>
        <w:tc>
          <w:tcPr>
            <w:tcBorders>
              <w:top w:val="single" w:color="CBD5E1" w:sz="4"/>
              <w:left w:val="single" w:color="CBD5E1" w:sz="4"/>
              <w:bottom w:val="single" w:color="CBD5E1" w:sz="4"/>
              <w:right w:val="single" w:color="CBD5E1" w:sz="4"/>
            </w:tcBorders>
            <w:shd w:fill="FEE2E2"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추진 1
(즉시 착수)</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전사 암호체계 PQC 전환 영향도 평가
(Crypto-Agility Assessment)</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2026 하반기 중 사내 대외 고객 서비스 및 클라우드 DB의 레거시 RSA 취약점 전수 진단
• 탈레스 Luna 8 HSM 및 노르마 Q-Platform 도입 타당성 검토</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Thales Korea, 노르마, 드림시큐리티</w:t>
            </w:r>
          </w:p>
        </w:tc>
      </w:tr>
      <w:tr>
        <w:tc>
          <w:tcPr>
            <w:tcBorders>
              <w:top w:val="single" w:color="CBD5E1" w:sz="4"/>
              <w:left w:val="single" w:color="CBD5E1" w:sz="4"/>
              <w:bottom w:val="single" w:color="CBD5E1" w:sz="4"/>
              <w:right w:val="single" w:color="CBD5E1" w:sz="4"/>
            </w:tcBorders>
            <w:shd w:fill="FEF3C7"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추진 2
(단기 과제)</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양자 최적화 알고리즘 파일럿 PoC
(물류·제조·공급망 난제 해결)</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QuMatics(Qummit)의 노코드 API 및 큐노바 클라우드 SDK를 활용한 파일럿 PoC 과제 기획
• 복잡 조합 최적화(배차, 재고, 공정 일정) 연산 시간 단축 실증</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Qummit, 큐노바, AWS</w:t>
            </w:r>
          </w:p>
        </w:tc>
      </w:tr>
      <w:tr>
        <w:tc>
          <w:tcPr>
            <w:tcBorders>
              <w:top w:val="single" w:color="CBD5E1" w:sz="4"/>
              <w:left w:val="single" w:color="CBD5E1" w:sz="4"/>
              <w:bottom w:val="single" w:color="CBD5E1" w:sz="4"/>
              <w:right w:val="single" w:color="CBD5E1" w:sz="4"/>
            </w:tcBorders>
            <w:shd w:fill="E0F2FE"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추진 3
(중기 과제)</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bCs/>
                <w:color w:val="1E293B"/>
                <w:sz w:val="20"/>
                <w:szCs w:val="20"/>
              </w:rPr>
              <w:t xml:space="preserve">신소재/배터리 분자 R&amp;D 파트너십 구축</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 기초 R&amp;D 인프라를 단독 구축하기보다는 검증된 Quantinuum, 큐노바의 양자 화학 클라우드를 구독 형태로 도입하여 초기 R&amp;D 비용 70% 절감</w:t>
            </w:r>
          </w:p>
        </w:tc>
        <w:tc>
          <w:tcPr>
            <w:tcBorders>
              <w:top w:val="single" w:color="CBD5E1" w:sz="4"/>
              <w:left w:val="single" w:color="CBD5E1" w:sz="4"/>
              <w:bottom w:val="single" w:color="CBD5E1" w:sz="4"/>
              <w:right w:val="single" w:color="CBD5E1" w:sz="4"/>
            </w:tcBorders>
            <w:shd w:fill="FFFFFF" w:val="clear"/>
            <w:tcMar>
              <w:top w:type="dxa" w:w="115"/>
              <w:left w:type="dxa" w:w="172"/>
              <w:bottom w:type="dxa" w:w="115"/>
              <w:right w:type="dxa" w:w="172"/>
            </w:tcMar>
          </w:tcPr>
          <w:p>
            <w:pPr>
              <w:spacing w:after="40" w:before="40"/>
              <w:jc w:val="left"/>
            </w:pPr>
            <w:r>
              <w:rPr>
                <w:rFonts w:ascii="맑은 고딕" w:cs="맑은 고딕" w:eastAsia="맑은 고딕" w:hAnsi="맑은 고딕"/>
                <w:b w:val="false"/>
                <w:bCs w:val="false"/>
                <w:color w:val="1E293B"/>
                <w:sz w:val="20"/>
                <w:szCs w:val="20"/>
              </w:rPr>
              <w:t xml:space="preserve">Quantinuum, 큐노바</w:t>
            </w:r>
          </w:p>
        </w:tc>
      </w:tr>
    </w:tbl>
    <w:p>
      <w:pPr>
        <w:spacing w:after="100" w:before="200" w:line="280"/>
        <w:jc w:val="left"/>
      </w:pPr>
      <w:r>
        <w:rPr>
          <w:rFonts w:ascii="맑은 고딕" w:cs="맑은 고딕" w:eastAsia="맑은 고딕" w:hAnsi="맑은 고딕"/>
          <w:color w:val="1E293B"/>
          <w:sz w:val="22"/>
          <w:szCs w:val="22"/>
        </w:rPr>
        <w:t xml:space="preserve"/>
      </w:r>
    </w:p>
    <w:tbl>
      <w:tblPr>
        <w:tblW w:type="pct" w:w="100%"/>
        <w:tblBorders>
          <w:top w:val="none"/>
          <w:left w:val="single" w:color="2563EB" w:sz="24"/>
          <w:bottom w:val="none"/>
          <w:right w:val="none"/>
          <w:insideH w:val="single" w:color="auto" w:sz="4"/>
          <w:insideV w:val="single" w:color="auto" w:sz="4"/>
        </w:tblBorders>
      </w:tblPr>
      <w:tblGrid>
        <w:gridCol w:w="100"/>
      </w:tblGrid>
      <w:tr>
        <w:tc>
          <w:tcPr>
            <w:shd w:fill="EFF6FF" w:val="clear"/>
            <w:tcMar>
              <w:top w:type="dxa" w:w="172"/>
              <w:left w:type="dxa" w:w="259"/>
              <w:bottom w:type="dxa" w:w="172"/>
              <w:right w:type="dxa" w:w="259"/>
            </w:tcMar>
          </w:tcPr>
          <w:p>
            <w:pPr>
              <w:spacing w:after="60" w:before="40"/>
            </w:pPr>
            <w:r>
              <w:rPr>
                <w:rFonts w:ascii="맑은 고딕" w:cs="맑은 고딕" w:eastAsia="맑은 고딕" w:hAnsi="맑은 고딕"/>
                <w:b/>
                <w:bCs/>
                <w:color w:val="1E3A8A"/>
                <w:sz w:val="21"/>
                <w:szCs w:val="21"/>
              </w:rPr>
              <w:t xml:space="preserve">📁 수집 자료 보관 및 추가 안내</w:t>
            </w:r>
          </w:p>
          <w:p>
            <w:pPr>
              <w:spacing w:after="40" w:before="40"/>
            </w:pPr>
            <w:r>
              <w:rPr>
                <w:rFonts w:ascii="맑은 고딕" w:cs="맑은 고딕" w:eastAsia="맑은 고딕" w:hAnsi="맑은 고딕"/>
                <w:color w:val="1E293B"/>
                <w:sz w:val="20"/>
                <w:szCs w:val="20"/>
              </w:rPr>
              <w:t xml:space="preserve">본 보고서에 수록된 분석 데이터는 프로젝트 루트에 위치한 '국제양자산업대전(Quantum Expo Korea 2026).pdf' (총 494페이지 고해상도 스캔본)을 기반으로 추출되었습니다. 특정 기업 카탈로그 원본이나 세부 기술 회로도, 견적서, 라이선스 정책에 대한 추가 조사가 필요하신 경우 언제든 세부 요청을 주시면 즉시 상세 분석을 지원해 드립니다.</w:t>
            </w:r>
          </w:p>
        </w:tc>
      </w:tr>
    </w:tbl>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2026-09-27T08:38:12.630Z</dcterms:created>
  <dcterms:modified xsi:type="dcterms:W3CDTF">2026-09-27T08:38:12.632Z</dcterms:modified>
</cp:coreProperties>
</file>

<file path=docProps/custom.xml><?xml version="1.0" encoding="utf-8"?>
<Properties xmlns="http://schemas.openxmlformats.org/officeDocument/2006/custom-properties" xmlns:vt="http://schemas.openxmlformats.org/officeDocument/2006/docPropsVTypes"/>
</file>