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60"/>
        <w:jc w:val="left"/>
      </w:pPr>
      <w:r>
        <w:rPr>
          <w:rFonts w:ascii="Calibri" w:hAnsi="Calibri"/>
          <w:b/>
          <w:i w:val="0"/>
          <w:color w:val="6657D9"/>
          <w:sz w:val="20"/>
        </w:rPr>
        <w:t>ONCOGON AI  /  TECHNICAL SPECIFICATION</w:t>
      </w:r>
    </w:p>
    <w:p>
      <w:pPr>
        <w:spacing w:after="160"/>
      </w:pPr>
      <w:r>
        <w:rPr>
          <w:rFonts w:ascii="Calibri" w:hAnsi="Calibri"/>
          <w:b/>
          <w:i w:val="0"/>
          <w:color w:val="17233F"/>
          <w:sz w:val="68"/>
        </w:rPr>
        <w:t>OSIEL</w:t>
      </w:r>
    </w:p>
    <w:p>
      <w:pPr>
        <w:spacing w:after="80"/>
      </w:pPr>
      <w:r>
        <w:rPr>
          <w:rFonts w:ascii="Calibri" w:hAnsi="Calibri"/>
          <w:b/>
          <w:i w:val="0"/>
          <w:color w:val="1F4D78"/>
          <w:sz w:val="36"/>
        </w:rPr>
        <w:t>Scientific Intelligence &amp; Experimental Learning Engine</w:t>
      </w:r>
    </w:p>
    <w:p>
      <w:pPr>
        <w:spacing w:after="440"/>
      </w:pPr>
      <w:r>
        <w:rPr>
          <w:rFonts w:ascii="Calibri" w:hAnsi="Calibri"/>
          <w:b w:val="0"/>
          <w:i w:val="0"/>
          <w:color w:val="667085"/>
          <w:sz w:val="28"/>
        </w:rPr>
        <w:t>Developer-Grade Software Requirements Specification</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2F0FF"/>
          </w:tcPr>
          <w:p>
            <w:pPr>
              <w:spacing w:after="0"/>
            </w:pPr>
            <w:r>
              <w:rPr>
                <w:rFonts w:ascii="Calibri" w:hAnsi="Calibri"/>
                <w:b/>
                <w:i w:val="0"/>
                <w:color w:val="6657D9"/>
                <w:sz w:val="20"/>
              </w:rPr>
              <w:t>67-point core scope + implementation addenda  ·  Phase 1 reference  ·  Research use only</w:t>
            </w:r>
          </w:p>
        </w:tc>
      </w:tr>
    </w:tbl>
    <w:p/>
    <w:tbl>
      <w:tblPr>
        <w:tblStyle w:val="TableGrid"/>
        <w:tblW w:type="dxa" w:w="9360"/>
        <w:jc w:val="left"/>
        <w:tblLayout w:type="fixed"/>
        <w:tblLook w:firstColumn="1" w:firstRow="1" w:lastColumn="0" w:lastRow="0" w:noHBand="0" w:noVBand="1" w:val="04A0"/>
        <w:tblInd w:w="120" w:type="dxa"/>
      </w:tblPr>
      <w:tblGrid>
        <w:gridCol w:w="2304"/>
        <w:gridCol w:w="7056"/>
      </w:tblGrid>
      <w:tr>
        <w:tc>
          <w:tcPr>
            <w:tcW w:type="dxa" w:w="2304"/>
            <w:tcMar>
              <w:top w:w="80" w:type="dxa"/>
              <w:start w:w="120" w:type="dxa"/>
              <w:bottom w:w="80" w:type="dxa"/>
              <w:end w:w="120" w:type="dxa"/>
            </w:tcMar>
            <w:vAlign w:val="center"/>
            <w:shd w:fill="F2F4F7"/>
          </w:tcPr>
          <w:p>
            <w:r>
              <w:rPr>
                <w:rFonts w:ascii="Calibri" w:hAnsi="Calibri"/>
                <w:b/>
                <w:color w:val="17233F"/>
                <w:sz w:val="18"/>
              </w:rPr>
              <w:t>Document ID</w:t>
            </w:r>
          </w:p>
        </w:tc>
        <w:tc>
          <w:tcPr>
            <w:tcW w:type="dxa" w:w="7056"/>
            <w:tcMar>
              <w:top w:w="80" w:type="dxa"/>
              <w:start w:w="120" w:type="dxa"/>
              <w:bottom w:w="80" w:type="dxa"/>
              <w:end w:w="120" w:type="dxa"/>
            </w:tcMar>
            <w:vAlign w:val="center"/>
          </w:tcPr>
          <w:p>
            <w:r>
              <w:rPr>
                <w:rFonts w:ascii="Calibri" w:hAnsi="Calibri"/>
                <w:color w:val="333333"/>
                <w:sz w:val="18"/>
              </w:rPr>
              <w:t>ONCOGON-OSIEL-SRS-001</w:t>
            </w:r>
          </w:p>
        </w:tc>
      </w:tr>
      <w:tr>
        <w:tc>
          <w:tcPr>
            <w:tcW w:type="dxa" w:w="2304"/>
            <w:tcMar>
              <w:top w:w="80" w:type="dxa"/>
              <w:start w:w="120" w:type="dxa"/>
              <w:bottom w:w="80" w:type="dxa"/>
              <w:end w:w="120" w:type="dxa"/>
            </w:tcMar>
            <w:vAlign w:val="center"/>
            <w:shd w:fill="F2F4F7"/>
          </w:tcPr>
          <w:p>
            <w:r>
              <w:rPr>
                <w:rFonts w:ascii="Calibri" w:hAnsi="Calibri"/>
                <w:b/>
                <w:color w:val="17233F"/>
                <w:sz w:val="18"/>
              </w:rPr>
              <w:t>Version</w:t>
            </w:r>
          </w:p>
        </w:tc>
        <w:tc>
          <w:tcPr>
            <w:tcW w:type="dxa" w:w="7056"/>
            <w:tcMar>
              <w:top w:w="80" w:type="dxa"/>
              <w:start w:w="120" w:type="dxa"/>
              <w:bottom w:w="80" w:type="dxa"/>
              <w:end w:w="120" w:type="dxa"/>
            </w:tcMar>
            <w:vAlign w:val="center"/>
          </w:tcPr>
          <w:p>
            <w:r>
              <w:rPr>
                <w:rFonts w:ascii="Calibri" w:hAnsi="Calibri"/>
                <w:color w:val="333333"/>
                <w:sz w:val="18"/>
              </w:rPr>
              <w:t>1.1 — Federated search and model-laboratory implementation</w:t>
            </w:r>
          </w:p>
        </w:tc>
      </w:tr>
      <w:tr>
        <w:tc>
          <w:tcPr>
            <w:tcW w:type="dxa" w:w="2304"/>
            <w:tcMar>
              <w:top w:w="80" w:type="dxa"/>
              <w:start w:w="120" w:type="dxa"/>
              <w:bottom w:w="80" w:type="dxa"/>
              <w:end w:w="120" w:type="dxa"/>
            </w:tcMar>
            <w:vAlign w:val="center"/>
            <w:shd w:fill="F2F4F7"/>
          </w:tcPr>
          <w:p>
            <w:r>
              <w:rPr>
                <w:rFonts w:ascii="Calibri" w:hAnsi="Calibri"/>
                <w:b/>
                <w:color w:val="17233F"/>
                <w:sz w:val="18"/>
              </w:rPr>
              <w:t>Date</w:t>
            </w:r>
          </w:p>
        </w:tc>
        <w:tc>
          <w:tcPr>
            <w:tcW w:type="dxa" w:w="7056"/>
            <w:tcMar>
              <w:top w:w="80" w:type="dxa"/>
              <w:start w:w="120" w:type="dxa"/>
              <w:bottom w:w="80" w:type="dxa"/>
              <w:end w:w="120" w:type="dxa"/>
            </w:tcMar>
            <w:vAlign w:val="center"/>
          </w:tcPr>
          <w:p>
            <w:r>
              <w:rPr>
                <w:rFonts w:ascii="Calibri" w:hAnsi="Calibri"/>
                <w:color w:val="333333"/>
                <w:sz w:val="18"/>
              </w:rPr>
              <w:t>22 August 2026</w:t>
            </w:r>
          </w:p>
        </w:tc>
      </w:tr>
      <w:tr>
        <w:tc>
          <w:tcPr>
            <w:tcW w:type="dxa" w:w="2304"/>
            <w:tcMar>
              <w:top w:w="80" w:type="dxa"/>
              <w:start w:w="120" w:type="dxa"/>
              <w:bottom w:w="80" w:type="dxa"/>
              <w:end w:w="120" w:type="dxa"/>
            </w:tcMar>
            <w:vAlign w:val="center"/>
            <w:shd w:fill="F2F4F7"/>
          </w:tcPr>
          <w:p>
            <w:r>
              <w:rPr>
                <w:rFonts w:ascii="Calibri" w:hAnsi="Calibri"/>
                <w:b/>
                <w:color w:val="17233F"/>
                <w:sz w:val="18"/>
              </w:rPr>
              <w:t>Status</w:t>
            </w:r>
          </w:p>
        </w:tc>
        <w:tc>
          <w:tcPr>
            <w:tcW w:type="dxa" w:w="7056"/>
            <w:tcMar>
              <w:top w:w="80" w:type="dxa"/>
              <w:start w:w="120" w:type="dxa"/>
              <w:bottom w:w="80" w:type="dxa"/>
              <w:end w:w="120" w:type="dxa"/>
            </w:tcMar>
            <w:vAlign w:val="center"/>
          </w:tcPr>
          <w:p>
            <w:r>
              <w:rPr>
                <w:rFonts w:ascii="Calibri" w:hAnsi="Calibri"/>
                <w:color w:val="333333"/>
                <w:sz w:val="18"/>
              </w:rPr>
              <w:t>Scope freeze and implementation baseline</w:t>
            </w:r>
          </w:p>
        </w:tc>
      </w:tr>
      <w:tr>
        <w:tc>
          <w:tcPr>
            <w:tcW w:type="dxa" w:w="2304"/>
            <w:tcMar>
              <w:top w:w="80" w:type="dxa"/>
              <w:start w:w="120" w:type="dxa"/>
              <w:bottom w:w="80" w:type="dxa"/>
              <w:end w:w="120" w:type="dxa"/>
            </w:tcMar>
            <w:vAlign w:val="center"/>
            <w:shd w:fill="F2F4F7"/>
          </w:tcPr>
          <w:p>
            <w:r>
              <w:rPr>
                <w:rFonts w:ascii="Calibri" w:hAnsi="Calibri"/>
                <w:b/>
                <w:color w:val="17233F"/>
                <w:sz w:val="18"/>
              </w:rPr>
              <w:t>System boundary</w:t>
            </w:r>
          </w:p>
        </w:tc>
        <w:tc>
          <w:tcPr>
            <w:tcW w:type="dxa" w:w="7056"/>
            <w:tcMar>
              <w:top w:w="80" w:type="dxa"/>
              <w:start w:w="120" w:type="dxa"/>
              <w:bottom w:w="80" w:type="dxa"/>
              <w:end w:w="120" w:type="dxa"/>
            </w:tcMar>
            <w:vAlign w:val="center"/>
          </w:tcPr>
          <w:p>
            <w:r>
              <w:rPr>
                <w:rFonts w:ascii="Calibri" w:hAnsi="Calibri"/>
                <w:color w:val="333333"/>
                <w:sz w:val="18"/>
              </w:rPr>
              <w:t>In-silico research prioritization; not clinical decision support</w:t>
            </w:r>
          </w:p>
        </w:tc>
      </w:tr>
    </w:tbl>
    <w:p/>
    <w:p>
      <w:pPr>
        <w:spacing w:before="240" w:after="0"/>
      </w:pPr>
      <w:r>
        <w:rPr>
          <w:rFonts w:ascii="Calibri" w:hAnsi="Calibri"/>
          <w:b w:val="0"/>
          <w:i/>
          <w:color w:val="667085"/>
          <w:sz w:val="20"/>
        </w:rPr>
        <w:t>This document distinguishes executable reference behavior from production adapters and scientifically validated capabilities. Simulated results are never efficacy evidence.</w:t>
      </w:r>
    </w:p>
    <w:p>
      <w:r>
        <w:br w:type="page"/>
      </w:r>
    </w:p>
    <w:p>
      <w:pPr>
        <w:pStyle w:val="Heading1"/>
        <w:spacing w:before="0"/>
      </w:pPr>
      <w:r>
        <w:t>Document map</w:t>
      </w:r>
    </w:p>
    <w:p>
      <w:pPr>
        <w:pStyle w:val="ListBullet"/>
      </w:pPr>
      <w:r>
        <w:rPr>
          <w:rFonts w:ascii="Calibri" w:hAnsi="Calibri"/>
          <w:b w:val="0"/>
          <w:i w:val="0"/>
          <w:color w:val="222222"/>
          <w:sz w:val="22"/>
        </w:rPr>
        <w:t>1–5  Executive decision, scope, roles, and use cases</w:t>
      </w:r>
    </w:p>
    <w:p>
      <w:pPr>
        <w:pStyle w:val="ListBullet"/>
      </w:pPr>
      <w:r>
        <w:rPr>
          <w:rFonts w:ascii="Calibri" w:hAnsi="Calibri"/>
          <w:b w:val="0"/>
          <w:i w:val="0"/>
          <w:color w:val="222222"/>
          <w:sz w:val="22"/>
        </w:rPr>
        <w:t>6  Requirements catalogue — OSIEL-REQ-001 through OSIEL-REQ-067</w:t>
      </w:r>
    </w:p>
    <w:p>
      <w:pPr>
        <w:pStyle w:val="ListBullet"/>
      </w:pPr>
      <w:r>
        <w:rPr>
          <w:rFonts w:ascii="Calibri" w:hAnsi="Calibri"/>
          <w:b w:val="0"/>
          <w:i w:val="0"/>
          <w:color w:val="222222"/>
          <w:sz w:val="22"/>
        </w:rPr>
        <w:t>7–13  Architecture, data, chemistry, models, ranking, and experiments</w:t>
      </w:r>
    </w:p>
    <w:p>
      <w:pPr>
        <w:pStyle w:val="ListBullet"/>
      </w:pPr>
      <w:r>
        <w:rPr>
          <w:rFonts w:ascii="Calibri" w:hAnsi="Calibri"/>
          <w:b w:val="0"/>
          <w:i w:val="0"/>
          <w:color w:val="222222"/>
          <w:sz w:val="22"/>
        </w:rPr>
        <w:t>14–18  APIs, events, sources, frontend, and security</w:t>
      </w:r>
    </w:p>
    <w:p>
      <w:pPr>
        <w:pStyle w:val="ListBullet"/>
      </w:pPr>
      <w:r>
        <w:rPr>
          <w:rFonts w:ascii="Calibri" w:hAnsi="Calibri"/>
          <w:b w:val="0"/>
          <w:i w:val="0"/>
          <w:color w:val="222222"/>
          <w:sz w:val="22"/>
        </w:rPr>
        <w:t>19–25  Non-functional requirements, deployment, verification, risks, and definition of done</w:t>
      </w:r>
    </w:p>
    <w:p>
      <w:pPr>
        <w:pStyle w:val="ListBullet"/>
      </w:pPr>
      <w:r>
        <w:rPr>
          <w:rFonts w:ascii="Calibri" w:hAnsi="Calibri"/>
          <w:b w:val="0"/>
          <w:i w:val="0"/>
          <w:color w:val="222222"/>
          <w:sz w:val="22"/>
        </w:rPr>
        <w:t>Appendices  Official technical references and scientific handoff checklist</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8F4"/>
          </w:tcPr>
          <w:p>
            <w:r>
              <w:rPr>
                <w:rFonts w:ascii="Calibri" w:hAnsi="Calibri"/>
                <w:b/>
                <w:i w:val="0"/>
                <w:color w:val="16866B"/>
                <w:sz w:val="20"/>
              </w:rPr>
              <w:t>Implementation baseline: live 10.10B remote map · 192 local references · ChEMBL model lab · Vina + RMSD · 43 backend tests.</w:t>
            </w:r>
          </w:p>
        </w:tc>
      </w:tr>
    </w:tbl>
    <w:p>
      <w:r>
        <w:br w:type="page"/>
      </w:r>
    </w:p>
    <w:p>
      <w:pPr>
        <w:pStyle w:val="Heading1"/>
      </w:pPr>
      <w:r>
        <w:t>1. Executive decision</w:t>
      </w:r>
    </w:p>
    <w:p>
      <w:r>
        <w:rPr>
          <w:rFonts w:ascii="Calibri" w:hAnsi="Calibri"/>
          <w:b w:val="0"/>
          <w:i w:val="0"/>
          <w:color w:val="222222"/>
          <w:sz w:val="22"/>
        </w:rPr>
        <w:t>OSIEL is the scientific intelligence core of Oncogon AI. Its Phase 1 product question is: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2F0FF"/>
          </w:tcPr>
          <w:p>
            <w:r>
              <w:rPr>
                <w:rFonts w:ascii="Calibri" w:hAnsi="Calibri"/>
                <w:b/>
                <w:i w:val="0"/>
                <w:color w:val="6657D9"/>
                <w:sz w:val="22"/>
              </w:rPr>
              <w:t>Which compounds should a research team prioritize for laboratory validation, why, and with what uncertainty?</w:t>
            </w:r>
          </w:p>
        </w:tc>
      </w:tr>
    </w:tbl>
    <w:p>
      <w:r>
        <w:rPr>
          <w:rFonts w:ascii="Calibri" w:hAnsi="Calibri"/>
          <w:b w:val="0"/>
          <w:i w:val="0"/>
          <w:color w:val="222222"/>
          <w:sz w:val="22"/>
        </w:rPr>
        <w:t>OSIEL is not one monolithic AI model. It is a governed evidence-to-experiment system:</w:t>
      </w:r>
    </w:p>
    <w:p>
      <w:r>
        <w:rPr>
          <w:rFonts w:ascii="Calibri" w:hAnsi="Calibri"/>
          <w:b w:val="0"/>
          <w:i w:val="0"/>
          <w:color w:val="222222"/>
          <w:sz w:val="22"/>
        </w:rPr>
        <w:t>scientific data → chemical identity → biological context → assay meaning → governed task → prediction and uncertainty → ADMET screening → evidence → transparent ranking → experiment design → result QC → scientific approval → immutable dataset snapshot → challenger evaluation → approved champion deployment.</w:t>
      </w:r>
    </w:p>
    <w:p>
      <w:r>
        <w:rPr>
          <w:rFonts w:ascii="Calibri" w:hAnsi="Calibri"/>
          <w:b w:val="0"/>
          <w:i w:val="0"/>
          <w:color w:val="222222"/>
          <w:sz w:val="22"/>
        </w:rPr>
        <w:t>This specification freezes 67 core requirements. Requirements 1–60 define the original scientific engine scope. Requirements 61–67 add the developer contracts, product workbench, security, reproducibility, and end-to-end acceptance conditions needed to make that scope implementable. Version 1.1 also defines separately numbered Open Discovery, model-laboratory, active-learning, and docking-qualification addenda without rewriting the frozen core identifiers.</w:t>
      </w:r>
    </w:p>
    <w:p>
      <w:r>
        <w:rPr>
          <w:rFonts w:ascii="Calibri" w:hAnsi="Calibri"/>
          <w:b w:val="0"/>
          <w:i w:val="0"/>
          <w:color w:val="222222"/>
          <w:sz w:val="22"/>
        </w:rPr>
        <w:t>The accompanying source is an executable developer reference. It includes a FastAPI backend; RDKit structure processing; a registry of 192 local reference structures; live bounded search against a provider-reported 10.10B-entry REALDB map; deterministic cockpit predictions; real AutoDock Vina execution; redocking RMSD; immutable ChEMBL endpoint snapshots; three-way scaffold-separated baseline training, calibration and evaluation; applicability-domain reporting; active-learning proposals; transparent ranking; experiment planning; a computational dose-response dry-run; QC gates; audit records; and a connected Next.js workbench. It does not claim to be a clinically validated system, a wet laboratory, Recursion's proprietary platform, or an institutionally approved oncology model.</w:t>
      </w:r>
    </w:p>
    <w:p>
      <w:pPr>
        <w:pStyle w:val="Heading1"/>
      </w:pPr>
      <w:r>
        <w:t>2. Document purpose</w:t>
      </w:r>
    </w:p>
    <w:p>
      <w:r>
        <w:rPr>
          <w:rFonts w:ascii="Calibri" w:hAnsi="Calibri"/>
          <w:b w:val="0"/>
          <w:i w:val="0"/>
          <w:color w:val="222222"/>
          <w:sz w:val="22"/>
        </w:rPr>
        <w:t>This SRS is the binding technical baseline for product, data engineering, cheminformatics, machine learning, frontend, backend, DevOps, QA, and scientific-review teams. It defines:</w:t>
      </w:r>
    </w:p>
    <w:p>
      <w:pPr>
        <w:pStyle w:val="ListBullet"/>
      </w:pPr>
      <w:r>
        <w:rPr>
          <w:rFonts w:ascii="Calibri" w:hAnsi="Calibri"/>
          <w:b w:val="0"/>
          <w:i w:val="0"/>
          <w:color w:val="222222"/>
          <w:sz w:val="22"/>
        </w:rPr>
        <w:t>system scope and non-goals;</w:t>
      </w:r>
    </w:p>
    <w:p>
      <w:pPr>
        <w:pStyle w:val="ListBullet"/>
      </w:pPr>
      <w:r>
        <w:rPr>
          <w:rFonts w:ascii="Calibri" w:hAnsi="Calibri"/>
          <w:b w:val="0"/>
          <w:i w:val="0"/>
          <w:color w:val="222222"/>
          <w:sz w:val="22"/>
        </w:rPr>
        <w:t>user roles and governed decisions;</w:t>
      </w:r>
    </w:p>
    <w:p>
      <w:pPr>
        <w:pStyle w:val="ListBullet"/>
      </w:pPr>
      <w:r>
        <w:rPr>
          <w:rFonts w:ascii="Calibri" w:hAnsi="Calibri"/>
          <w:b w:val="0"/>
          <w:i w:val="0"/>
          <w:color w:val="222222"/>
          <w:sz w:val="22"/>
        </w:rPr>
        <w:t>67 frozen core requirements plus uniquely testable implementation addenda;</w:t>
      </w:r>
    </w:p>
    <w:p>
      <w:pPr>
        <w:pStyle w:val="ListBullet"/>
      </w:pPr>
      <w:r>
        <w:rPr>
          <w:rFonts w:ascii="Calibri" w:hAnsi="Calibri"/>
          <w:b w:val="0"/>
          <w:i w:val="0"/>
          <w:color w:val="222222"/>
          <w:sz w:val="22"/>
        </w:rPr>
        <w:t>data entities and provenance rules;</w:t>
      </w:r>
    </w:p>
    <w:p>
      <w:pPr>
        <w:pStyle w:val="ListBullet"/>
      </w:pPr>
      <w:r>
        <w:rPr>
          <w:rFonts w:ascii="Calibri" w:hAnsi="Calibri"/>
          <w:b w:val="0"/>
          <w:i w:val="0"/>
          <w:color w:val="222222"/>
          <w:sz w:val="22"/>
        </w:rPr>
        <w:t>model-development and ranking logic;</w:t>
      </w:r>
    </w:p>
    <w:p>
      <w:pPr>
        <w:pStyle w:val="ListBullet"/>
      </w:pPr>
      <w:r>
        <w:rPr>
          <w:rFonts w:ascii="Calibri" w:hAnsi="Calibri"/>
          <w:b w:val="0"/>
          <w:i w:val="0"/>
          <w:color w:val="222222"/>
          <w:sz w:val="22"/>
        </w:rPr>
        <w:t>API and event contracts;</w:t>
      </w:r>
    </w:p>
    <w:p>
      <w:pPr>
        <w:pStyle w:val="ListBullet"/>
      </w:pPr>
      <w:r>
        <w:rPr>
          <w:rFonts w:ascii="Calibri" w:hAnsi="Calibri"/>
          <w:b w:val="0"/>
          <w:i w:val="0"/>
          <w:color w:val="222222"/>
          <w:sz w:val="22"/>
        </w:rPr>
        <w:t>security and deployment expectations;</w:t>
      </w:r>
    </w:p>
    <w:p>
      <w:pPr>
        <w:pStyle w:val="ListBullet"/>
      </w:pPr>
      <w:r>
        <w:rPr>
          <w:rFonts w:ascii="Calibri" w:hAnsi="Calibri"/>
          <w:b w:val="0"/>
          <w:i w:val="0"/>
          <w:color w:val="222222"/>
          <w:sz w:val="22"/>
        </w:rPr>
        <w:t>acceptance tests and release gates;</w:t>
      </w:r>
    </w:p>
    <w:p>
      <w:pPr>
        <w:pStyle w:val="ListBullet"/>
      </w:pPr>
      <w:r>
        <w:rPr>
          <w:rFonts w:ascii="Calibri" w:hAnsi="Calibri"/>
          <w:b w:val="0"/>
          <w:i w:val="0"/>
          <w:color w:val="222222"/>
          <w:sz w:val="22"/>
        </w:rPr>
        <w:t>the exact status of the current reference implementation.</w:t>
      </w:r>
    </w:p>
    <w:p>
      <w:r>
        <w:rPr>
          <w:rFonts w:ascii="Calibri" w:hAnsi="Calibri"/>
          <w:b w:val="0"/>
          <w:i w:val="0"/>
          <w:color w:val="222222"/>
          <w:sz w:val="22"/>
        </w:rPr>
        <w:t>Where a scientific or production capability is not fully implemented, this document labels it adapter-ready or deferred. No interface text, demo output, or API response may silently upgrade a hypothesis into measured evidence.</w:t>
      </w:r>
    </w:p>
    <w:p>
      <w:pPr>
        <w:pStyle w:val="Heading1"/>
      </w:pPr>
      <w:r>
        <w:t>3. Product boundaries</w:t>
      </w:r>
    </w:p>
    <w:p>
      <w:pPr>
        <w:pStyle w:val="Heading2"/>
      </w:pPr>
      <w:r>
        <w:t>3.1 In scope for Phase 1</w:t>
      </w:r>
    </w:p>
    <w:p>
      <w:pPr>
        <w:pStyle w:val="ListBullet"/>
      </w:pPr>
      <w:r>
        <w:rPr>
          <w:rFonts w:ascii="Calibri" w:hAnsi="Calibri"/>
          <w:b w:val="0"/>
          <w:i w:val="0"/>
          <w:color w:val="222222"/>
          <w:sz w:val="22"/>
        </w:rPr>
        <w:t>Compound identity ingestion and standardization.</w:t>
      </w:r>
    </w:p>
    <w:p>
      <w:pPr>
        <w:pStyle w:val="ListBullet"/>
      </w:pPr>
      <w:r>
        <w:rPr>
          <w:rFonts w:ascii="Calibri" w:hAnsi="Calibri"/>
          <w:b w:val="0"/>
          <w:i w:val="0"/>
          <w:color w:val="222222"/>
          <w:sz w:val="22"/>
        </w:rPr>
        <w:t>Natural-product and synthetic-compound source registries.</w:t>
      </w:r>
    </w:p>
    <w:p>
      <w:pPr>
        <w:pStyle w:val="ListBullet"/>
      </w:pPr>
      <w:r>
        <w:rPr>
          <w:rFonts w:ascii="Calibri" w:hAnsi="Calibri"/>
          <w:b w:val="0"/>
          <w:i w:val="0"/>
          <w:color w:val="222222"/>
          <w:sz w:val="22"/>
        </w:rPr>
        <w:t>Assay and endpoint normalization without collapsing unlike endpoints.</w:t>
      </w:r>
    </w:p>
    <w:p>
      <w:pPr>
        <w:pStyle w:val="ListBullet"/>
      </w:pPr>
      <w:r>
        <w:rPr>
          <w:rFonts w:ascii="Calibri" w:hAnsi="Calibri"/>
          <w:b w:val="0"/>
          <w:i w:val="0"/>
          <w:color w:val="222222"/>
          <w:sz w:val="22"/>
        </w:rPr>
        <w:t>Versioned, leakage-aware dataset construction.</w:t>
      </w:r>
    </w:p>
    <w:p>
      <w:pPr>
        <w:pStyle w:val="ListBullet"/>
      </w:pPr>
      <w:r>
        <w:rPr>
          <w:rFonts w:ascii="Calibri" w:hAnsi="Calibri"/>
          <w:b w:val="0"/>
          <w:i w:val="0"/>
          <w:color w:val="222222"/>
          <w:sz w:val="22"/>
        </w:rPr>
        <w:t>Classical molecular models and graph-model comparison on identical splits.</w:t>
      </w:r>
    </w:p>
    <w:p>
      <w:pPr>
        <w:pStyle w:val="ListBullet"/>
      </w:pPr>
      <w:r>
        <w:rPr>
          <w:rFonts w:ascii="Calibri" w:hAnsi="Calibri"/>
          <w:b w:val="0"/>
          <w:i w:val="0"/>
          <w:color w:val="222222"/>
          <w:sz w:val="22"/>
        </w:rPr>
        <w:t>Uncertainty, calibration, applicability-domain, and analog evidence.</w:t>
      </w:r>
    </w:p>
    <w:p>
      <w:pPr>
        <w:pStyle w:val="ListBullet"/>
      </w:pPr>
      <w:r>
        <w:rPr>
          <w:rFonts w:ascii="Calibri" w:hAnsi="Calibri"/>
          <w:b w:val="0"/>
          <w:i w:val="0"/>
          <w:color w:val="222222"/>
          <w:sz w:val="22"/>
        </w:rPr>
        <w:t>Endpoint-specific ADMET screening.</w:t>
      </w:r>
    </w:p>
    <w:p>
      <w:pPr>
        <w:pStyle w:val="ListBullet"/>
      </w:pPr>
      <w:r>
        <w:rPr>
          <w:rFonts w:ascii="Calibri" w:hAnsi="Calibri"/>
          <w:b w:val="0"/>
          <w:i w:val="0"/>
          <w:color w:val="222222"/>
          <w:sz w:val="22"/>
        </w:rPr>
        <w:t>Explainable multi-objective prioritization and diversity selection.</w:t>
      </w:r>
    </w:p>
    <w:p>
      <w:pPr>
        <w:pStyle w:val="ListBullet"/>
      </w:pPr>
      <w:r>
        <w:rPr>
          <w:rFonts w:ascii="Calibri" w:hAnsi="Calibri"/>
          <w:b w:val="0"/>
          <w:i w:val="0"/>
          <w:color w:val="222222"/>
          <w:sz w:val="22"/>
        </w:rPr>
        <w:t>Experiment protocol planning and result capture.</w:t>
      </w:r>
    </w:p>
    <w:p>
      <w:pPr>
        <w:pStyle w:val="ListBullet"/>
      </w:pPr>
      <w:r>
        <w:rPr>
          <w:rFonts w:ascii="Calibri" w:hAnsi="Calibri"/>
          <w:b w:val="0"/>
          <w:i w:val="0"/>
          <w:color w:val="222222"/>
          <w:sz w:val="22"/>
        </w:rPr>
        <w:t>QC, named scientific review, audit, snapshot, and champion/challenger gates.</w:t>
      </w:r>
    </w:p>
    <w:p>
      <w:pPr>
        <w:pStyle w:val="ListBullet"/>
      </w:pPr>
      <w:r>
        <w:rPr>
          <w:rFonts w:ascii="Calibri" w:hAnsi="Calibri"/>
          <w:b w:val="0"/>
          <w:i w:val="0"/>
          <w:color w:val="222222"/>
          <w:sz w:val="22"/>
        </w:rPr>
        <w:t>A research workbench for compound review and computational software-flow experiments.</w:t>
      </w:r>
    </w:p>
    <w:p>
      <w:pPr>
        <w:pStyle w:val="Heading2"/>
      </w:pPr>
      <w:r>
        <w:t>3.2 Explicit non-goals for Phase 1</w:t>
      </w:r>
    </w:p>
    <w:p>
      <w:pPr>
        <w:pStyle w:val="ListBullet"/>
      </w:pPr>
      <w:r>
        <w:rPr>
          <w:rFonts w:ascii="Calibri" w:hAnsi="Calibri"/>
          <w:b w:val="0"/>
          <w:i w:val="0"/>
          <w:color w:val="222222"/>
          <w:sz w:val="22"/>
        </w:rPr>
        <w:t>Clinical diagnosis, prognosis, or treatment recommendation.</w:t>
      </w:r>
    </w:p>
    <w:p>
      <w:pPr>
        <w:pStyle w:val="ListBullet"/>
      </w:pPr>
      <w:r>
        <w:rPr>
          <w:rFonts w:ascii="Calibri" w:hAnsi="Calibri"/>
          <w:b w:val="0"/>
          <w:i w:val="0"/>
          <w:color w:val="222222"/>
          <w:sz w:val="22"/>
        </w:rPr>
        <w:t>Patient-specific decision support or storage of identifiable health data.</w:t>
      </w:r>
    </w:p>
    <w:p>
      <w:pPr>
        <w:pStyle w:val="ListBullet"/>
      </w:pPr>
      <w:r>
        <w:rPr>
          <w:rFonts w:ascii="Calibri" w:hAnsi="Calibri"/>
          <w:b w:val="0"/>
          <w:i w:val="0"/>
          <w:color w:val="222222"/>
          <w:sz w:val="22"/>
        </w:rPr>
        <w:t>Autonomous wet-lab execution.</w:t>
      </w:r>
    </w:p>
    <w:p>
      <w:pPr>
        <w:pStyle w:val="ListBullet"/>
      </w:pPr>
      <w:r>
        <w:rPr>
          <w:rFonts w:ascii="Calibri" w:hAnsi="Calibri"/>
          <w:b w:val="0"/>
          <w:i w:val="0"/>
          <w:color w:val="222222"/>
          <w:sz w:val="22"/>
        </w:rPr>
        <w:t>Presentation of simulated observations as experimental efficacy evidence.</w:t>
      </w:r>
    </w:p>
    <w:p>
      <w:pPr>
        <w:pStyle w:val="ListBullet"/>
      </w:pPr>
      <w:r>
        <w:rPr>
          <w:rFonts w:ascii="Calibri" w:hAnsi="Calibri"/>
          <w:b w:val="0"/>
          <w:i w:val="0"/>
          <w:color w:val="222222"/>
          <w:sz w:val="22"/>
        </w:rPr>
        <w:t>Automatic retraining or automatic replacement of a production model.</w:t>
      </w:r>
    </w:p>
    <w:p>
      <w:pPr>
        <w:pStyle w:val="ListBullet"/>
      </w:pPr>
      <w:r>
        <w:rPr>
          <w:rFonts w:ascii="Calibri" w:hAnsi="Calibri"/>
          <w:b w:val="0"/>
          <w:i w:val="0"/>
          <w:color w:val="222222"/>
          <w:sz w:val="22"/>
        </w:rPr>
        <w:t>De novo molecular generation, retrosynthesis, or autonomous synthesis planning.</w:t>
      </w:r>
    </w:p>
    <w:p>
      <w:pPr>
        <w:pStyle w:val="ListBullet"/>
      </w:pPr>
      <w:r>
        <w:rPr>
          <w:rFonts w:ascii="Calibri" w:hAnsi="Calibri"/>
          <w:b w:val="0"/>
          <w:i w:val="0"/>
          <w:color w:val="222222"/>
          <w:sz w:val="22"/>
        </w:rPr>
        <w:t>Docking score presented as proof of efficacy.</w:t>
      </w:r>
    </w:p>
    <w:p>
      <w:pPr>
        <w:pStyle w:val="ListBullet"/>
      </w:pPr>
      <w:r>
        <w:rPr>
          <w:rFonts w:ascii="Calibri" w:hAnsi="Calibri"/>
          <w:b w:val="0"/>
          <w:i w:val="0"/>
          <w:color w:val="222222"/>
          <w:sz w:val="22"/>
        </w:rPr>
        <w:t>Full multi-omics or digital-twin modeling.</w:t>
      </w:r>
    </w:p>
    <w:p>
      <w:pPr>
        <w:pStyle w:val="ListBullet"/>
      </w:pPr>
      <w:r>
        <w:rPr>
          <w:rFonts w:ascii="Calibri" w:hAnsi="Calibri"/>
          <w:b w:val="0"/>
          <w:i w:val="0"/>
          <w:color w:val="222222"/>
          <w:sz w:val="22"/>
        </w:rPr>
        <w:t>Internet-wide indiscriminate scraping that ignores licences, robots controls, provenance, or source release identifiers.</w:t>
      </w:r>
    </w:p>
    <w:p>
      <w:pPr>
        <w:pStyle w:val="Heading2"/>
      </w:pPr>
      <w:r>
        <w:t>3.3 Claim boundary</w:t>
      </w:r>
    </w:p>
    <w:p>
      <w:r>
        <w:rPr>
          <w:rFonts w:ascii="Calibri" w:hAnsi="Calibri"/>
          <w:b w:val="0"/>
          <w:i w:val="0"/>
          <w:color w:val="222222"/>
          <w:sz w:val="22"/>
        </w:rPr>
        <w:t>Every ranking, prediction, assistant answer, and dry-run result shall display a research-use notice. Predictions are hypotheses requiring experimental validation and qualified scientific review. A computational experiment validates software orchestration only; it does not perform a physical assay.</w:t>
      </w:r>
    </w:p>
    <w:p>
      <w:pPr>
        <w:pStyle w:val="Heading1"/>
      </w:pPr>
      <w:r>
        <w:t>4. Stakeholders and roles</w:t>
      </w:r>
    </w:p>
    <w:tbl>
      <w:tblPr>
        <w:tblStyle w:val="TableGrid"/>
        <w:tblW w:type="dxa" w:w="9360"/>
        <w:jc w:val="left"/>
        <w:tblLayout w:type="fixed"/>
        <w:tblLook w:firstColumn="1" w:firstRow="1" w:lastColumn="0" w:lastRow="0" w:noHBand="0" w:noVBand="1" w:val="04A0"/>
        <w:tblInd w:w="120" w:type="dxa"/>
      </w:tblPr>
      <w:tblGrid>
        <w:gridCol w:w="2232"/>
        <w:gridCol w:w="5256"/>
        <w:gridCol w:w="1872"/>
      </w:tblGrid>
      <w:tr>
        <w:trPr>
          <w:tblHeader w:val="true"/>
          <w:cantSplit/>
        </w:trPr>
        <w:tc>
          <w:tcPr>
            <w:tcW w:type="dxa" w:w="2232"/>
            <w:tcMar>
              <w:top w:w="80" w:type="dxa"/>
              <w:start w:w="120" w:type="dxa"/>
              <w:bottom w:w="80" w:type="dxa"/>
              <w:end w:w="120" w:type="dxa"/>
            </w:tcMar>
            <w:vAlign w:val="center"/>
            <w:shd w:fill="F2F4F7"/>
          </w:tcPr>
          <w:p>
            <w:pPr>
              <w:spacing w:before="0" w:after="0"/>
            </w:pPr>
            <w:r/>
            <w:r>
              <w:rPr>
                <w:rFonts w:ascii="Calibri" w:hAnsi="Calibri"/>
                <w:b/>
                <w:i w:val="0"/>
                <w:color w:val="17233F"/>
                <w:sz w:val="17"/>
              </w:rPr>
              <w:t>Role</w:t>
            </w:r>
          </w:p>
        </w:tc>
        <w:tc>
          <w:tcPr>
            <w:tcW w:type="dxa" w:w="5256"/>
            <w:tcMar>
              <w:top w:w="80" w:type="dxa"/>
              <w:start w:w="120" w:type="dxa"/>
              <w:bottom w:w="80" w:type="dxa"/>
              <w:end w:w="120" w:type="dxa"/>
            </w:tcMar>
            <w:vAlign w:val="center"/>
            <w:shd w:fill="F2F4F7"/>
          </w:tcPr>
          <w:p>
            <w:pPr>
              <w:spacing w:before="0" w:after="0"/>
            </w:pPr>
            <w:r/>
            <w:r>
              <w:rPr>
                <w:rFonts w:ascii="Calibri" w:hAnsi="Calibri"/>
                <w:b/>
                <w:i w:val="0"/>
                <w:color w:val="17233F"/>
                <w:sz w:val="17"/>
              </w:rPr>
              <w:t>Primary responsibility</w:t>
            </w:r>
          </w:p>
        </w:tc>
        <w:tc>
          <w:tcPr>
            <w:tcW w:type="dxa" w:w="1872"/>
            <w:tcMar>
              <w:top w:w="80" w:type="dxa"/>
              <w:start w:w="120" w:type="dxa"/>
              <w:bottom w:w="80" w:type="dxa"/>
              <w:end w:w="120" w:type="dxa"/>
            </w:tcMar>
            <w:vAlign w:val="center"/>
            <w:shd w:fill="F2F4F7"/>
          </w:tcPr>
          <w:p>
            <w:pPr>
              <w:spacing w:before="0" w:after="0"/>
            </w:pPr>
            <w:r/>
            <w:r>
              <w:rPr>
                <w:rFonts w:ascii="Calibri" w:hAnsi="Calibri"/>
                <w:b/>
                <w:i w:val="0"/>
                <w:color w:val="17233F"/>
                <w:sz w:val="17"/>
              </w:rPr>
              <w:t>Authority</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Research scientist</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Define biological context, inspect evidence, propose experiments</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Create tasks and protocols; review hypotheses</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Medicinal chemist</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Review structure identity, feasibility, novelty, and analogs</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Apply or approve chemistry flags</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Assay scientist</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Define endpoint semantics, controls, units, and QC</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Approve assay mappings and result QC</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Data curator</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Register sources, resolve identity, normalize records</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Curate and quarantine; cannot deploy models</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ML scientist</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Build snapshots, train and evaluate challengers</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Propose models; cannot self-approve</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Scientific reviewer</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Approve eligible experimental results and model decisions</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Named approval or rejection</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Platform administrator</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Operate access, retention, infrastructure, and audit</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Administrative actions; no scientific override</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Auditor</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Inspect immutable lineage, approvals, releases, and access</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Read-only evidence access</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Product user</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Search, compare, rank, export, and plan</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Limited to authorised projects</w:t>
            </w:r>
          </w:p>
        </w:tc>
      </w:tr>
    </w:tbl>
    <w:p>
      <w:pPr>
        <w:spacing w:after="0"/>
      </w:pPr>
    </w:p>
    <w:p>
      <w:r>
        <w:rPr>
          <w:rFonts w:ascii="Calibri" w:hAnsi="Calibri"/>
          <w:b w:val="0"/>
          <w:i w:val="0"/>
          <w:color w:val="222222"/>
          <w:sz w:val="22"/>
        </w:rPr>
        <w:t>No role may bypass required gates by combining UI actions. Upload is not approval; approval is not retraining; retraining is not deployment.</w:t>
      </w:r>
    </w:p>
    <w:p>
      <w:pPr>
        <w:pStyle w:val="Heading1"/>
      </w:pPr>
      <w:r>
        <w:t>5. Primary use cases</w:t>
      </w:r>
    </w:p>
    <w:p>
      <w:pPr>
        <w:pStyle w:val="Heading2"/>
      </w:pPr>
      <w:r>
        <w:t>UC-01: Build a traceable compound registry</w:t>
      </w:r>
    </w:p>
    <w:p>
      <w:r>
        <w:rPr>
          <w:rFonts w:ascii="Calibri" w:hAnsi="Calibri"/>
          <w:b w:val="0"/>
          <w:i w:val="0"/>
          <w:color w:val="222222"/>
          <w:sz w:val="22"/>
        </w:rPr>
        <w:t>The curator registers an approved source release, ingests raw records, computes checksums, standardizes structures, quarantines invalid entries, resolves duplicates at explicit identity levels, and publishes a versioned identity snapshot.</w:t>
      </w:r>
    </w:p>
    <w:p>
      <w:pPr>
        <w:pStyle w:val="Heading2"/>
      </w:pPr>
      <w:r>
        <w:t>UC-02: Define an oncology prediction task</w:t>
      </w:r>
    </w:p>
    <w:p>
      <w:r>
        <w:rPr>
          <w:rFonts w:ascii="Calibri" w:hAnsi="Calibri"/>
          <w:b w:val="0"/>
          <w:i w:val="0"/>
          <w:color w:val="222222"/>
          <w:sz w:val="22"/>
        </w:rPr>
        <w:t>The scientist chooses cancer type, cell line or biological system, assay endpoint, units, relation operator, inclusion criteria, and evaluation policy. IC50, GI50, viability, and activity probability remain distinct tasks unless a documented scientific transform is approved.</w:t>
      </w:r>
    </w:p>
    <w:p>
      <w:pPr>
        <w:pStyle w:val="Heading2"/>
      </w:pPr>
      <w:r>
        <w:t>UC-03: Prioritize compounds</w:t>
      </w:r>
    </w:p>
    <w:p>
      <w:r>
        <w:rPr>
          <w:rFonts w:ascii="Calibri" w:hAnsi="Calibri"/>
          <w:b w:val="0"/>
          <w:i w:val="0"/>
          <w:color w:val="222222"/>
          <w:sz w:val="22"/>
        </w:rPr>
        <w:t>OSIEL resolves candidates, predicts activity, uncertainty, selectivity proxies, and ADMET endpoints, labels model-domain status, retrieves analog evidence, applies hard filters, calculates transparent weighted and Pareto views, and selects a diverse shortlist.</w:t>
      </w:r>
    </w:p>
    <w:p>
      <w:pPr>
        <w:pStyle w:val="Heading2"/>
      </w:pPr>
      <w:r>
        <w:t>UC-04: Inspect one candidate</w:t>
      </w:r>
    </w:p>
    <w:p>
      <w:r>
        <w:rPr>
          <w:rFonts w:ascii="Calibri" w:hAnsi="Calibri"/>
          <w:b w:val="0"/>
          <w:i w:val="0"/>
          <w:color w:val="222222"/>
          <w:sz w:val="22"/>
        </w:rPr>
        <w:t>The user sees chemical identity, source provenance, descriptor values, model and dataset versions, nearest analogs, prediction interval, uncertainty, applicability domain, ADMET endpoint details, score contributions, flags, and claim boundary.</w:t>
      </w:r>
    </w:p>
    <w:p>
      <w:pPr>
        <w:pStyle w:val="Heading2"/>
      </w:pPr>
      <w:r>
        <w:t>UC-05: Plan and dry-run an experiment</w:t>
      </w:r>
    </w:p>
    <w:p>
      <w:r>
        <w:rPr>
          <w:rFonts w:ascii="Calibri" w:hAnsi="Calibri"/>
          <w:b w:val="0"/>
          <w:i w:val="0"/>
          <w:color w:val="222222"/>
          <w:sz w:val="22"/>
        </w:rPr>
        <w:t>The scientist creates a protocol containing cell line, assay, dose range, controls, replicates, and duration. The reference simulator generates deterministic synthetic observations solely to test workflow, plate-plan logic, result storage, QC, and audit.</w:t>
      </w:r>
    </w:p>
    <w:p>
      <w:pPr>
        <w:pStyle w:val="Heading2"/>
      </w:pPr>
      <w:r>
        <w:t>UC-06: Review a real experimental result</w:t>
      </w:r>
    </w:p>
    <w:p>
      <w:r>
        <w:rPr>
          <w:rFonts w:ascii="Calibri" w:hAnsi="Calibri"/>
          <w:b w:val="0"/>
          <w:i w:val="0"/>
          <w:color w:val="222222"/>
          <w:sz w:val="22"/>
        </w:rPr>
        <w:t>An authorised reviewer checks raw data, controls, replicate consistency, exclusions, provenance, and QC. The reviewer records a named decision and reason. Negative results are preserved.</w:t>
      </w:r>
    </w:p>
    <w:p>
      <w:pPr>
        <w:pStyle w:val="Heading2"/>
      </w:pPr>
      <w:r>
        <w:t>UC-07: Govern learning</w:t>
      </w:r>
    </w:p>
    <w:p>
      <w:r>
        <w:rPr>
          <w:rFonts w:ascii="Calibri" w:hAnsi="Calibri"/>
          <w:b w:val="0"/>
          <w:i w:val="0"/>
          <w:color w:val="222222"/>
          <w:sz w:val="22"/>
        </w:rPr>
        <w:t>Only scientifically approved, training-eligible real results may enter an immutable dataset snapshot. Training runs offline. A challenger is evaluated on frozen tests, calibration, domain slices, and regression gates. A different named reviewer approves promotion; rollback remains possible.</w:t>
      </w:r>
    </w:p>
    <w:p>
      <w:pPr>
        <w:pStyle w:val="Heading1"/>
      </w:pPr>
      <w:r>
        <w:t>6. Requirements catalogue — 67-point scope freeze</w:t>
      </w:r>
    </w:p>
    <w:p>
      <w:r>
        <w:rPr>
          <w:rFonts w:ascii="Calibri" w:hAnsi="Calibri"/>
          <w:b w:val="0"/>
          <w:i w:val="0"/>
          <w:color w:val="222222"/>
          <w:sz w:val="22"/>
        </w:rPr>
        <w:t>Status legend:</w:t>
      </w:r>
    </w:p>
    <w:p>
      <w:pPr>
        <w:pStyle w:val="ListBullet"/>
      </w:pPr>
      <w:r>
        <w:rPr>
          <w:rFonts w:ascii="Calibri" w:hAnsi="Calibri"/>
          <w:b w:val="0"/>
          <w:i w:val="0"/>
          <w:color w:val="222222"/>
          <w:sz w:val="22"/>
        </w:rPr>
        <w:t>Implemented: executable in the included reference code.</w:t>
      </w:r>
    </w:p>
    <w:p>
      <w:pPr>
        <w:pStyle w:val="ListBullet"/>
      </w:pPr>
      <w:r>
        <w:rPr>
          <w:rFonts w:ascii="Calibri" w:hAnsi="Calibri"/>
          <w:b w:val="0"/>
          <w:i w:val="0"/>
          <w:color w:val="222222"/>
          <w:sz w:val="22"/>
        </w:rPr>
        <w:t>Partial: working reference behavior with a production adapter still required.</w:t>
      </w:r>
    </w:p>
    <w:p>
      <w:pPr>
        <w:pStyle w:val="ListBullet"/>
      </w:pPr>
      <w:r>
        <w:rPr>
          <w:rFonts w:ascii="Calibri" w:hAnsi="Calibri"/>
          <w:b w:val="0"/>
          <w:i w:val="0"/>
          <w:color w:val="222222"/>
          <w:sz w:val="22"/>
        </w:rPr>
        <w:t>Contract: interfaces and guardrails exist; production service not bundled.</w:t>
      </w:r>
    </w:p>
    <w:p>
      <w:pPr>
        <w:pStyle w:val="ListBullet"/>
      </w:pPr>
      <w:r>
        <w:rPr>
          <w:rFonts w:ascii="Calibri" w:hAnsi="Calibri"/>
          <w:b w:val="0"/>
          <w:i w:val="0"/>
          <w:color w:val="222222"/>
          <w:sz w:val="22"/>
        </w:rPr>
        <w:t>Deferred: intentionally excluded from Phase 1 or requires scientific validation.</w:t>
      </w:r>
    </w:p>
    <w:p>
      <w:pPr>
        <w:pStyle w:val="Heading2"/>
      </w:pPr>
      <w:r>
        <w:t>6.1 Mission, tenancy, and system boundaries</w:t>
      </w:r>
    </w:p>
    <w:tbl>
      <w:tblPr>
        <w:tblStyle w:val="TableGrid"/>
        <w:tblW w:type="dxa" w:w="9360"/>
        <w:jc w:val="left"/>
        <w:tblLayout w:type="fixed"/>
        <w:tblLook w:firstColumn="1" w:firstRow="1" w:lastColumn="0" w:lastRow="0" w:noHBand="0" w:noVBand="1" w:val="04A0"/>
        <w:tblInd w:w="120" w:type="dxa"/>
      </w:tblPr>
      <w:tblGrid>
        <w:gridCol w:w="1368"/>
        <w:gridCol w:w="3672"/>
        <w:gridCol w:w="2880"/>
        <w:gridCol w:w="1440"/>
      </w:tblGrid>
      <w:tr>
        <w:trPr>
          <w:tblHeader w:val="true"/>
          <w:cantSplit/>
        </w:trPr>
        <w:tc>
          <w:tcPr>
            <w:tcW w:type="dxa" w:w="1368"/>
            <w:tcMar>
              <w:top w:w="80" w:type="dxa"/>
              <w:start w:w="120" w:type="dxa"/>
              <w:bottom w:w="80" w:type="dxa"/>
              <w:end w:w="120" w:type="dxa"/>
            </w:tcMar>
            <w:vAlign w:val="center"/>
            <w:shd w:fill="F2F4F7"/>
          </w:tcPr>
          <w:p>
            <w:pPr>
              <w:spacing w:before="0" w:after="0"/>
            </w:pPr>
            <w:r/>
            <w:r>
              <w:rPr>
                <w:rFonts w:ascii="Calibri" w:hAnsi="Calibri"/>
                <w:b/>
                <w:i w:val="0"/>
                <w:color w:val="17233F"/>
                <w:sz w:val="17"/>
              </w:rPr>
              <w:t>ID</w:t>
            </w:r>
          </w:p>
        </w:tc>
        <w:tc>
          <w:tcPr>
            <w:tcW w:type="dxa" w:w="3672"/>
            <w:tcMar>
              <w:top w:w="80" w:type="dxa"/>
              <w:start w:w="120" w:type="dxa"/>
              <w:bottom w:w="80" w:type="dxa"/>
              <w:end w:w="120" w:type="dxa"/>
            </w:tcMar>
            <w:vAlign w:val="center"/>
            <w:shd w:fill="F2F4F7"/>
          </w:tcPr>
          <w:p>
            <w:pPr>
              <w:spacing w:before="0" w:after="0"/>
            </w:pPr>
            <w:r/>
            <w:r>
              <w:rPr>
                <w:rFonts w:ascii="Calibri" w:hAnsi="Calibri"/>
                <w:b/>
                <w:i w:val="0"/>
                <w:color w:val="17233F"/>
                <w:sz w:val="17"/>
              </w:rPr>
              <w:t>Requirement</w:t>
            </w:r>
          </w:p>
        </w:tc>
        <w:tc>
          <w:tcPr>
            <w:tcW w:type="dxa" w:w="2880"/>
            <w:tcMar>
              <w:top w:w="80" w:type="dxa"/>
              <w:start w:w="120" w:type="dxa"/>
              <w:bottom w:w="80" w:type="dxa"/>
              <w:end w:w="120" w:type="dxa"/>
            </w:tcMar>
            <w:vAlign w:val="center"/>
            <w:shd w:fill="F2F4F7"/>
          </w:tcPr>
          <w:p>
            <w:pPr>
              <w:spacing w:before="0" w:after="0"/>
            </w:pPr>
            <w:r/>
            <w:r>
              <w:rPr>
                <w:rFonts w:ascii="Calibri" w:hAnsi="Calibri"/>
                <w:b/>
                <w:i w:val="0"/>
                <w:color w:val="17233F"/>
                <w:sz w:val="17"/>
              </w:rPr>
              <w:t>Acceptance criterion</w:t>
            </w:r>
          </w:p>
        </w:tc>
        <w:tc>
          <w:tcPr>
            <w:tcW w:type="dxa" w:w="1440"/>
            <w:tcMar>
              <w:top w:w="80" w:type="dxa"/>
              <w:start w:w="120" w:type="dxa"/>
              <w:bottom w:w="80" w:type="dxa"/>
              <w:end w:w="120" w:type="dxa"/>
            </w:tcMar>
            <w:vAlign w:val="center"/>
            <w:shd w:fill="F2F4F7"/>
          </w:tcPr>
          <w:p>
            <w:pPr>
              <w:spacing w:before="0" w:after="0"/>
            </w:pPr>
            <w:r/>
            <w:r>
              <w:rPr>
                <w:rFonts w:ascii="Calibri" w:hAnsi="Calibri"/>
                <w:b/>
                <w:i w:val="0"/>
                <w:color w:val="17233F"/>
                <w:sz w:val="17"/>
              </w:rPr>
              <w:t>Reference status</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OSIEL-REQ-001</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The system shall optimize research prioritization, not clinical decisions.</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Every prediction and experiment response carries a research-use notice; prohibited claims are absent.</w:t>
            </w:r>
          </w:p>
        </w:tc>
        <w:tc>
          <w:tcPr>
            <w:tcW w:type="dxa" w:w="1440"/>
            <w:tcMar>
              <w:top w:w="80" w:type="dxa"/>
              <w:start w:w="120" w:type="dxa"/>
              <w:bottom w:w="80" w:type="dxa"/>
              <w:end w:w="120" w:type="dxa"/>
            </w:tcMar>
            <w:vAlign w:val="center"/>
            <w:shd w:fill="EAF8F4"/>
          </w:tcPr>
          <w:p>
            <w:pPr>
              <w:spacing w:before="0" w:after="0"/>
            </w:pPr>
            <w:r/>
            <w:r>
              <w:rPr>
                <w:rFonts w:ascii="Calibri" w:hAnsi="Calibri"/>
                <w:b w:val="0"/>
                <w:i w:val="0"/>
                <w:color w:val="303846"/>
                <w:sz w:val="16"/>
              </w:rPr>
              <w:t>Implemented</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OSIEL-REQ-002</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The system shall partition data and actions by organisation, workspace, project, and study.</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Production queries enforce tenant and project scope; cross-tenant access tests fail closed.</w:t>
            </w:r>
          </w:p>
        </w:tc>
        <w:tc>
          <w:tcPr>
            <w:tcW w:type="dxa" w:w="1440"/>
            <w:tcMar>
              <w:top w:w="80" w:type="dxa"/>
              <w:start w:w="120" w:type="dxa"/>
              <w:bottom w:w="80" w:type="dxa"/>
              <w:end w:w="120" w:type="dxa"/>
            </w:tcMar>
            <w:vAlign w:val="center"/>
            <w:shd w:fill="FFF5DE"/>
          </w:tcPr>
          <w:p>
            <w:pPr>
              <w:spacing w:before="0" w:after="0"/>
            </w:pPr>
            <w:r/>
            <w:r>
              <w:rPr>
                <w:rFonts w:ascii="Calibri" w:hAnsi="Calibri"/>
                <w:b w:val="0"/>
                <w:i w:val="0"/>
                <w:color w:val="303846"/>
                <w:sz w:val="16"/>
              </w:rPr>
              <w:t>Contract</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OSIEL-REQ-003</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The system shall maintain a governed task registry.</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Each task records biological context, endpoint, unit, label rule, split policy, and version.</w:t>
            </w:r>
          </w:p>
        </w:tc>
        <w:tc>
          <w:tcPr>
            <w:tcW w:type="dxa" w:w="1440"/>
            <w:tcMar>
              <w:top w:w="80" w:type="dxa"/>
              <w:start w:w="120" w:type="dxa"/>
              <w:bottom w:w="80" w:type="dxa"/>
              <w:end w:w="120" w:type="dxa"/>
            </w:tcMar>
            <w:vAlign w:val="center"/>
            <w:shd w:fill="FFF5DE"/>
          </w:tcPr>
          <w:p>
            <w:pPr>
              <w:spacing w:before="0" w:after="0"/>
            </w:pPr>
            <w:r/>
            <w:r>
              <w:rPr>
                <w:rFonts w:ascii="Calibri" w:hAnsi="Calibri"/>
                <w:b w:val="0"/>
                <w:i w:val="0"/>
                <w:color w:val="303846"/>
                <w:sz w:val="16"/>
              </w:rPr>
              <w:t>Partial</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OSIEL-REQ-004</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Cancer types, cell lines, tissues, organisms, and assay systems shall use controlled identifiers with aliases.</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Unknown terms are mapped, flagged, or quarantined; raw values remain preserved.</w:t>
            </w:r>
          </w:p>
        </w:tc>
        <w:tc>
          <w:tcPr>
            <w:tcW w:type="dxa" w:w="1440"/>
            <w:tcMar>
              <w:top w:w="80" w:type="dxa"/>
              <w:start w:w="120" w:type="dxa"/>
              <w:bottom w:w="80" w:type="dxa"/>
              <w:end w:w="120" w:type="dxa"/>
            </w:tcMar>
            <w:vAlign w:val="center"/>
            <w:shd w:fill="FFF5DE"/>
          </w:tcPr>
          <w:p>
            <w:pPr>
              <w:spacing w:before="0" w:after="0"/>
            </w:pPr>
            <w:r/>
            <w:r>
              <w:rPr>
                <w:rFonts w:ascii="Calibri" w:hAnsi="Calibri"/>
                <w:b w:val="0"/>
                <w:i w:val="0"/>
                <w:color w:val="303846"/>
                <w:sz w:val="16"/>
              </w:rPr>
              <w:t>Contract</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OSIEL-REQ-005</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Compound origin shall be stored separately from chemical identity.</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The same standardized parent can carry distinct source and origin records without creating false structural uniqueness.</w:t>
            </w:r>
          </w:p>
        </w:tc>
        <w:tc>
          <w:tcPr>
            <w:tcW w:type="dxa" w:w="1440"/>
            <w:tcMar>
              <w:top w:w="80" w:type="dxa"/>
              <w:start w:w="120" w:type="dxa"/>
              <w:bottom w:w="80" w:type="dxa"/>
              <w:end w:w="120" w:type="dxa"/>
            </w:tcMar>
            <w:vAlign w:val="center"/>
            <w:shd w:fill="EAF8F4"/>
          </w:tcPr>
          <w:p>
            <w:pPr>
              <w:spacing w:before="0" w:after="0"/>
            </w:pPr>
            <w:r/>
            <w:r>
              <w:rPr>
                <w:rFonts w:ascii="Calibri" w:hAnsi="Calibri"/>
                <w:b w:val="0"/>
                <w:i w:val="0"/>
                <w:color w:val="303846"/>
                <w:sz w:val="16"/>
              </w:rPr>
              <w:t>Implemented</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OSIEL-REQ-006</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Online inference and offline ingestion/training shall be separate execution paths.</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No inference endpoint can mutate a dataset, start training, or replace a model.</w:t>
            </w:r>
          </w:p>
        </w:tc>
        <w:tc>
          <w:tcPr>
            <w:tcW w:type="dxa" w:w="1440"/>
            <w:tcMar>
              <w:top w:w="80" w:type="dxa"/>
              <w:start w:w="120" w:type="dxa"/>
              <w:bottom w:w="80" w:type="dxa"/>
              <w:end w:w="120" w:type="dxa"/>
            </w:tcMar>
            <w:vAlign w:val="center"/>
            <w:shd w:fill="EAF8F4"/>
          </w:tcPr>
          <w:p>
            <w:pPr>
              <w:spacing w:before="0" w:after="0"/>
            </w:pPr>
            <w:r/>
            <w:r>
              <w:rPr>
                <w:rFonts w:ascii="Calibri" w:hAnsi="Calibri"/>
                <w:b w:val="0"/>
                <w:i w:val="0"/>
                <w:color w:val="303846"/>
                <w:sz w:val="16"/>
              </w:rPr>
              <w:t>Implemented boundary</w:t>
            </w:r>
          </w:p>
        </w:tc>
      </w:tr>
    </w:tbl>
    <w:p>
      <w:pPr>
        <w:spacing w:after="0"/>
      </w:pPr>
    </w:p>
    <w:p>
      <w:pPr>
        <w:pStyle w:val="Heading2"/>
      </w:pPr>
      <w:r>
        <w:t>6.2 Source acquisition and provenance</w:t>
      </w:r>
    </w:p>
    <w:tbl>
      <w:tblPr>
        <w:tblStyle w:val="TableGrid"/>
        <w:tblW w:type="dxa" w:w="9360"/>
        <w:jc w:val="left"/>
        <w:tblLayout w:type="fixed"/>
        <w:tblLook w:firstColumn="1" w:firstRow="1" w:lastColumn="0" w:lastRow="0" w:noHBand="0" w:noVBand="1" w:val="04A0"/>
        <w:tblInd w:w="120" w:type="dxa"/>
      </w:tblPr>
      <w:tblGrid>
        <w:gridCol w:w="1368"/>
        <w:gridCol w:w="3672"/>
        <w:gridCol w:w="2880"/>
        <w:gridCol w:w="1440"/>
      </w:tblGrid>
      <w:tr>
        <w:trPr>
          <w:tblHeader w:val="true"/>
          <w:cantSplit/>
        </w:trPr>
        <w:tc>
          <w:tcPr>
            <w:tcW w:type="dxa" w:w="1368"/>
            <w:tcMar>
              <w:top w:w="80" w:type="dxa"/>
              <w:start w:w="120" w:type="dxa"/>
              <w:bottom w:w="80" w:type="dxa"/>
              <w:end w:w="120" w:type="dxa"/>
            </w:tcMar>
            <w:vAlign w:val="center"/>
            <w:shd w:fill="F2F4F7"/>
          </w:tcPr>
          <w:p>
            <w:pPr>
              <w:spacing w:before="0" w:after="0"/>
            </w:pPr>
            <w:r/>
            <w:r>
              <w:rPr>
                <w:rFonts w:ascii="Calibri" w:hAnsi="Calibri"/>
                <w:b/>
                <w:i w:val="0"/>
                <w:color w:val="17233F"/>
                <w:sz w:val="17"/>
              </w:rPr>
              <w:t>ID</w:t>
            </w:r>
          </w:p>
        </w:tc>
        <w:tc>
          <w:tcPr>
            <w:tcW w:type="dxa" w:w="3672"/>
            <w:tcMar>
              <w:top w:w="80" w:type="dxa"/>
              <w:start w:w="120" w:type="dxa"/>
              <w:bottom w:w="80" w:type="dxa"/>
              <w:end w:w="120" w:type="dxa"/>
            </w:tcMar>
            <w:vAlign w:val="center"/>
            <w:shd w:fill="F2F4F7"/>
          </w:tcPr>
          <w:p>
            <w:pPr>
              <w:spacing w:before="0" w:after="0"/>
            </w:pPr>
            <w:r/>
            <w:r>
              <w:rPr>
                <w:rFonts w:ascii="Calibri" w:hAnsi="Calibri"/>
                <w:b/>
                <w:i w:val="0"/>
                <w:color w:val="17233F"/>
                <w:sz w:val="17"/>
              </w:rPr>
              <w:t>Requirement</w:t>
            </w:r>
          </w:p>
        </w:tc>
        <w:tc>
          <w:tcPr>
            <w:tcW w:type="dxa" w:w="2880"/>
            <w:tcMar>
              <w:top w:w="80" w:type="dxa"/>
              <w:start w:w="120" w:type="dxa"/>
              <w:bottom w:w="80" w:type="dxa"/>
              <w:end w:w="120" w:type="dxa"/>
            </w:tcMar>
            <w:vAlign w:val="center"/>
            <w:shd w:fill="F2F4F7"/>
          </w:tcPr>
          <w:p>
            <w:pPr>
              <w:spacing w:before="0" w:after="0"/>
            </w:pPr>
            <w:r/>
            <w:r>
              <w:rPr>
                <w:rFonts w:ascii="Calibri" w:hAnsi="Calibri"/>
                <w:b/>
                <w:i w:val="0"/>
                <w:color w:val="17233F"/>
                <w:sz w:val="17"/>
              </w:rPr>
              <w:t>Acceptance criterion</w:t>
            </w:r>
          </w:p>
        </w:tc>
        <w:tc>
          <w:tcPr>
            <w:tcW w:type="dxa" w:w="1440"/>
            <w:tcMar>
              <w:top w:w="80" w:type="dxa"/>
              <w:start w:w="120" w:type="dxa"/>
              <w:bottom w:w="80" w:type="dxa"/>
              <w:end w:w="120" w:type="dxa"/>
            </w:tcMar>
            <w:vAlign w:val="center"/>
            <w:shd w:fill="F2F4F7"/>
          </w:tcPr>
          <w:p>
            <w:pPr>
              <w:spacing w:before="0" w:after="0"/>
            </w:pPr>
            <w:r/>
            <w:r>
              <w:rPr>
                <w:rFonts w:ascii="Calibri" w:hAnsi="Calibri"/>
                <w:b/>
                <w:i w:val="0"/>
                <w:color w:val="17233F"/>
                <w:sz w:val="17"/>
              </w:rPr>
              <w:t>Reference status</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OSIEL-REQ-007</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The system shall maintain a source registry covering owner, purpose, endpoint, mode, licence, and citation.</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GET /v1/sources returns registered metadata.</w:t>
            </w:r>
          </w:p>
        </w:tc>
        <w:tc>
          <w:tcPr>
            <w:tcW w:type="dxa" w:w="1440"/>
            <w:tcMar>
              <w:top w:w="80" w:type="dxa"/>
              <w:start w:w="120" w:type="dxa"/>
              <w:bottom w:w="80" w:type="dxa"/>
              <w:end w:w="120" w:type="dxa"/>
            </w:tcMar>
            <w:vAlign w:val="center"/>
            <w:shd w:fill="EAF8F4"/>
          </w:tcPr>
          <w:p>
            <w:pPr>
              <w:spacing w:before="0" w:after="0"/>
            </w:pPr>
            <w:r/>
            <w:r>
              <w:rPr>
                <w:rFonts w:ascii="Calibri" w:hAnsi="Calibri"/>
                <w:b w:val="0"/>
                <w:i w:val="0"/>
                <w:color w:val="303846"/>
                <w:sz w:val="16"/>
              </w:rPr>
              <w:t>Implemented</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OSIEL-REQ-008</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Each ingestion shall bind to an immutable source release or retrieval timestamp.</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The release identifier is present in the manifest and lineage.</w:t>
            </w:r>
          </w:p>
        </w:tc>
        <w:tc>
          <w:tcPr>
            <w:tcW w:type="dxa" w:w="1440"/>
            <w:tcMar>
              <w:top w:w="80" w:type="dxa"/>
              <w:start w:w="120" w:type="dxa"/>
              <w:bottom w:w="80" w:type="dxa"/>
              <w:end w:w="120" w:type="dxa"/>
            </w:tcMar>
            <w:vAlign w:val="center"/>
            <w:shd w:fill="FFF5DE"/>
          </w:tcPr>
          <w:p>
            <w:pPr>
              <w:spacing w:before="0" w:after="0"/>
            </w:pPr>
            <w:r/>
            <w:r>
              <w:rPr>
                <w:rFonts w:ascii="Calibri" w:hAnsi="Calibri"/>
                <w:b w:val="0"/>
                <w:i w:val="0"/>
                <w:color w:val="303846"/>
                <w:sz w:val="16"/>
              </w:rPr>
              <w:t>Contract</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OSIEL-REQ-009</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Raw files and API payloads shall be protected by checksums and manifests.</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 changed payload produces a different checksum and cannot silently overwrite a release.</w:t>
            </w:r>
          </w:p>
        </w:tc>
        <w:tc>
          <w:tcPr>
            <w:tcW w:type="dxa" w:w="1440"/>
            <w:tcMar>
              <w:top w:w="80" w:type="dxa"/>
              <w:start w:w="120" w:type="dxa"/>
              <w:bottom w:w="80" w:type="dxa"/>
              <w:end w:w="120" w:type="dxa"/>
            </w:tcMar>
            <w:vAlign w:val="center"/>
            <w:shd w:fill="FFF5DE"/>
          </w:tcPr>
          <w:p>
            <w:pPr>
              <w:spacing w:before="0" w:after="0"/>
            </w:pPr>
            <w:r/>
            <w:r>
              <w:rPr>
                <w:rFonts w:ascii="Calibri" w:hAnsi="Calibri"/>
                <w:b w:val="0"/>
                <w:i w:val="0"/>
                <w:color w:val="303846"/>
                <w:sz w:val="16"/>
              </w:rPr>
              <w:t>Contract</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OSIEL-REQ-010</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Acquisition shall prefer official APIs or approved bulk releases.</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PubChem and ChEMBL connectors use their official interfaces; bulk-only sources require approved manifests.</w:t>
            </w:r>
          </w:p>
        </w:tc>
        <w:tc>
          <w:tcPr>
            <w:tcW w:type="dxa" w:w="1440"/>
            <w:tcMar>
              <w:top w:w="80" w:type="dxa"/>
              <w:start w:w="120" w:type="dxa"/>
              <w:bottom w:w="80" w:type="dxa"/>
              <w:end w:w="120" w:type="dxa"/>
            </w:tcMar>
            <w:vAlign w:val="center"/>
            <w:shd w:fill="FFF5DE"/>
          </w:tcPr>
          <w:p>
            <w:pPr>
              <w:spacing w:before="0" w:after="0"/>
            </w:pPr>
            <w:r/>
            <w:r>
              <w:rPr>
                <w:rFonts w:ascii="Calibri" w:hAnsi="Calibri"/>
                <w:b w:val="0"/>
                <w:i w:val="0"/>
                <w:color w:val="303846"/>
                <w:sz w:val="16"/>
              </w:rPr>
              <w:t>Partial</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OSIEL-REQ-011</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Raw source data shall be preserved before transformation.</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 curator can trace a standardized record back to the immutable raw record.</w:t>
            </w:r>
          </w:p>
        </w:tc>
        <w:tc>
          <w:tcPr>
            <w:tcW w:type="dxa" w:w="1440"/>
            <w:tcMar>
              <w:top w:w="80" w:type="dxa"/>
              <w:start w:w="120" w:type="dxa"/>
              <w:bottom w:w="80" w:type="dxa"/>
              <w:end w:w="120" w:type="dxa"/>
            </w:tcMar>
            <w:vAlign w:val="center"/>
            <w:shd w:fill="FFF5DE"/>
          </w:tcPr>
          <w:p>
            <w:pPr>
              <w:spacing w:before="0" w:after="0"/>
            </w:pPr>
            <w:r/>
            <w:r>
              <w:rPr>
                <w:rFonts w:ascii="Calibri" w:hAnsi="Calibri"/>
                <w:b w:val="0"/>
                <w:i w:val="0"/>
                <w:color w:val="303846"/>
                <w:sz w:val="16"/>
              </w:rPr>
              <w:t>Contract</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OSIEL-REQ-012</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Source refresh shall support idempotent incremental synchronization.</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Reprocessing the same manifest does not duplicate identity or assay records.</w:t>
            </w:r>
          </w:p>
        </w:tc>
        <w:tc>
          <w:tcPr>
            <w:tcW w:type="dxa" w:w="1440"/>
            <w:tcMar>
              <w:top w:w="80" w:type="dxa"/>
              <w:start w:w="120" w:type="dxa"/>
              <w:bottom w:w="80" w:type="dxa"/>
              <w:end w:w="120" w:type="dxa"/>
            </w:tcMar>
            <w:vAlign w:val="center"/>
            <w:shd w:fill="FFF5DE"/>
          </w:tcPr>
          <w:p>
            <w:pPr>
              <w:spacing w:before="0" w:after="0"/>
            </w:pPr>
            <w:r/>
            <w:r>
              <w:rPr>
                <w:rFonts w:ascii="Calibri" w:hAnsi="Calibri"/>
                <w:b w:val="0"/>
                <w:i w:val="0"/>
                <w:color w:val="303846"/>
                <w:sz w:val="16"/>
              </w:rPr>
              <w:t>Contract</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OSIEL-REQ-013</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Every derived record shall retain source-to-standardized field lineage.</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Lineage resolves source record, transform version, timestamp, and actor.</w:t>
            </w:r>
          </w:p>
        </w:tc>
        <w:tc>
          <w:tcPr>
            <w:tcW w:type="dxa" w:w="1440"/>
            <w:tcMar>
              <w:top w:w="80" w:type="dxa"/>
              <w:start w:w="120" w:type="dxa"/>
              <w:bottom w:w="80" w:type="dxa"/>
              <w:end w:w="120" w:type="dxa"/>
            </w:tcMar>
            <w:vAlign w:val="center"/>
            <w:shd w:fill="FFF5DE"/>
          </w:tcPr>
          <w:p>
            <w:pPr>
              <w:spacing w:before="0" w:after="0"/>
            </w:pPr>
            <w:r/>
            <w:r>
              <w:rPr>
                <w:rFonts w:ascii="Calibri" w:hAnsi="Calibri"/>
                <w:b w:val="0"/>
                <w:i w:val="0"/>
                <w:color w:val="303846"/>
                <w:sz w:val="16"/>
              </w:rPr>
              <w:t>Partial</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OSIEL-REQ-014</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Licence, attribution, redistribution, and export restrictions shall be enforced per source.</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 source cannot be synchronized or exported without an approved licence policy.</w:t>
            </w:r>
          </w:p>
        </w:tc>
        <w:tc>
          <w:tcPr>
            <w:tcW w:type="dxa" w:w="1440"/>
            <w:tcMar>
              <w:top w:w="80" w:type="dxa"/>
              <w:start w:w="120" w:type="dxa"/>
              <w:bottom w:w="80" w:type="dxa"/>
              <w:end w:w="120" w:type="dxa"/>
            </w:tcMar>
            <w:vAlign w:val="center"/>
            <w:shd w:fill="FFF5DE"/>
          </w:tcPr>
          <w:p>
            <w:pPr>
              <w:spacing w:before="0" w:after="0"/>
            </w:pPr>
            <w:r/>
            <w:r>
              <w:rPr>
                <w:rFonts w:ascii="Calibri" w:hAnsi="Calibri"/>
                <w:b w:val="0"/>
                <w:i w:val="0"/>
                <w:color w:val="303846"/>
                <w:sz w:val="16"/>
              </w:rPr>
              <w:t>Contract</w:t>
            </w:r>
          </w:p>
        </w:tc>
      </w:tr>
    </w:tbl>
    <w:p>
      <w:pPr>
        <w:spacing w:after="0"/>
      </w:pPr>
    </w:p>
    <w:p>
      <w:pPr>
        <w:pStyle w:val="Heading2"/>
      </w:pPr>
      <w:r>
        <w:t>6.3 Chemical identity and standardization</w:t>
      </w:r>
    </w:p>
    <w:tbl>
      <w:tblPr>
        <w:tblStyle w:val="TableGrid"/>
        <w:tblW w:type="dxa" w:w="9360"/>
        <w:jc w:val="left"/>
        <w:tblLayout w:type="fixed"/>
        <w:tblLook w:firstColumn="1" w:firstRow="1" w:lastColumn="0" w:lastRow="0" w:noHBand="0" w:noVBand="1" w:val="04A0"/>
        <w:tblInd w:w="120" w:type="dxa"/>
      </w:tblPr>
      <w:tblGrid>
        <w:gridCol w:w="1368"/>
        <w:gridCol w:w="3672"/>
        <w:gridCol w:w="2880"/>
        <w:gridCol w:w="1440"/>
      </w:tblGrid>
      <w:tr>
        <w:trPr>
          <w:tblHeader w:val="true"/>
          <w:cantSplit/>
        </w:trPr>
        <w:tc>
          <w:tcPr>
            <w:tcW w:type="dxa" w:w="1368"/>
            <w:tcMar>
              <w:top w:w="80" w:type="dxa"/>
              <w:start w:w="120" w:type="dxa"/>
              <w:bottom w:w="80" w:type="dxa"/>
              <w:end w:w="120" w:type="dxa"/>
            </w:tcMar>
            <w:vAlign w:val="center"/>
            <w:shd w:fill="F2F4F7"/>
          </w:tcPr>
          <w:p>
            <w:pPr>
              <w:spacing w:before="0" w:after="0"/>
            </w:pPr>
            <w:r/>
            <w:r>
              <w:rPr>
                <w:rFonts w:ascii="Calibri" w:hAnsi="Calibri"/>
                <w:b/>
                <w:i w:val="0"/>
                <w:color w:val="17233F"/>
                <w:sz w:val="17"/>
              </w:rPr>
              <w:t>ID</w:t>
            </w:r>
          </w:p>
        </w:tc>
        <w:tc>
          <w:tcPr>
            <w:tcW w:type="dxa" w:w="3672"/>
            <w:tcMar>
              <w:top w:w="80" w:type="dxa"/>
              <w:start w:w="120" w:type="dxa"/>
              <w:bottom w:w="80" w:type="dxa"/>
              <w:end w:w="120" w:type="dxa"/>
            </w:tcMar>
            <w:vAlign w:val="center"/>
            <w:shd w:fill="F2F4F7"/>
          </w:tcPr>
          <w:p>
            <w:pPr>
              <w:spacing w:before="0" w:after="0"/>
            </w:pPr>
            <w:r/>
            <w:r>
              <w:rPr>
                <w:rFonts w:ascii="Calibri" w:hAnsi="Calibri"/>
                <w:b/>
                <w:i w:val="0"/>
                <w:color w:val="17233F"/>
                <w:sz w:val="17"/>
              </w:rPr>
              <w:t>Requirement</w:t>
            </w:r>
          </w:p>
        </w:tc>
        <w:tc>
          <w:tcPr>
            <w:tcW w:type="dxa" w:w="2880"/>
            <w:tcMar>
              <w:top w:w="80" w:type="dxa"/>
              <w:start w:w="120" w:type="dxa"/>
              <w:bottom w:w="80" w:type="dxa"/>
              <w:end w:w="120" w:type="dxa"/>
            </w:tcMar>
            <w:vAlign w:val="center"/>
            <w:shd w:fill="F2F4F7"/>
          </w:tcPr>
          <w:p>
            <w:pPr>
              <w:spacing w:before="0" w:after="0"/>
            </w:pPr>
            <w:r/>
            <w:r>
              <w:rPr>
                <w:rFonts w:ascii="Calibri" w:hAnsi="Calibri"/>
                <w:b/>
                <w:i w:val="0"/>
                <w:color w:val="17233F"/>
                <w:sz w:val="17"/>
              </w:rPr>
              <w:t>Acceptance criterion</w:t>
            </w:r>
          </w:p>
        </w:tc>
        <w:tc>
          <w:tcPr>
            <w:tcW w:type="dxa" w:w="1440"/>
            <w:tcMar>
              <w:top w:w="80" w:type="dxa"/>
              <w:start w:w="120" w:type="dxa"/>
              <w:bottom w:w="80" w:type="dxa"/>
              <w:end w:w="120" w:type="dxa"/>
            </w:tcMar>
            <w:vAlign w:val="center"/>
            <w:shd w:fill="F2F4F7"/>
          </w:tcPr>
          <w:p>
            <w:pPr>
              <w:spacing w:before="0" w:after="0"/>
            </w:pPr>
            <w:r/>
            <w:r>
              <w:rPr>
                <w:rFonts w:ascii="Calibri" w:hAnsi="Calibri"/>
                <w:b/>
                <w:i w:val="0"/>
                <w:color w:val="17233F"/>
                <w:sz w:val="17"/>
              </w:rPr>
              <w:t>Reference status</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OSIEL-REQ-015</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The engine shall parse SMILES and supported structure formats.</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Valid SMILES produces a molecule and descriptors; invalid input returns a structured error.</w:t>
            </w:r>
          </w:p>
        </w:tc>
        <w:tc>
          <w:tcPr>
            <w:tcW w:type="dxa" w:w="1440"/>
            <w:tcMar>
              <w:top w:w="80" w:type="dxa"/>
              <w:start w:w="120" w:type="dxa"/>
              <w:bottom w:w="80" w:type="dxa"/>
              <w:end w:w="120" w:type="dxa"/>
            </w:tcMar>
            <w:vAlign w:val="center"/>
            <w:shd w:fill="EAF8F4"/>
          </w:tcPr>
          <w:p>
            <w:pPr>
              <w:spacing w:before="0" w:after="0"/>
            </w:pPr>
            <w:r/>
            <w:r>
              <w:rPr>
                <w:rFonts w:ascii="Calibri" w:hAnsi="Calibri"/>
                <w:b w:val="0"/>
                <w:i w:val="0"/>
                <w:color w:val="303846"/>
                <w:sz w:val="16"/>
              </w:rPr>
              <w:t>Implemented</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OSIEL-REQ-016</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Invalid or chemically ambiguous records shall be quarantined with reasons.</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Quarantine audit records include the submitted value and machine-readable reason.</w:t>
            </w:r>
          </w:p>
        </w:tc>
        <w:tc>
          <w:tcPr>
            <w:tcW w:type="dxa" w:w="1440"/>
            <w:tcMar>
              <w:top w:w="80" w:type="dxa"/>
              <w:start w:w="120" w:type="dxa"/>
              <w:bottom w:w="80" w:type="dxa"/>
              <w:end w:w="120" w:type="dxa"/>
            </w:tcMar>
            <w:vAlign w:val="center"/>
            <w:shd w:fill="EAF8F4"/>
          </w:tcPr>
          <w:p>
            <w:pPr>
              <w:spacing w:before="0" w:after="0"/>
            </w:pPr>
            <w:r/>
            <w:r>
              <w:rPr>
                <w:rFonts w:ascii="Calibri" w:hAnsi="Calibri"/>
                <w:b w:val="0"/>
                <w:i w:val="0"/>
                <w:color w:val="303846"/>
                <w:sz w:val="16"/>
              </w:rPr>
              <w:t>Implemented</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OSIEL-REQ-017</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Salt, solvent, counter-ion, and fragment handling shall be explicit and versioned.</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Raw and parent structures are both retained with transformation notes.</w:t>
            </w:r>
          </w:p>
        </w:tc>
        <w:tc>
          <w:tcPr>
            <w:tcW w:type="dxa" w:w="1440"/>
            <w:tcMar>
              <w:top w:w="80" w:type="dxa"/>
              <w:start w:w="120" w:type="dxa"/>
              <w:bottom w:w="80" w:type="dxa"/>
              <w:end w:w="120" w:type="dxa"/>
            </w:tcMar>
            <w:vAlign w:val="center"/>
            <w:shd w:fill="EAF8F4"/>
          </w:tcPr>
          <w:p>
            <w:pPr>
              <w:spacing w:before="0" w:after="0"/>
            </w:pPr>
            <w:r/>
            <w:r>
              <w:rPr>
                <w:rFonts w:ascii="Calibri" w:hAnsi="Calibri"/>
                <w:b w:val="0"/>
                <w:i w:val="0"/>
                <w:color w:val="303846"/>
                <w:sz w:val="16"/>
              </w:rPr>
              <w:t>Implemented</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OSIEL-REQ-018</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Charge, aromaticity, hydrogen, and valence normalization shall be deterministic.</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Repeated processing under the same standardization version yields identical identity.</w:t>
            </w:r>
          </w:p>
        </w:tc>
        <w:tc>
          <w:tcPr>
            <w:tcW w:type="dxa" w:w="1440"/>
            <w:tcMar>
              <w:top w:w="80" w:type="dxa"/>
              <w:start w:w="120" w:type="dxa"/>
              <w:bottom w:w="80" w:type="dxa"/>
              <w:end w:w="120" w:type="dxa"/>
            </w:tcMar>
            <w:vAlign w:val="center"/>
            <w:shd w:fill="EAF8F4"/>
          </w:tcPr>
          <w:p>
            <w:pPr>
              <w:spacing w:before="0" w:after="0"/>
            </w:pPr>
            <w:r/>
            <w:r>
              <w:rPr>
                <w:rFonts w:ascii="Calibri" w:hAnsi="Calibri"/>
                <w:b w:val="0"/>
                <w:i w:val="0"/>
                <w:color w:val="303846"/>
                <w:sz w:val="16"/>
              </w:rPr>
              <w:t>Implemented</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OSIEL-REQ-019</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Stereochemistry shall be preserved and its completeness reported.</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Defined, undefined, and absent stereo states are distinguishable.</w:t>
            </w:r>
          </w:p>
        </w:tc>
        <w:tc>
          <w:tcPr>
            <w:tcW w:type="dxa" w:w="1440"/>
            <w:tcMar>
              <w:top w:w="80" w:type="dxa"/>
              <w:start w:w="120" w:type="dxa"/>
              <w:bottom w:w="80" w:type="dxa"/>
              <w:end w:w="120" w:type="dxa"/>
            </w:tcMar>
            <w:vAlign w:val="center"/>
            <w:shd w:fill="EAF8F4"/>
          </w:tcPr>
          <w:p>
            <w:pPr>
              <w:spacing w:before="0" w:after="0"/>
            </w:pPr>
            <w:r/>
            <w:r>
              <w:rPr>
                <w:rFonts w:ascii="Calibri" w:hAnsi="Calibri"/>
                <w:b w:val="0"/>
                <w:i w:val="0"/>
                <w:color w:val="303846"/>
                <w:sz w:val="16"/>
              </w:rPr>
              <w:t>Implemented</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OSIEL-REQ-020</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Canonical SMILES, InChI, InChIKey, formula, and descriptors shall be calculated for the standardized parent.</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Standardization response contains all required fields and a version.</w:t>
            </w:r>
          </w:p>
        </w:tc>
        <w:tc>
          <w:tcPr>
            <w:tcW w:type="dxa" w:w="1440"/>
            <w:tcMar>
              <w:top w:w="80" w:type="dxa"/>
              <w:start w:w="120" w:type="dxa"/>
              <w:bottom w:w="80" w:type="dxa"/>
              <w:end w:w="120" w:type="dxa"/>
            </w:tcMar>
            <w:vAlign w:val="center"/>
            <w:shd w:fill="EAF8F4"/>
          </w:tcPr>
          <w:p>
            <w:pPr>
              <w:spacing w:before="0" w:after="0"/>
            </w:pPr>
            <w:r/>
            <w:r>
              <w:rPr>
                <w:rFonts w:ascii="Calibri" w:hAnsi="Calibri"/>
                <w:b w:val="0"/>
                <w:i w:val="0"/>
                <w:color w:val="303846"/>
                <w:sz w:val="16"/>
              </w:rPr>
              <w:t>Implemented</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OSIEL-REQ-021</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Duplicate resolution shall distinguish exact, connectivity, tautomer, and possible-related identity levels.</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Deduplication never silently merges stereoisomers or uncertain tautomers.</w:t>
            </w:r>
          </w:p>
        </w:tc>
        <w:tc>
          <w:tcPr>
            <w:tcW w:type="dxa" w:w="1440"/>
            <w:tcMar>
              <w:top w:w="80" w:type="dxa"/>
              <w:start w:w="120" w:type="dxa"/>
              <w:bottom w:w="80" w:type="dxa"/>
              <w:end w:w="120" w:type="dxa"/>
            </w:tcMar>
            <w:vAlign w:val="center"/>
            <w:shd w:fill="FFF5DE"/>
          </w:tcPr>
          <w:p>
            <w:pPr>
              <w:spacing w:before="0" w:after="0"/>
            </w:pPr>
            <w:r/>
            <w:r>
              <w:rPr>
                <w:rFonts w:ascii="Calibri" w:hAnsi="Calibri"/>
                <w:b w:val="0"/>
                <w:i w:val="0"/>
                <w:color w:val="303846"/>
                <w:sz w:val="16"/>
              </w:rPr>
              <w:t>Partial</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OSIEL-REQ-022</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Users shall search by name, alias, identifier, structure, substructure, and similarity.</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Text search works in the reference; production RDKit cartridge supports structure queries.</w:t>
            </w:r>
          </w:p>
        </w:tc>
        <w:tc>
          <w:tcPr>
            <w:tcW w:type="dxa" w:w="1440"/>
            <w:tcMar>
              <w:top w:w="80" w:type="dxa"/>
              <w:start w:w="120" w:type="dxa"/>
              <w:bottom w:w="80" w:type="dxa"/>
              <w:end w:w="120" w:type="dxa"/>
            </w:tcMar>
            <w:vAlign w:val="center"/>
            <w:shd w:fill="FFF5DE"/>
          </w:tcPr>
          <w:p>
            <w:pPr>
              <w:spacing w:before="0" w:after="0"/>
            </w:pPr>
            <w:r/>
            <w:r>
              <w:rPr>
                <w:rFonts w:ascii="Calibri" w:hAnsi="Calibri"/>
                <w:b w:val="0"/>
                <w:i w:val="0"/>
                <w:color w:val="303846"/>
                <w:sz w:val="16"/>
              </w:rPr>
              <w:t>Partial</w:t>
            </w:r>
          </w:p>
        </w:tc>
      </w:tr>
    </w:tbl>
    <w:p>
      <w:pPr>
        <w:spacing w:after="0"/>
      </w:pPr>
    </w:p>
    <w:p>
      <w:pPr>
        <w:pStyle w:val="Heading2"/>
      </w:pPr>
      <w:r>
        <w:t>6.4 Assay semantics and biological context</w:t>
      </w:r>
    </w:p>
    <w:tbl>
      <w:tblPr>
        <w:tblStyle w:val="TableGrid"/>
        <w:tblW w:type="dxa" w:w="9360"/>
        <w:jc w:val="left"/>
        <w:tblLayout w:type="fixed"/>
        <w:tblLook w:firstColumn="1" w:firstRow="1" w:lastColumn="0" w:lastRow="0" w:noHBand="0" w:noVBand="1" w:val="04A0"/>
        <w:tblInd w:w="120" w:type="dxa"/>
      </w:tblPr>
      <w:tblGrid>
        <w:gridCol w:w="1368"/>
        <w:gridCol w:w="3672"/>
        <w:gridCol w:w="2880"/>
        <w:gridCol w:w="1440"/>
      </w:tblGrid>
      <w:tr>
        <w:trPr>
          <w:tblHeader w:val="true"/>
          <w:cantSplit/>
        </w:trPr>
        <w:tc>
          <w:tcPr>
            <w:tcW w:type="dxa" w:w="1368"/>
            <w:tcMar>
              <w:top w:w="80" w:type="dxa"/>
              <w:start w:w="120" w:type="dxa"/>
              <w:bottom w:w="80" w:type="dxa"/>
              <w:end w:w="120" w:type="dxa"/>
            </w:tcMar>
            <w:vAlign w:val="center"/>
            <w:shd w:fill="F2F4F7"/>
          </w:tcPr>
          <w:p>
            <w:pPr>
              <w:spacing w:before="0" w:after="0"/>
            </w:pPr>
            <w:r/>
            <w:r>
              <w:rPr>
                <w:rFonts w:ascii="Calibri" w:hAnsi="Calibri"/>
                <w:b/>
                <w:i w:val="0"/>
                <w:color w:val="17233F"/>
                <w:sz w:val="17"/>
              </w:rPr>
              <w:t>ID</w:t>
            </w:r>
          </w:p>
        </w:tc>
        <w:tc>
          <w:tcPr>
            <w:tcW w:type="dxa" w:w="3672"/>
            <w:tcMar>
              <w:top w:w="80" w:type="dxa"/>
              <w:start w:w="120" w:type="dxa"/>
              <w:bottom w:w="80" w:type="dxa"/>
              <w:end w:w="120" w:type="dxa"/>
            </w:tcMar>
            <w:vAlign w:val="center"/>
            <w:shd w:fill="F2F4F7"/>
          </w:tcPr>
          <w:p>
            <w:pPr>
              <w:spacing w:before="0" w:after="0"/>
            </w:pPr>
            <w:r/>
            <w:r>
              <w:rPr>
                <w:rFonts w:ascii="Calibri" w:hAnsi="Calibri"/>
                <w:b/>
                <w:i w:val="0"/>
                <w:color w:val="17233F"/>
                <w:sz w:val="17"/>
              </w:rPr>
              <w:t>Requirement</w:t>
            </w:r>
          </w:p>
        </w:tc>
        <w:tc>
          <w:tcPr>
            <w:tcW w:type="dxa" w:w="2880"/>
            <w:tcMar>
              <w:top w:w="80" w:type="dxa"/>
              <w:start w:w="120" w:type="dxa"/>
              <w:bottom w:w="80" w:type="dxa"/>
              <w:end w:w="120" w:type="dxa"/>
            </w:tcMar>
            <w:vAlign w:val="center"/>
            <w:shd w:fill="F2F4F7"/>
          </w:tcPr>
          <w:p>
            <w:pPr>
              <w:spacing w:before="0" w:after="0"/>
            </w:pPr>
            <w:r/>
            <w:r>
              <w:rPr>
                <w:rFonts w:ascii="Calibri" w:hAnsi="Calibri"/>
                <w:b/>
                <w:i w:val="0"/>
                <w:color w:val="17233F"/>
                <w:sz w:val="17"/>
              </w:rPr>
              <w:t>Acceptance criterion</w:t>
            </w:r>
          </w:p>
        </w:tc>
        <w:tc>
          <w:tcPr>
            <w:tcW w:type="dxa" w:w="1440"/>
            <w:tcMar>
              <w:top w:w="80" w:type="dxa"/>
              <w:start w:w="120" w:type="dxa"/>
              <w:bottom w:w="80" w:type="dxa"/>
              <w:end w:w="120" w:type="dxa"/>
            </w:tcMar>
            <w:vAlign w:val="center"/>
            <w:shd w:fill="F2F4F7"/>
          </w:tcPr>
          <w:p>
            <w:pPr>
              <w:spacing w:before="0" w:after="0"/>
            </w:pPr>
            <w:r/>
            <w:r>
              <w:rPr>
                <w:rFonts w:ascii="Calibri" w:hAnsi="Calibri"/>
                <w:b/>
                <w:i w:val="0"/>
                <w:color w:val="17233F"/>
                <w:sz w:val="17"/>
              </w:rPr>
              <w:t>Reference status</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OSIEL-REQ-023</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The system shall maintain an endpoint dictionary.</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IC50, GI50, EC50, viability, inhibition, and activity probability have distinct definitions.</w:t>
            </w:r>
          </w:p>
        </w:tc>
        <w:tc>
          <w:tcPr>
            <w:tcW w:type="dxa" w:w="1440"/>
            <w:tcMar>
              <w:top w:w="80" w:type="dxa"/>
              <w:start w:w="120" w:type="dxa"/>
              <w:bottom w:w="80" w:type="dxa"/>
              <w:end w:w="120" w:type="dxa"/>
            </w:tcMar>
            <w:vAlign w:val="center"/>
            <w:shd w:fill="FFF5DE"/>
          </w:tcPr>
          <w:p>
            <w:pPr>
              <w:spacing w:before="0" w:after="0"/>
            </w:pPr>
            <w:r/>
            <w:r>
              <w:rPr>
                <w:rFonts w:ascii="Calibri" w:hAnsi="Calibri"/>
                <w:b w:val="0"/>
                <w:i w:val="0"/>
                <w:color w:val="303846"/>
                <w:sz w:val="16"/>
              </w:rPr>
              <w:t>Contract</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OSIEL-REQ-024</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Biological context shall include cancer type, tissue, cell line, organism, assay format, and protocol references where available.</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 measurement is unusable for training until minimum context is satisfied.</w:t>
            </w:r>
          </w:p>
        </w:tc>
        <w:tc>
          <w:tcPr>
            <w:tcW w:type="dxa" w:w="1440"/>
            <w:tcMar>
              <w:top w:w="80" w:type="dxa"/>
              <w:start w:w="120" w:type="dxa"/>
              <w:bottom w:w="80" w:type="dxa"/>
              <w:end w:w="120" w:type="dxa"/>
            </w:tcMar>
            <w:vAlign w:val="center"/>
            <w:shd w:fill="FFF5DE"/>
          </w:tcPr>
          <w:p>
            <w:pPr>
              <w:spacing w:before="0" w:after="0"/>
            </w:pPr>
            <w:r/>
            <w:r>
              <w:rPr>
                <w:rFonts w:ascii="Calibri" w:hAnsi="Calibri"/>
                <w:b w:val="0"/>
                <w:i w:val="0"/>
                <w:color w:val="303846"/>
                <w:sz w:val="16"/>
              </w:rPr>
              <w:t>Partial</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OSIEL-REQ-025</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Units and relation operators shall be normalized without losing raw values.</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Values such as greater-than and less-than remain censored rather than converted to exact measurements.</w:t>
            </w:r>
          </w:p>
        </w:tc>
        <w:tc>
          <w:tcPr>
            <w:tcW w:type="dxa" w:w="1440"/>
            <w:tcMar>
              <w:top w:w="80" w:type="dxa"/>
              <w:start w:w="120" w:type="dxa"/>
              <w:bottom w:w="80" w:type="dxa"/>
              <w:end w:w="120" w:type="dxa"/>
            </w:tcMar>
            <w:vAlign w:val="center"/>
            <w:shd w:fill="FFF5DE"/>
          </w:tcPr>
          <w:p>
            <w:pPr>
              <w:spacing w:before="0" w:after="0"/>
            </w:pPr>
            <w:r/>
            <w:r>
              <w:rPr>
                <w:rFonts w:ascii="Calibri" w:hAnsi="Calibri"/>
                <w:b w:val="0"/>
                <w:i w:val="0"/>
                <w:color w:val="303846"/>
                <w:sz w:val="16"/>
              </w:rPr>
              <w:t>Contract</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OSIEL-REQ-026</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Unlike endpoints shall not be merged into one target by default.</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IC50 and GI50 build separate task views unless an approved transform is versioned.</w:t>
            </w:r>
          </w:p>
        </w:tc>
        <w:tc>
          <w:tcPr>
            <w:tcW w:type="dxa" w:w="1440"/>
            <w:tcMar>
              <w:top w:w="80" w:type="dxa"/>
              <w:start w:w="120" w:type="dxa"/>
              <w:bottom w:w="80" w:type="dxa"/>
              <w:end w:w="120" w:type="dxa"/>
            </w:tcMar>
            <w:vAlign w:val="center"/>
            <w:shd w:fill="EAF8F4"/>
          </w:tcPr>
          <w:p>
            <w:pPr>
              <w:spacing w:before="0" w:after="0"/>
            </w:pPr>
            <w:r/>
            <w:r>
              <w:rPr>
                <w:rFonts w:ascii="Calibri" w:hAnsi="Calibri"/>
                <w:b w:val="0"/>
                <w:i w:val="0"/>
                <w:color w:val="303846"/>
                <w:sz w:val="16"/>
              </w:rPr>
              <w:t>Implemented boundary</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OSIEL-REQ-027</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Assay records shall carry protocol completeness and quality grades.</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Low-quality or missing-context records are flagged and their eligibility is policy controlled.</w:t>
            </w:r>
          </w:p>
        </w:tc>
        <w:tc>
          <w:tcPr>
            <w:tcW w:type="dxa" w:w="1440"/>
            <w:tcMar>
              <w:top w:w="80" w:type="dxa"/>
              <w:start w:w="120" w:type="dxa"/>
              <w:bottom w:w="80" w:type="dxa"/>
              <w:end w:w="120" w:type="dxa"/>
            </w:tcMar>
            <w:vAlign w:val="center"/>
            <w:shd w:fill="FFF5DE"/>
          </w:tcPr>
          <w:p>
            <w:pPr>
              <w:spacing w:before="0" w:after="0"/>
            </w:pPr>
            <w:r/>
            <w:r>
              <w:rPr>
                <w:rFonts w:ascii="Calibri" w:hAnsi="Calibri"/>
                <w:b w:val="0"/>
                <w:i w:val="0"/>
                <w:color w:val="303846"/>
                <w:sz w:val="16"/>
              </w:rPr>
              <w:t>Contract</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OSIEL-REQ-028</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Replicates, summaries, conflicts, and outliers shall remain traceable.</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Aggregated values link to all underlying observations and exclusion reasons.</w:t>
            </w:r>
          </w:p>
        </w:tc>
        <w:tc>
          <w:tcPr>
            <w:tcW w:type="dxa" w:w="1440"/>
            <w:tcMar>
              <w:top w:w="80" w:type="dxa"/>
              <w:start w:w="120" w:type="dxa"/>
              <w:bottom w:w="80" w:type="dxa"/>
              <w:end w:w="120" w:type="dxa"/>
            </w:tcMar>
            <w:vAlign w:val="center"/>
            <w:shd w:fill="FFF5DE"/>
          </w:tcPr>
          <w:p>
            <w:pPr>
              <w:spacing w:before="0" w:after="0"/>
            </w:pPr>
            <w:r/>
            <w:r>
              <w:rPr>
                <w:rFonts w:ascii="Calibri" w:hAnsi="Calibri"/>
                <w:b w:val="0"/>
                <w:i w:val="0"/>
                <w:color w:val="303846"/>
                <w:sz w:val="16"/>
              </w:rPr>
              <w:t>Contract</w:t>
            </w:r>
          </w:p>
        </w:tc>
      </w:tr>
    </w:tbl>
    <w:p>
      <w:pPr>
        <w:spacing w:after="0"/>
      </w:pPr>
    </w:p>
    <w:p>
      <w:pPr>
        <w:pStyle w:val="Heading2"/>
      </w:pPr>
      <w:r>
        <w:t>6.5 Dataset construction and leakage control</w:t>
      </w:r>
    </w:p>
    <w:tbl>
      <w:tblPr>
        <w:tblStyle w:val="TableGrid"/>
        <w:tblW w:type="dxa" w:w="9360"/>
        <w:jc w:val="left"/>
        <w:tblLayout w:type="fixed"/>
        <w:tblLook w:firstColumn="1" w:firstRow="1" w:lastColumn="0" w:lastRow="0" w:noHBand="0" w:noVBand="1" w:val="04A0"/>
        <w:tblInd w:w="120" w:type="dxa"/>
      </w:tblPr>
      <w:tblGrid>
        <w:gridCol w:w="1368"/>
        <w:gridCol w:w="3672"/>
        <w:gridCol w:w="2880"/>
        <w:gridCol w:w="1440"/>
      </w:tblGrid>
      <w:tr>
        <w:trPr>
          <w:tblHeader w:val="true"/>
          <w:cantSplit/>
        </w:trPr>
        <w:tc>
          <w:tcPr>
            <w:tcW w:type="dxa" w:w="1368"/>
            <w:tcMar>
              <w:top w:w="80" w:type="dxa"/>
              <w:start w:w="120" w:type="dxa"/>
              <w:bottom w:w="80" w:type="dxa"/>
              <w:end w:w="120" w:type="dxa"/>
            </w:tcMar>
            <w:vAlign w:val="center"/>
            <w:shd w:fill="F2F4F7"/>
          </w:tcPr>
          <w:p>
            <w:pPr>
              <w:spacing w:before="0" w:after="0"/>
            </w:pPr>
            <w:r/>
            <w:r>
              <w:rPr>
                <w:rFonts w:ascii="Calibri" w:hAnsi="Calibri"/>
                <w:b/>
                <w:i w:val="0"/>
                <w:color w:val="17233F"/>
                <w:sz w:val="17"/>
              </w:rPr>
              <w:t>ID</w:t>
            </w:r>
          </w:p>
        </w:tc>
        <w:tc>
          <w:tcPr>
            <w:tcW w:type="dxa" w:w="3672"/>
            <w:tcMar>
              <w:top w:w="80" w:type="dxa"/>
              <w:start w:w="120" w:type="dxa"/>
              <w:bottom w:w="80" w:type="dxa"/>
              <w:end w:w="120" w:type="dxa"/>
            </w:tcMar>
            <w:vAlign w:val="center"/>
            <w:shd w:fill="F2F4F7"/>
          </w:tcPr>
          <w:p>
            <w:pPr>
              <w:spacing w:before="0" w:after="0"/>
            </w:pPr>
            <w:r/>
            <w:r>
              <w:rPr>
                <w:rFonts w:ascii="Calibri" w:hAnsi="Calibri"/>
                <w:b/>
                <w:i w:val="0"/>
                <w:color w:val="17233F"/>
                <w:sz w:val="17"/>
              </w:rPr>
              <w:t>Requirement</w:t>
            </w:r>
          </w:p>
        </w:tc>
        <w:tc>
          <w:tcPr>
            <w:tcW w:type="dxa" w:w="2880"/>
            <w:tcMar>
              <w:top w:w="80" w:type="dxa"/>
              <w:start w:w="120" w:type="dxa"/>
              <w:bottom w:w="80" w:type="dxa"/>
              <w:end w:w="120" w:type="dxa"/>
            </w:tcMar>
            <w:vAlign w:val="center"/>
            <w:shd w:fill="F2F4F7"/>
          </w:tcPr>
          <w:p>
            <w:pPr>
              <w:spacing w:before="0" w:after="0"/>
            </w:pPr>
            <w:r/>
            <w:r>
              <w:rPr>
                <w:rFonts w:ascii="Calibri" w:hAnsi="Calibri"/>
                <w:b/>
                <w:i w:val="0"/>
                <w:color w:val="17233F"/>
                <w:sz w:val="17"/>
              </w:rPr>
              <w:t>Acceptance criterion</w:t>
            </w:r>
          </w:p>
        </w:tc>
        <w:tc>
          <w:tcPr>
            <w:tcW w:type="dxa" w:w="1440"/>
            <w:tcMar>
              <w:top w:w="80" w:type="dxa"/>
              <w:start w:w="120" w:type="dxa"/>
              <w:bottom w:w="80" w:type="dxa"/>
              <w:end w:w="120" w:type="dxa"/>
            </w:tcMar>
            <w:vAlign w:val="center"/>
            <w:shd w:fill="F2F4F7"/>
          </w:tcPr>
          <w:p>
            <w:pPr>
              <w:spacing w:before="0" w:after="0"/>
            </w:pPr>
            <w:r/>
            <w:r>
              <w:rPr>
                <w:rFonts w:ascii="Calibri" w:hAnsi="Calibri"/>
                <w:b/>
                <w:i w:val="0"/>
                <w:color w:val="17233F"/>
                <w:sz w:val="17"/>
              </w:rPr>
              <w:t>Reference status</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OSIEL-REQ-029</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Training views shall be task-specific and reproducible.</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 task definition and snapshot recreate the same eligible records.</w:t>
            </w:r>
          </w:p>
        </w:tc>
        <w:tc>
          <w:tcPr>
            <w:tcW w:type="dxa" w:w="1440"/>
            <w:tcMar>
              <w:top w:w="80" w:type="dxa"/>
              <w:start w:w="120" w:type="dxa"/>
              <w:bottom w:w="80" w:type="dxa"/>
              <w:end w:w="120" w:type="dxa"/>
            </w:tcMar>
            <w:vAlign w:val="center"/>
            <w:shd w:fill="FFF5DE"/>
          </w:tcPr>
          <w:p>
            <w:pPr>
              <w:spacing w:before="0" w:after="0"/>
            </w:pPr>
            <w:r/>
            <w:r>
              <w:rPr>
                <w:rFonts w:ascii="Calibri" w:hAnsi="Calibri"/>
                <w:b w:val="0"/>
                <w:i w:val="0"/>
                <w:color w:val="303846"/>
                <w:sz w:val="16"/>
              </w:rPr>
              <w:t>Contract</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OSIEL-REQ-030</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Datasets shall be immutable, checksummed snapshots.</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 published snapshot cannot be edited; corrections create a new version.</w:t>
            </w:r>
          </w:p>
        </w:tc>
        <w:tc>
          <w:tcPr>
            <w:tcW w:type="dxa" w:w="1440"/>
            <w:tcMar>
              <w:top w:w="80" w:type="dxa"/>
              <w:start w:w="120" w:type="dxa"/>
              <w:bottom w:w="80" w:type="dxa"/>
              <w:end w:w="120" w:type="dxa"/>
            </w:tcMar>
            <w:vAlign w:val="center"/>
            <w:shd w:fill="EAF8F4"/>
          </w:tcPr>
          <w:p>
            <w:pPr>
              <w:spacing w:before="0" w:after="0"/>
            </w:pPr>
            <w:r/>
            <w:r>
              <w:rPr>
                <w:rFonts w:ascii="Calibri" w:hAnsi="Calibri"/>
                <w:b w:val="0"/>
                <w:i w:val="0"/>
                <w:color w:val="303846"/>
                <w:sz w:val="16"/>
              </w:rPr>
              <w:t>Implemented gate</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OSIEL-REQ-031</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Only policy-eligible, scientifically approved records shall enter a production training snapshot.</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Simulation-only and unapproved records are rejected.</w:t>
            </w:r>
          </w:p>
        </w:tc>
        <w:tc>
          <w:tcPr>
            <w:tcW w:type="dxa" w:w="1440"/>
            <w:tcMar>
              <w:top w:w="80" w:type="dxa"/>
              <w:start w:w="120" w:type="dxa"/>
              <w:bottom w:w="80" w:type="dxa"/>
              <w:end w:w="120" w:type="dxa"/>
            </w:tcMar>
            <w:vAlign w:val="center"/>
            <w:shd w:fill="EAF8F4"/>
          </w:tcPr>
          <w:p>
            <w:pPr>
              <w:spacing w:before="0" w:after="0"/>
            </w:pPr>
            <w:r/>
            <w:r>
              <w:rPr>
                <w:rFonts w:ascii="Calibri" w:hAnsi="Calibri"/>
                <w:b w:val="0"/>
                <w:i w:val="0"/>
                <w:color w:val="303846"/>
                <w:sz w:val="16"/>
              </w:rPr>
              <w:t>Implemented</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OSIEL-REQ-032</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Exclusions shall carry machine-readable and human-readable reasons.</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Leakage, identity, context, QC, and licence exclusions are auditable.</w:t>
            </w:r>
          </w:p>
        </w:tc>
        <w:tc>
          <w:tcPr>
            <w:tcW w:type="dxa" w:w="1440"/>
            <w:tcMar>
              <w:top w:w="80" w:type="dxa"/>
              <w:start w:w="120" w:type="dxa"/>
              <w:bottom w:w="80" w:type="dxa"/>
              <w:end w:w="120" w:type="dxa"/>
            </w:tcMar>
            <w:vAlign w:val="center"/>
            <w:shd w:fill="FFF5DE"/>
          </w:tcPr>
          <w:p>
            <w:pPr>
              <w:spacing w:before="0" w:after="0"/>
            </w:pPr>
            <w:r/>
            <w:r>
              <w:rPr>
                <w:rFonts w:ascii="Calibri" w:hAnsi="Calibri"/>
                <w:b w:val="0"/>
                <w:i w:val="0"/>
                <w:color w:val="303846"/>
                <w:sz w:val="16"/>
              </w:rPr>
              <w:t>Partial</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OSIEL-REQ-033</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Standardization, features, labels, split policy, and dataset versions shall be frozen together.</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 model card resolves all five versions.</w:t>
            </w:r>
          </w:p>
        </w:tc>
        <w:tc>
          <w:tcPr>
            <w:tcW w:type="dxa" w:w="1440"/>
            <w:tcMar>
              <w:top w:w="80" w:type="dxa"/>
              <w:start w:w="120" w:type="dxa"/>
              <w:bottom w:w="80" w:type="dxa"/>
              <w:end w:w="120" w:type="dxa"/>
            </w:tcMar>
            <w:vAlign w:val="center"/>
            <w:shd w:fill="EAF8F4"/>
          </w:tcPr>
          <w:p>
            <w:pPr>
              <w:spacing w:before="0" w:after="0"/>
            </w:pPr>
            <w:r/>
            <w:r>
              <w:rPr>
                <w:rFonts w:ascii="Calibri" w:hAnsi="Calibri"/>
                <w:b w:val="0"/>
                <w:i w:val="0"/>
                <w:color w:val="303846"/>
                <w:sz w:val="16"/>
              </w:rPr>
              <w:t>Implemented metadata</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OSIEL-REQ-034</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Leakage audits shall detect exact duplicates, close analogs, scaffold overlap, and entity overlap across splits.</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 challenger cannot pass with unresolved prohibited overlap.</w:t>
            </w:r>
          </w:p>
        </w:tc>
        <w:tc>
          <w:tcPr>
            <w:tcW w:type="dxa" w:w="1440"/>
            <w:tcMar>
              <w:top w:w="80" w:type="dxa"/>
              <w:start w:w="120" w:type="dxa"/>
              <w:bottom w:w="80" w:type="dxa"/>
              <w:end w:w="120" w:type="dxa"/>
            </w:tcMar>
            <w:vAlign w:val="center"/>
            <w:shd w:fill="FFF5DE"/>
          </w:tcPr>
          <w:p>
            <w:pPr>
              <w:spacing w:before="0" w:after="0"/>
            </w:pPr>
            <w:r/>
            <w:r>
              <w:rPr>
                <w:rFonts w:ascii="Calibri" w:hAnsi="Calibri"/>
                <w:b w:val="0"/>
                <w:i w:val="0"/>
                <w:color w:val="303846"/>
                <w:sz w:val="16"/>
              </w:rPr>
              <w:t>Contract</w:t>
            </w:r>
          </w:p>
        </w:tc>
      </w:tr>
    </w:tbl>
    <w:p>
      <w:pPr>
        <w:spacing w:after="0"/>
      </w:pPr>
    </w:p>
    <w:p>
      <w:pPr>
        <w:pStyle w:val="Heading2"/>
      </w:pPr>
      <w:r>
        <w:t>6.6 Features, models, uncertainty, and evidence</w:t>
      </w:r>
    </w:p>
    <w:tbl>
      <w:tblPr>
        <w:tblStyle w:val="TableGrid"/>
        <w:tblW w:type="dxa" w:w="9360"/>
        <w:jc w:val="left"/>
        <w:tblLayout w:type="fixed"/>
        <w:tblLook w:firstColumn="1" w:firstRow="1" w:lastColumn="0" w:lastRow="0" w:noHBand="0" w:noVBand="1" w:val="04A0"/>
        <w:tblInd w:w="120" w:type="dxa"/>
      </w:tblPr>
      <w:tblGrid>
        <w:gridCol w:w="1368"/>
        <w:gridCol w:w="3672"/>
        <w:gridCol w:w="2880"/>
        <w:gridCol w:w="1440"/>
      </w:tblGrid>
      <w:tr>
        <w:trPr>
          <w:tblHeader w:val="true"/>
          <w:cantSplit/>
        </w:trPr>
        <w:tc>
          <w:tcPr>
            <w:tcW w:type="dxa" w:w="1368"/>
            <w:tcMar>
              <w:top w:w="80" w:type="dxa"/>
              <w:start w:w="120" w:type="dxa"/>
              <w:bottom w:w="80" w:type="dxa"/>
              <w:end w:w="120" w:type="dxa"/>
            </w:tcMar>
            <w:vAlign w:val="center"/>
            <w:shd w:fill="F2F4F7"/>
          </w:tcPr>
          <w:p>
            <w:pPr>
              <w:spacing w:before="0" w:after="0"/>
            </w:pPr>
            <w:r/>
            <w:r>
              <w:rPr>
                <w:rFonts w:ascii="Calibri" w:hAnsi="Calibri"/>
                <w:b/>
                <w:i w:val="0"/>
                <w:color w:val="17233F"/>
                <w:sz w:val="17"/>
              </w:rPr>
              <w:t>ID</w:t>
            </w:r>
          </w:p>
        </w:tc>
        <w:tc>
          <w:tcPr>
            <w:tcW w:type="dxa" w:w="3672"/>
            <w:tcMar>
              <w:top w:w="80" w:type="dxa"/>
              <w:start w:w="120" w:type="dxa"/>
              <w:bottom w:w="80" w:type="dxa"/>
              <w:end w:w="120" w:type="dxa"/>
            </w:tcMar>
            <w:vAlign w:val="center"/>
            <w:shd w:fill="F2F4F7"/>
          </w:tcPr>
          <w:p>
            <w:pPr>
              <w:spacing w:before="0" w:after="0"/>
            </w:pPr>
            <w:r/>
            <w:r>
              <w:rPr>
                <w:rFonts w:ascii="Calibri" w:hAnsi="Calibri"/>
                <w:b/>
                <w:i w:val="0"/>
                <w:color w:val="17233F"/>
                <w:sz w:val="17"/>
              </w:rPr>
              <w:t>Requirement</w:t>
            </w:r>
          </w:p>
        </w:tc>
        <w:tc>
          <w:tcPr>
            <w:tcW w:type="dxa" w:w="2880"/>
            <w:tcMar>
              <w:top w:w="80" w:type="dxa"/>
              <w:start w:w="120" w:type="dxa"/>
              <w:bottom w:w="80" w:type="dxa"/>
              <w:end w:w="120" w:type="dxa"/>
            </w:tcMar>
            <w:vAlign w:val="center"/>
            <w:shd w:fill="F2F4F7"/>
          </w:tcPr>
          <w:p>
            <w:pPr>
              <w:spacing w:before="0" w:after="0"/>
            </w:pPr>
            <w:r/>
            <w:r>
              <w:rPr>
                <w:rFonts w:ascii="Calibri" w:hAnsi="Calibri"/>
                <w:b/>
                <w:i w:val="0"/>
                <w:color w:val="17233F"/>
                <w:sz w:val="17"/>
              </w:rPr>
              <w:t>Acceptance criterion</w:t>
            </w:r>
          </w:p>
        </w:tc>
        <w:tc>
          <w:tcPr>
            <w:tcW w:type="dxa" w:w="1440"/>
            <w:tcMar>
              <w:top w:w="80" w:type="dxa"/>
              <w:start w:w="120" w:type="dxa"/>
              <w:bottom w:w="80" w:type="dxa"/>
              <w:end w:w="120" w:type="dxa"/>
            </w:tcMar>
            <w:vAlign w:val="center"/>
            <w:shd w:fill="F2F4F7"/>
          </w:tcPr>
          <w:p>
            <w:pPr>
              <w:spacing w:before="0" w:after="0"/>
            </w:pPr>
            <w:r/>
            <w:r>
              <w:rPr>
                <w:rFonts w:ascii="Calibri" w:hAnsi="Calibri"/>
                <w:b/>
                <w:i w:val="0"/>
                <w:color w:val="17233F"/>
                <w:sz w:val="17"/>
              </w:rPr>
              <w:t>Reference status</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OSIEL-REQ-035</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Classical features shall include validated circular fingerprints and molecular descriptors.</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Feature generation is versioned and deterministic.</w:t>
            </w:r>
          </w:p>
        </w:tc>
        <w:tc>
          <w:tcPr>
            <w:tcW w:type="dxa" w:w="1440"/>
            <w:tcMar>
              <w:top w:w="80" w:type="dxa"/>
              <w:start w:w="120" w:type="dxa"/>
              <w:bottom w:w="80" w:type="dxa"/>
              <w:end w:w="120" w:type="dxa"/>
            </w:tcMar>
            <w:vAlign w:val="center"/>
            <w:shd w:fill="EAF8F4"/>
          </w:tcPr>
          <w:p>
            <w:pPr>
              <w:spacing w:before="0" w:after="0"/>
            </w:pPr>
            <w:r/>
            <w:r>
              <w:rPr>
                <w:rFonts w:ascii="Calibri" w:hAnsi="Calibri"/>
                <w:b w:val="0"/>
                <w:i w:val="0"/>
                <w:color w:val="303846"/>
                <w:sz w:val="16"/>
              </w:rPr>
              <w:t>Implemented descriptors; fingerprint contract</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OSIEL-REQ-036</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Classical baselines shall include suitable linear, tree, and boosted models.</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Baselines are evaluated on frozen splits and retained when superior.</w:t>
            </w:r>
          </w:p>
        </w:tc>
        <w:tc>
          <w:tcPr>
            <w:tcW w:type="dxa" w:w="1440"/>
            <w:tcMar>
              <w:top w:w="80" w:type="dxa"/>
              <w:start w:w="120" w:type="dxa"/>
              <w:bottom w:w="80" w:type="dxa"/>
              <w:end w:w="120" w:type="dxa"/>
            </w:tcMar>
            <w:vAlign w:val="center"/>
            <w:shd w:fill="FFF5DE"/>
          </w:tcPr>
          <w:p>
            <w:pPr>
              <w:spacing w:before="0" w:after="0"/>
            </w:pPr>
            <w:r/>
            <w:r>
              <w:rPr>
                <w:rFonts w:ascii="Calibri" w:hAnsi="Calibri"/>
                <w:b w:val="0"/>
                <w:i w:val="0"/>
                <w:color w:val="303846"/>
                <w:sz w:val="16"/>
              </w:rPr>
              <w:t>Contract</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OSIEL-REQ-037</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Graph models such as Chemprop shall be compared on the identical split and task definition.</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No graph-model claim is accepted from a different or easier split.</w:t>
            </w:r>
          </w:p>
        </w:tc>
        <w:tc>
          <w:tcPr>
            <w:tcW w:type="dxa" w:w="1440"/>
            <w:tcMar>
              <w:top w:w="80" w:type="dxa"/>
              <w:start w:w="120" w:type="dxa"/>
              <w:bottom w:w="80" w:type="dxa"/>
              <w:end w:w="120" w:type="dxa"/>
            </w:tcMar>
            <w:vAlign w:val="center"/>
            <w:shd w:fill="FFF5DE"/>
          </w:tcPr>
          <w:p>
            <w:pPr>
              <w:spacing w:before="0" w:after="0"/>
            </w:pPr>
            <w:r/>
            <w:r>
              <w:rPr>
                <w:rFonts w:ascii="Calibri" w:hAnsi="Calibri"/>
                <w:b w:val="0"/>
                <w:i w:val="0"/>
                <w:color w:val="303846"/>
                <w:sz w:val="16"/>
              </w:rPr>
              <w:t>Adapter-ready</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OSIEL-REQ-038</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Evaluation shall report task-appropriate discrimination, error, enrichment, calibration, and slice metrics.</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The model card contains all required metrics and confidence intervals where applicable.</w:t>
            </w:r>
          </w:p>
        </w:tc>
        <w:tc>
          <w:tcPr>
            <w:tcW w:type="dxa" w:w="1440"/>
            <w:tcMar>
              <w:top w:w="80" w:type="dxa"/>
              <w:start w:w="120" w:type="dxa"/>
              <w:bottom w:w="80" w:type="dxa"/>
              <w:end w:w="120" w:type="dxa"/>
            </w:tcMar>
            <w:vAlign w:val="center"/>
            <w:shd w:fill="FFF5DE"/>
          </w:tcPr>
          <w:p>
            <w:pPr>
              <w:spacing w:before="0" w:after="0"/>
            </w:pPr>
            <w:r/>
            <w:r>
              <w:rPr>
                <w:rFonts w:ascii="Calibri" w:hAnsi="Calibri"/>
                <w:b w:val="0"/>
                <w:i w:val="0"/>
                <w:color w:val="303846"/>
                <w:sz w:val="16"/>
              </w:rPr>
              <w:t>Contract</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OSIEL-REQ-039</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Every prediction shall include uncertainty.</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API returns uncertainty, confidence, and interval bounds.</w:t>
            </w:r>
          </w:p>
        </w:tc>
        <w:tc>
          <w:tcPr>
            <w:tcW w:type="dxa" w:w="1440"/>
            <w:tcMar>
              <w:top w:w="80" w:type="dxa"/>
              <w:start w:w="120" w:type="dxa"/>
              <w:bottom w:w="80" w:type="dxa"/>
              <w:end w:w="120" w:type="dxa"/>
            </w:tcMar>
            <w:vAlign w:val="center"/>
            <w:shd w:fill="EAF8F4"/>
          </w:tcPr>
          <w:p>
            <w:pPr>
              <w:spacing w:before="0" w:after="0"/>
            </w:pPr>
            <w:r/>
            <w:r>
              <w:rPr>
                <w:rFonts w:ascii="Calibri" w:hAnsi="Calibri"/>
                <w:b w:val="0"/>
                <w:i w:val="0"/>
                <w:color w:val="303846"/>
                <w:sz w:val="16"/>
              </w:rPr>
              <w:t>Implemented</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OSIEL-REQ-040</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Probabilities shall be calibrated and calibration quality monitored.</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Expected calibration error or equivalent is reported by release and slice.</w:t>
            </w:r>
          </w:p>
        </w:tc>
        <w:tc>
          <w:tcPr>
            <w:tcW w:type="dxa" w:w="1440"/>
            <w:tcMar>
              <w:top w:w="80" w:type="dxa"/>
              <w:start w:w="120" w:type="dxa"/>
              <w:bottom w:w="80" w:type="dxa"/>
              <w:end w:w="120" w:type="dxa"/>
            </w:tcMar>
            <w:vAlign w:val="center"/>
            <w:shd w:fill="FFF5DE"/>
          </w:tcPr>
          <w:p>
            <w:pPr>
              <w:spacing w:before="0" w:after="0"/>
            </w:pPr>
            <w:r/>
            <w:r>
              <w:rPr>
                <w:rFonts w:ascii="Calibri" w:hAnsi="Calibri"/>
                <w:b w:val="0"/>
                <w:i w:val="0"/>
                <w:color w:val="303846"/>
                <w:sz w:val="16"/>
              </w:rPr>
              <w:t>Contract</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OSIEL-REQ-041</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Every prediction shall include applicability-domain status.</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Inside, borderline, or outside is returned and affects ranking policy.</w:t>
            </w:r>
          </w:p>
        </w:tc>
        <w:tc>
          <w:tcPr>
            <w:tcW w:type="dxa" w:w="1440"/>
            <w:tcMar>
              <w:top w:w="80" w:type="dxa"/>
              <w:start w:w="120" w:type="dxa"/>
              <w:bottom w:w="80" w:type="dxa"/>
              <w:end w:w="120" w:type="dxa"/>
            </w:tcMar>
            <w:vAlign w:val="center"/>
            <w:shd w:fill="EAF8F4"/>
          </w:tcPr>
          <w:p>
            <w:pPr>
              <w:spacing w:before="0" w:after="0"/>
            </w:pPr>
            <w:r/>
            <w:r>
              <w:rPr>
                <w:rFonts w:ascii="Calibri" w:hAnsi="Calibri"/>
                <w:b w:val="0"/>
                <w:i w:val="0"/>
                <w:color w:val="303846"/>
                <w:sz w:val="16"/>
              </w:rPr>
              <w:t>Implemented</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OSIEL-REQ-042</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Predictions shall include nearest-analog and evidence context.</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Analog identity, source, and similarity are returned without implying causal explanation.</w:t>
            </w:r>
          </w:p>
        </w:tc>
        <w:tc>
          <w:tcPr>
            <w:tcW w:type="dxa" w:w="1440"/>
            <w:tcMar>
              <w:top w:w="80" w:type="dxa"/>
              <w:start w:w="120" w:type="dxa"/>
              <w:bottom w:w="80" w:type="dxa"/>
              <w:end w:w="120" w:type="dxa"/>
            </w:tcMar>
            <w:vAlign w:val="center"/>
            <w:shd w:fill="EAF8F4"/>
          </w:tcPr>
          <w:p>
            <w:pPr>
              <w:spacing w:before="0" w:after="0"/>
            </w:pPr>
            <w:r/>
            <w:r>
              <w:rPr>
                <w:rFonts w:ascii="Calibri" w:hAnsi="Calibri"/>
                <w:b w:val="0"/>
                <w:i w:val="0"/>
                <w:color w:val="303846"/>
                <w:sz w:val="16"/>
              </w:rPr>
              <w:t>Implemented</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OSIEL-REQ-043</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Models shall be versioned with model cards, registry state, owner, approvals, and rollback metadata.</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 served model resolves immutable artifacts and a named approved alias.</w:t>
            </w:r>
          </w:p>
        </w:tc>
        <w:tc>
          <w:tcPr>
            <w:tcW w:type="dxa" w:w="1440"/>
            <w:tcMar>
              <w:top w:w="80" w:type="dxa"/>
              <w:start w:w="120" w:type="dxa"/>
              <w:bottom w:w="80" w:type="dxa"/>
              <w:end w:w="120" w:type="dxa"/>
            </w:tcMar>
            <w:vAlign w:val="center"/>
            <w:shd w:fill="FFF5DE"/>
          </w:tcPr>
          <w:p>
            <w:pPr>
              <w:spacing w:before="0" w:after="0"/>
            </w:pPr>
            <w:r/>
            <w:r>
              <w:rPr>
                <w:rFonts w:ascii="Calibri" w:hAnsi="Calibri"/>
                <w:b w:val="0"/>
                <w:i w:val="0"/>
                <w:color w:val="303846"/>
                <w:sz w:val="16"/>
              </w:rPr>
              <w:t>Partial</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OSIEL-REQ-044</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Online inference shall be deterministic for a fixed input and model version and shall not train.</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Repeated requests match within defined tolerance; storage mutations are limited to audit and run records.</w:t>
            </w:r>
          </w:p>
        </w:tc>
        <w:tc>
          <w:tcPr>
            <w:tcW w:type="dxa" w:w="1440"/>
            <w:tcMar>
              <w:top w:w="80" w:type="dxa"/>
              <w:start w:w="120" w:type="dxa"/>
              <w:bottom w:w="80" w:type="dxa"/>
              <w:end w:w="120" w:type="dxa"/>
            </w:tcMar>
            <w:vAlign w:val="center"/>
            <w:shd w:fill="EAF8F4"/>
          </w:tcPr>
          <w:p>
            <w:pPr>
              <w:spacing w:before="0" w:after="0"/>
            </w:pPr>
            <w:r/>
            <w:r>
              <w:rPr>
                <w:rFonts w:ascii="Calibri" w:hAnsi="Calibri"/>
                <w:b w:val="0"/>
                <w:i w:val="0"/>
                <w:color w:val="303846"/>
                <w:sz w:val="16"/>
              </w:rPr>
              <w:t>Implemented</w:t>
            </w:r>
          </w:p>
        </w:tc>
      </w:tr>
    </w:tbl>
    <w:p>
      <w:pPr>
        <w:spacing w:after="0"/>
      </w:pPr>
    </w:p>
    <w:p>
      <w:pPr>
        <w:pStyle w:val="Heading2"/>
      </w:pPr>
      <w:r>
        <w:t>6.7 ADMET and multi-objective prioritization</w:t>
      </w:r>
    </w:p>
    <w:tbl>
      <w:tblPr>
        <w:tblStyle w:val="TableGrid"/>
        <w:tblW w:type="dxa" w:w="9360"/>
        <w:jc w:val="left"/>
        <w:tblLayout w:type="fixed"/>
        <w:tblLook w:firstColumn="1" w:firstRow="1" w:lastColumn="0" w:lastRow="0" w:noHBand="0" w:noVBand="1" w:val="04A0"/>
        <w:tblInd w:w="120" w:type="dxa"/>
      </w:tblPr>
      <w:tblGrid>
        <w:gridCol w:w="1368"/>
        <w:gridCol w:w="3672"/>
        <w:gridCol w:w="2880"/>
        <w:gridCol w:w="1440"/>
      </w:tblGrid>
      <w:tr>
        <w:trPr>
          <w:tblHeader w:val="true"/>
          <w:cantSplit/>
        </w:trPr>
        <w:tc>
          <w:tcPr>
            <w:tcW w:type="dxa" w:w="1368"/>
            <w:tcMar>
              <w:top w:w="80" w:type="dxa"/>
              <w:start w:w="120" w:type="dxa"/>
              <w:bottom w:w="80" w:type="dxa"/>
              <w:end w:w="120" w:type="dxa"/>
            </w:tcMar>
            <w:vAlign w:val="center"/>
            <w:shd w:fill="F2F4F7"/>
          </w:tcPr>
          <w:p>
            <w:pPr>
              <w:spacing w:before="0" w:after="0"/>
            </w:pPr>
            <w:r/>
            <w:r>
              <w:rPr>
                <w:rFonts w:ascii="Calibri" w:hAnsi="Calibri"/>
                <w:b/>
                <w:i w:val="0"/>
                <w:color w:val="17233F"/>
                <w:sz w:val="17"/>
              </w:rPr>
              <w:t>ID</w:t>
            </w:r>
          </w:p>
        </w:tc>
        <w:tc>
          <w:tcPr>
            <w:tcW w:type="dxa" w:w="3672"/>
            <w:tcMar>
              <w:top w:w="80" w:type="dxa"/>
              <w:start w:w="120" w:type="dxa"/>
              <w:bottom w:w="80" w:type="dxa"/>
              <w:end w:w="120" w:type="dxa"/>
            </w:tcMar>
            <w:vAlign w:val="center"/>
            <w:shd w:fill="F2F4F7"/>
          </w:tcPr>
          <w:p>
            <w:pPr>
              <w:spacing w:before="0" w:after="0"/>
            </w:pPr>
            <w:r/>
            <w:r>
              <w:rPr>
                <w:rFonts w:ascii="Calibri" w:hAnsi="Calibri"/>
                <w:b/>
                <w:i w:val="0"/>
                <w:color w:val="17233F"/>
                <w:sz w:val="17"/>
              </w:rPr>
              <w:t>Requirement</w:t>
            </w:r>
          </w:p>
        </w:tc>
        <w:tc>
          <w:tcPr>
            <w:tcW w:type="dxa" w:w="2880"/>
            <w:tcMar>
              <w:top w:w="80" w:type="dxa"/>
              <w:start w:w="120" w:type="dxa"/>
              <w:bottom w:w="80" w:type="dxa"/>
              <w:end w:w="120" w:type="dxa"/>
            </w:tcMar>
            <w:vAlign w:val="center"/>
            <w:shd w:fill="F2F4F7"/>
          </w:tcPr>
          <w:p>
            <w:pPr>
              <w:spacing w:before="0" w:after="0"/>
            </w:pPr>
            <w:r/>
            <w:r>
              <w:rPr>
                <w:rFonts w:ascii="Calibri" w:hAnsi="Calibri"/>
                <w:b/>
                <w:i w:val="0"/>
                <w:color w:val="17233F"/>
                <w:sz w:val="17"/>
              </w:rPr>
              <w:t>Acceptance criterion</w:t>
            </w:r>
          </w:p>
        </w:tc>
        <w:tc>
          <w:tcPr>
            <w:tcW w:type="dxa" w:w="1440"/>
            <w:tcMar>
              <w:top w:w="80" w:type="dxa"/>
              <w:start w:w="120" w:type="dxa"/>
              <w:bottom w:w="80" w:type="dxa"/>
              <w:end w:w="120" w:type="dxa"/>
            </w:tcMar>
            <w:vAlign w:val="center"/>
            <w:shd w:fill="F2F4F7"/>
          </w:tcPr>
          <w:p>
            <w:pPr>
              <w:spacing w:before="0" w:after="0"/>
            </w:pPr>
            <w:r/>
            <w:r>
              <w:rPr>
                <w:rFonts w:ascii="Calibri" w:hAnsi="Calibri"/>
                <w:b/>
                <w:i w:val="0"/>
                <w:color w:val="17233F"/>
                <w:sz w:val="17"/>
              </w:rPr>
              <w:t>Reference status</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OSIEL-REQ-045</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ADMET shall be modeled as separate endpoints with units, confidence, and domain status.</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No single unexplained ADMET score replaces endpoint-level results.</w:t>
            </w:r>
          </w:p>
        </w:tc>
        <w:tc>
          <w:tcPr>
            <w:tcW w:type="dxa" w:w="1440"/>
            <w:tcMar>
              <w:top w:w="80" w:type="dxa"/>
              <w:start w:w="120" w:type="dxa"/>
              <w:bottom w:w="80" w:type="dxa"/>
              <w:end w:w="120" w:type="dxa"/>
            </w:tcMar>
            <w:vAlign w:val="center"/>
            <w:shd w:fill="EAF8F4"/>
          </w:tcPr>
          <w:p>
            <w:pPr>
              <w:spacing w:before="0" w:after="0"/>
            </w:pPr>
            <w:r/>
            <w:r>
              <w:rPr>
                <w:rFonts w:ascii="Calibri" w:hAnsi="Calibri"/>
                <w:b w:val="0"/>
                <w:i w:val="0"/>
                <w:color w:val="303846"/>
                <w:sz w:val="16"/>
              </w:rPr>
              <w:t>Implemented demo panel; adapter-ready</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OSIEL-REQ-046</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Hard filters shall be explicit, justified, versioned, and overrideable only by authorised review.</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Excluded and flagged candidates retain reasons.</w:t>
            </w:r>
          </w:p>
        </w:tc>
        <w:tc>
          <w:tcPr>
            <w:tcW w:type="dxa" w:w="1440"/>
            <w:tcMar>
              <w:top w:w="80" w:type="dxa"/>
              <w:start w:w="120" w:type="dxa"/>
              <w:bottom w:w="80" w:type="dxa"/>
              <w:end w:w="120" w:type="dxa"/>
            </w:tcMar>
            <w:vAlign w:val="center"/>
            <w:shd w:fill="EAF8F4"/>
          </w:tcPr>
          <w:p>
            <w:pPr>
              <w:spacing w:before="0" w:after="0"/>
            </w:pPr>
            <w:r/>
            <w:r>
              <w:rPr>
                <w:rFonts w:ascii="Calibri" w:hAnsi="Calibri"/>
                <w:b w:val="0"/>
                <w:i w:val="0"/>
                <w:color w:val="303846"/>
                <w:sz w:val="16"/>
              </w:rPr>
              <w:t>Implemented</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OSIEL-REQ-047</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Ranking shall combine activity, selectivity, ADMET, novelty, feasibility, evidence, and uncertainty penalty.</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Each component exposes value, weight, contribution, and explanation.</w:t>
            </w:r>
          </w:p>
        </w:tc>
        <w:tc>
          <w:tcPr>
            <w:tcW w:type="dxa" w:w="1440"/>
            <w:tcMar>
              <w:top w:w="80" w:type="dxa"/>
              <w:start w:w="120" w:type="dxa"/>
              <w:bottom w:w="80" w:type="dxa"/>
              <w:end w:w="120" w:type="dxa"/>
            </w:tcMar>
            <w:vAlign w:val="center"/>
            <w:shd w:fill="EAF8F4"/>
          </w:tcPr>
          <w:p>
            <w:pPr>
              <w:spacing w:before="0" w:after="0"/>
            </w:pPr>
            <w:r/>
            <w:r>
              <w:rPr>
                <w:rFonts w:ascii="Calibri" w:hAnsi="Calibri"/>
                <w:b w:val="0"/>
                <w:i w:val="0"/>
                <w:color w:val="303846"/>
                <w:sz w:val="16"/>
              </w:rPr>
              <w:t>Implemented</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OSIEL-REQ-048</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The system shall expose Pareto-front information in addition to a weighted score.</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Candidates can be inspected without assuming one universal utility function.</w:t>
            </w:r>
          </w:p>
        </w:tc>
        <w:tc>
          <w:tcPr>
            <w:tcW w:type="dxa" w:w="1440"/>
            <w:tcMar>
              <w:top w:w="80" w:type="dxa"/>
              <w:start w:w="120" w:type="dxa"/>
              <w:bottom w:w="80" w:type="dxa"/>
              <w:end w:w="120" w:type="dxa"/>
            </w:tcMar>
            <w:vAlign w:val="center"/>
            <w:shd w:fill="EAF8F4"/>
          </w:tcPr>
          <w:p>
            <w:pPr>
              <w:spacing w:before="0" w:after="0"/>
            </w:pPr>
            <w:r/>
            <w:r>
              <w:rPr>
                <w:rFonts w:ascii="Calibri" w:hAnsi="Calibri"/>
                <w:b w:val="0"/>
                <w:i w:val="0"/>
                <w:color w:val="303846"/>
                <w:sz w:val="16"/>
              </w:rPr>
              <w:t>Implemented reference</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OSIEL-REQ-049</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Uncertainty and out-of-domain risk shall reduce priority or trigger review.</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Higher risk cannot silently increase a candidate’s score.</w:t>
            </w:r>
          </w:p>
        </w:tc>
        <w:tc>
          <w:tcPr>
            <w:tcW w:type="dxa" w:w="1440"/>
            <w:tcMar>
              <w:top w:w="80" w:type="dxa"/>
              <w:start w:w="120" w:type="dxa"/>
              <w:bottom w:w="80" w:type="dxa"/>
              <w:end w:w="120" w:type="dxa"/>
            </w:tcMar>
            <w:vAlign w:val="center"/>
            <w:shd w:fill="EAF8F4"/>
          </w:tcPr>
          <w:p>
            <w:pPr>
              <w:spacing w:before="0" w:after="0"/>
            </w:pPr>
            <w:r/>
            <w:r>
              <w:rPr>
                <w:rFonts w:ascii="Calibri" w:hAnsi="Calibri"/>
                <w:b w:val="0"/>
                <w:i w:val="0"/>
                <w:color w:val="303846"/>
                <w:sz w:val="16"/>
              </w:rPr>
              <w:t>Implemented</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OSIEL-REQ-050</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Shortlist selection shall manage structural diversity and redundancy.</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High-similarity candidates are flagged or clustered under the selected policy.</w:t>
            </w:r>
          </w:p>
        </w:tc>
        <w:tc>
          <w:tcPr>
            <w:tcW w:type="dxa" w:w="1440"/>
            <w:tcMar>
              <w:top w:w="80" w:type="dxa"/>
              <w:start w:w="120" w:type="dxa"/>
              <w:bottom w:w="80" w:type="dxa"/>
              <w:end w:w="120" w:type="dxa"/>
            </w:tcMar>
            <w:vAlign w:val="center"/>
            <w:shd w:fill="EAF8F4"/>
          </w:tcPr>
          <w:p>
            <w:pPr>
              <w:spacing w:before="0" w:after="0"/>
            </w:pPr>
            <w:r/>
            <w:r>
              <w:rPr>
                <w:rFonts w:ascii="Calibri" w:hAnsi="Calibri"/>
                <w:b w:val="0"/>
                <w:i w:val="0"/>
                <w:color w:val="303846"/>
                <w:sz w:val="16"/>
              </w:rPr>
              <w:t>Implemented reference</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OSIEL-REQ-051</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Ranking weights, thresholds, filters, tie-breakers, and diversity rules shall be versioned as a policy.</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Exported rankings identify the exact policy version.</w:t>
            </w:r>
          </w:p>
        </w:tc>
        <w:tc>
          <w:tcPr>
            <w:tcW w:type="dxa" w:w="1440"/>
            <w:tcMar>
              <w:top w:w="80" w:type="dxa"/>
              <w:start w:w="120" w:type="dxa"/>
              <w:bottom w:w="80" w:type="dxa"/>
              <w:end w:w="120" w:type="dxa"/>
            </w:tcMar>
            <w:vAlign w:val="center"/>
            <w:shd w:fill="EAF8F4"/>
          </w:tcPr>
          <w:p>
            <w:pPr>
              <w:spacing w:before="0" w:after="0"/>
            </w:pPr>
            <w:r/>
            <w:r>
              <w:rPr>
                <w:rFonts w:ascii="Calibri" w:hAnsi="Calibri"/>
                <w:b w:val="0"/>
                <w:i w:val="0"/>
                <w:color w:val="303846"/>
                <w:sz w:val="16"/>
              </w:rPr>
              <w:t>Implemented</w:t>
            </w:r>
          </w:p>
        </w:tc>
      </w:tr>
    </w:tbl>
    <w:p>
      <w:pPr>
        <w:spacing w:after="0"/>
      </w:pPr>
    </w:p>
    <w:p>
      <w:pPr>
        <w:pStyle w:val="Heading2"/>
      </w:pPr>
      <w:r>
        <w:t>6.8 Experiments, results, and continuous learning</w:t>
      </w:r>
    </w:p>
    <w:tbl>
      <w:tblPr>
        <w:tblStyle w:val="TableGrid"/>
        <w:tblW w:type="dxa" w:w="9360"/>
        <w:jc w:val="left"/>
        <w:tblLayout w:type="fixed"/>
        <w:tblLook w:firstColumn="1" w:firstRow="1" w:lastColumn="0" w:lastRow="0" w:noHBand="0" w:noVBand="1" w:val="04A0"/>
        <w:tblInd w:w="120" w:type="dxa"/>
      </w:tblPr>
      <w:tblGrid>
        <w:gridCol w:w="1368"/>
        <w:gridCol w:w="3672"/>
        <w:gridCol w:w="2880"/>
        <w:gridCol w:w="1440"/>
      </w:tblGrid>
      <w:tr>
        <w:trPr>
          <w:tblHeader w:val="true"/>
          <w:cantSplit/>
        </w:trPr>
        <w:tc>
          <w:tcPr>
            <w:tcW w:type="dxa" w:w="1368"/>
            <w:tcMar>
              <w:top w:w="80" w:type="dxa"/>
              <w:start w:w="120" w:type="dxa"/>
              <w:bottom w:w="80" w:type="dxa"/>
              <w:end w:w="120" w:type="dxa"/>
            </w:tcMar>
            <w:vAlign w:val="center"/>
            <w:shd w:fill="F2F4F7"/>
          </w:tcPr>
          <w:p>
            <w:pPr>
              <w:spacing w:before="0" w:after="0"/>
            </w:pPr>
            <w:r/>
            <w:r>
              <w:rPr>
                <w:rFonts w:ascii="Calibri" w:hAnsi="Calibri"/>
                <w:b/>
                <w:i w:val="0"/>
                <w:color w:val="17233F"/>
                <w:sz w:val="17"/>
              </w:rPr>
              <w:t>ID</w:t>
            </w:r>
          </w:p>
        </w:tc>
        <w:tc>
          <w:tcPr>
            <w:tcW w:type="dxa" w:w="3672"/>
            <w:tcMar>
              <w:top w:w="80" w:type="dxa"/>
              <w:start w:w="120" w:type="dxa"/>
              <w:bottom w:w="80" w:type="dxa"/>
              <w:end w:w="120" w:type="dxa"/>
            </w:tcMar>
            <w:vAlign w:val="center"/>
            <w:shd w:fill="F2F4F7"/>
          </w:tcPr>
          <w:p>
            <w:pPr>
              <w:spacing w:before="0" w:after="0"/>
            </w:pPr>
            <w:r/>
            <w:r>
              <w:rPr>
                <w:rFonts w:ascii="Calibri" w:hAnsi="Calibri"/>
                <w:b/>
                <w:i w:val="0"/>
                <w:color w:val="17233F"/>
                <w:sz w:val="17"/>
              </w:rPr>
              <w:t>Requirement</w:t>
            </w:r>
          </w:p>
        </w:tc>
        <w:tc>
          <w:tcPr>
            <w:tcW w:type="dxa" w:w="2880"/>
            <w:tcMar>
              <w:top w:w="80" w:type="dxa"/>
              <w:start w:w="120" w:type="dxa"/>
              <w:bottom w:w="80" w:type="dxa"/>
              <w:end w:w="120" w:type="dxa"/>
            </w:tcMar>
            <w:vAlign w:val="center"/>
            <w:shd w:fill="F2F4F7"/>
          </w:tcPr>
          <w:p>
            <w:pPr>
              <w:spacing w:before="0" w:after="0"/>
            </w:pPr>
            <w:r/>
            <w:r>
              <w:rPr>
                <w:rFonts w:ascii="Calibri" w:hAnsi="Calibri"/>
                <w:b/>
                <w:i w:val="0"/>
                <w:color w:val="17233F"/>
                <w:sz w:val="17"/>
              </w:rPr>
              <w:t>Acceptance criterion</w:t>
            </w:r>
          </w:p>
        </w:tc>
        <w:tc>
          <w:tcPr>
            <w:tcW w:type="dxa" w:w="1440"/>
            <w:tcMar>
              <w:top w:w="80" w:type="dxa"/>
              <w:start w:w="120" w:type="dxa"/>
              <w:bottom w:w="80" w:type="dxa"/>
              <w:end w:w="120" w:type="dxa"/>
            </w:tcMar>
            <w:vAlign w:val="center"/>
            <w:shd w:fill="F2F4F7"/>
          </w:tcPr>
          <w:p>
            <w:pPr>
              <w:spacing w:before="0" w:after="0"/>
            </w:pPr>
            <w:r/>
            <w:r>
              <w:rPr>
                <w:rFonts w:ascii="Calibri" w:hAnsi="Calibri"/>
                <w:b/>
                <w:i w:val="0"/>
                <w:color w:val="17233F"/>
                <w:sz w:val="17"/>
              </w:rPr>
              <w:t>Reference status</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OSIEL-REQ-052</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The system shall create versioned experiment plans from ranked candidates.</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Protocol records include task, candidates, assay, endpoint, doses, controls, replicates, duration, and source ranking.</w:t>
            </w:r>
          </w:p>
        </w:tc>
        <w:tc>
          <w:tcPr>
            <w:tcW w:type="dxa" w:w="1440"/>
            <w:tcMar>
              <w:top w:w="80" w:type="dxa"/>
              <w:start w:w="120" w:type="dxa"/>
              <w:bottom w:w="80" w:type="dxa"/>
              <w:end w:w="120" w:type="dxa"/>
            </w:tcMar>
            <w:vAlign w:val="center"/>
            <w:shd w:fill="EAF8F4"/>
          </w:tcPr>
          <w:p>
            <w:pPr>
              <w:spacing w:before="0" w:after="0"/>
            </w:pPr>
            <w:r/>
            <w:r>
              <w:rPr>
                <w:rFonts w:ascii="Calibri" w:hAnsi="Calibri"/>
                <w:b w:val="0"/>
                <w:i w:val="0"/>
                <w:color w:val="303846"/>
                <w:sz w:val="16"/>
              </w:rPr>
              <w:t>Implemented</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OSIEL-REQ-053</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Experiment records shall support batches, plates, wells, controls, replicates, raw files, observations, and protocol deviations.</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Every observation resolves to its experimental context.</w:t>
            </w:r>
          </w:p>
        </w:tc>
        <w:tc>
          <w:tcPr>
            <w:tcW w:type="dxa" w:w="1440"/>
            <w:tcMar>
              <w:top w:w="80" w:type="dxa"/>
              <w:start w:w="120" w:type="dxa"/>
              <w:bottom w:w="80" w:type="dxa"/>
              <w:end w:w="120" w:type="dxa"/>
            </w:tcMar>
            <w:vAlign w:val="center"/>
            <w:shd w:fill="FFF5DE"/>
          </w:tcPr>
          <w:p>
            <w:pPr>
              <w:spacing w:before="0" w:after="0"/>
            </w:pPr>
            <w:r/>
            <w:r>
              <w:rPr>
                <w:rFonts w:ascii="Calibri" w:hAnsi="Calibri"/>
                <w:b w:val="0"/>
                <w:i w:val="0"/>
                <w:color w:val="303846"/>
                <w:sz w:val="16"/>
              </w:rPr>
              <w:t>Partial</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OSIEL-REQ-054</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Negative, null, conflicting, and failed results shall be retained.</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Users cannot selectively delete valid negative evidence from an approved study.</w:t>
            </w:r>
          </w:p>
        </w:tc>
        <w:tc>
          <w:tcPr>
            <w:tcW w:type="dxa" w:w="1440"/>
            <w:tcMar>
              <w:top w:w="80" w:type="dxa"/>
              <w:start w:w="120" w:type="dxa"/>
              <w:bottom w:w="80" w:type="dxa"/>
              <w:end w:w="120" w:type="dxa"/>
            </w:tcMar>
            <w:vAlign w:val="center"/>
            <w:shd w:fill="FFF5DE"/>
          </w:tcPr>
          <w:p>
            <w:pPr>
              <w:spacing w:before="0" w:after="0"/>
            </w:pPr>
            <w:r/>
            <w:r>
              <w:rPr>
                <w:rFonts w:ascii="Calibri" w:hAnsi="Calibri"/>
                <w:b w:val="0"/>
                <w:i w:val="0"/>
                <w:color w:val="303846"/>
                <w:sz w:val="16"/>
              </w:rPr>
              <w:t>Contract</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OSIEL-REQ-055</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QC shall be automated where possible and reviewable.</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Control presence, ranges, replicate consistency, completeness, and protocol checks are stored.</w:t>
            </w:r>
          </w:p>
        </w:tc>
        <w:tc>
          <w:tcPr>
            <w:tcW w:type="dxa" w:w="1440"/>
            <w:tcMar>
              <w:top w:w="80" w:type="dxa"/>
              <w:start w:w="120" w:type="dxa"/>
              <w:bottom w:w="80" w:type="dxa"/>
              <w:end w:w="120" w:type="dxa"/>
            </w:tcMar>
            <w:vAlign w:val="center"/>
            <w:shd w:fill="EAF8F4"/>
          </w:tcPr>
          <w:p>
            <w:pPr>
              <w:spacing w:before="0" w:after="0"/>
            </w:pPr>
            <w:r/>
            <w:r>
              <w:rPr>
                <w:rFonts w:ascii="Calibri" w:hAnsi="Calibri"/>
                <w:b w:val="0"/>
                <w:i w:val="0"/>
                <w:color w:val="303846"/>
                <w:sz w:val="16"/>
              </w:rPr>
              <w:t>Implemented reference</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OSIEL-REQ-056</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Scientific approval shall be a named, reasoned, auditable action.</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Approval/rejection records reviewer, timestamp, reason, and training eligibility.</w:t>
            </w:r>
          </w:p>
        </w:tc>
        <w:tc>
          <w:tcPr>
            <w:tcW w:type="dxa" w:w="1440"/>
            <w:tcMar>
              <w:top w:w="80" w:type="dxa"/>
              <w:start w:w="120" w:type="dxa"/>
              <w:bottom w:w="80" w:type="dxa"/>
              <w:end w:w="120" w:type="dxa"/>
            </w:tcMar>
            <w:vAlign w:val="center"/>
            <w:shd w:fill="EAF8F4"/>
          </w:tcPr>
          <w:p>
            <w:pPr>
              <w:spacing w:before="0" w:after="0"/>
            </w:pPr>
            <w:r/>
            <w:r>
              <w:rPr>
                <w:rFonts w:ascii="Calibri" w:hAnsi="Calibri"/>
                <w:b w:val="0"/>
                <w:i w:val="0"/>
                <w:color w:val="303846"/>
                <w:sz w:val="16"/>
              </w:rPr>
              <w:t>Implemented</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OSIEL-REQ-057</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Active-learning suggestions shall balance utility, uncertainty, diversity, feasibility, and experiment cost.</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The policy explains why each suggested experiment adds information.</w:t>
            </w:r>
          </w:p>
        </w:tc>
        <w:tc>
          <w:tcPr>
            <w:tcW w:type="dxa" w:w="1440"/>
            <w:tcMar>
              <w:top w:w="80" w:type="dxa"/>
              <w:start w:w="120" w:type="dxa"/>
              <w:bottom w:w="80" w:type="dxa"/>
              <w:end w:w="120" w:type="dxa"/>
            </w:tcMar>
            <w:vAlign w:val="center"/>
            <w:shd w:fill="FFF5DE"/>
          </w:tcPr>
          <w:p>
            <w:pPr>
              <w:spacing w:before="0" w:after="0"/>
            </w:pPr>
            <w:r/>
            <w:r>
              <w:rPr>
                <w:rFonts w:ascii="Calibri" w:hAnsi="Calibri"/>
                <w:b w:val="0"/>
                <w:i w:val="0"/>
                <w:color w:val="303846"/>
                <w:sz w:val="16"/>
              </w:rPr>
              <w:t>Contract</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OSIEL-REQ-058</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Retraining shall start only from an approved immutable snapshot and execute offline.</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Uploading or approving one result never changes the online model.</w:t>
            </w:r>
          </w:p>
        </w:tc>
        <w:tc>
          <w:tcPr>
            <w:tcW w:type="dxa" w:w="1440"/>
            <w:tcMar>
              <w:top w:w="80" w:type="dxa"/>
              <w:start w:w="120" w:type="dxa"/>
              <w:bottom w:w="80" w:type="dxa"/>
              <w:end w:w="120" w:type="dxa"/>
            </w:tcMar>
            <w:vAlign w:val="center"/>
            <w:shd w:fill="EAF8F4"/>
          </w:tcPr>
          <w:p>
            <w:pPr>
              <w:spacing w:before="0" w:after="0"/>
            </w:pPr>
            <w:r/>
            <w:r>
              <w:rPr>
                <w:rFonts w:ascii="Calibri" w:hAnsi="Calibri"/>
                <w:b w:val="0"/>
                <w:i w:val="0"/>
                <w:color w:val="303846"/>
                <w:sz w:val="16"/>
              </w:rPr>
              <w:t>Implemented gate</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OSIEL-REQ-059</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Challenger models shall be evaluated against the champion on frozen gates before promotion.</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Promotion requires comparable metrics, slice checks, calibration, lineage, and named approval.</w:t>
            </w:r>
          </w:p>
        </w:tc>
        <w:tc>
          <w:tcPr>
            <w:tcW w:type="dxa" w:w="1440"/>
            <w:tcMar>
              <w:top w:w="80" w:type="dxa"/>
              <w:start w:w="120" w:type="dxa"/>
              <w:bottom w:w="80" w:type="dxa"/>
              <w:end w:w="120" w:type="dxa"/>
            </w:tcMar>
            <w:vAlign w:val="center"/>
            <w:shd w:fill="EAF8F4"/>
          </w:tcPr>
          <w:p>
            <w:pPr>
              <w:spacing w:before="0" w:after="0"/>
            </w:pPr>
            <w:r/>
            <w:r>
              <w:rPr>
                <w:rFonts w:ascii="Calibri" w:hAnsi="Calibri"/>
                <w:b w:val="0"/>
                <w:i w:val="0"/>
                <w:color w:val="303846"/>
                <w:sz w:val="16"/>
              </w:rPr>
              <w:t>Implemented boundary</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OSIEL-REQ-060</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Model promotion shall support deprecation and rollback without loss of historical predictions.</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 former champion remains resolvable; rollback restores a prior approved alias.</w:t>
            </w:r>
          </w:p>
        </w:tc>
        <w:tc>
          <w:tcPr>
            <w:tcW w:type="dxa" w:w="1440"/>
            <w:tcMar>
              <w:top w:w="80" w:type="dxa"/>
              <w:start w:w="120" w:type="dxa"/>
              <w:bottom w:w="80" w:type="dxa"/>
              <w:end w:w="120" w:type="dxa"/>
            </w:tcMar>
            <w:vAlign w:val="center"/>
            <w:shd w:fill="FFF5DE"/>
          </w:tcPr>
          <w:p>
            <w:pPr>
              <w:spacing w:before="0" w:after="0"/>
            </w:pPr>
            <w:r/>
            <w:r>
              <w:rPr>
                <w:rFonts w:ascii="Calibri" w:hAnsi="Calibri"/>
                <w:b w:val="0"/>
                <w:i w:val="0"/>
                <w:color w:val="303846"/>
                <w:sz w:val="16"/>
              </w:rPr>
              <w:t>Contract</w:t>
            </w:r>
          </w:p>
        </w:tc>
      </w:tr>
    </w:tbl>
    <w:p>
      <w:pPr>
        <w:spacing w:after="0"/>
      </w:pPr>
    </w:p>
    <w:p>
      <w:pPr>
        <w:pStyle w:val="Heading2"/>
      </w:pPr>
      <w:r>
        <w:t>6.9 Platform, experience, security, and acceptance</w:t>
      </w:r>
    </w:p>
    <w:tbl>
      <w:tblPr>
        <w:tblStyle w:val="TableGrid"/>
        <w:tblW w:type="dxa" w:w="9360"/>
        <w:jc w:val="left"/>
        <w:tblLayout w:type="fixed"/>
        <w:tblLook w:firstColumn="1" w:firstRow="1" w:lastColumn="0" w:lastRow="0" w:noHBand="0" w:noVBand="1" w:val="04A0"/>
        <w:tblInd w:w="120" w:type="dxa"/>
      </w:tblPr>
      <w:tblGrid>
        <w:gridCol w:w="1368"/>
        <w:gridCol w:w="3672"/>
        <w:gridCol w:w="2880"/>
        <w:gridCol w:w="1440"/>
      </w:tblGrid>
      <w:tr>
        <w:trPr>
          <w:tblHeader w:val="true"/>
          <w:cantSplit/>
        </w:trPr>
        <w:tc>
          <w:tcPr>
            <w:tcW w:type="dxa" w:w="1368"/>
            <w:tcMar>
              <w:top w:w="80" w:type="dxa"/>
              <w:start w:w="120" w:type="dxa"/>
              <w:bottom w:w="80" w:type="dxa"/>
              <w:end w:w="120" w:type="dxa"/>
            </w:tcMar>
            <w:vAlign w:val="center"/>
            <w:shd w:fill="F2F4F7"/>
          </w:tcPr>
          <w:p>
            <w:pPr>
              <w:spacing w:before="0" w:after="0"/>
            </w:pPr>
            <w:r/>
            <w:r>
              <w:rPr>
                <w:rFonts w:ascii="Calibri" w:hAnsi="Calibri"/>
                <w:b/>
                <w:i w:val="0"/>
                <w:color w:val="17233F"/>
                <w:sz w:val="17"/>
              </w:rPr>
              <w:t>ID</w:t>
            </w:r>
          </w:p>
        </w:tc>
        <w:tc>
          <w:tcPr>
            <w:tcW w:type="dxa" w:w="3672"/>
            <w:tcMar>
              <w:top w:w="80" w:type="dxa"/>
              <w:start w:w="120" w:type="dxa"/>
              <w:bottom w:w="80" w:type="dxa"/>
              <w:end w:w="120" w:type="dxa"/>
            </w:tcMar>
            <w:vAlign w:val="center"/>
            <w:shd w:fill="F2F4F7"/>
          </w:tcPr>
          <w:p>
            <w:pPr>
              <w:spacing w:before="0" w:after="0"/>
            </w:pPr>
            <w:r/>
            <w:r>
              <w:rPr>
                <w:rFonts w:ascii="Calibri" w:hAnsi="Calibri"/>
                <w:b/>
                <w:i w:val="0"/>
                <w:color w:val="17233F"/>
                <w:sz w:val="17"/>
              </w:rPr>
              <w:t>Requirement</w:t>
            </w:r>
          </w:p>
        </w:tc>
        <w:tc>
          <w:tcPr>
            <w:tcW w:type="dxa" w:w="2880"/>
            <w:tcMar>
              <w:top w:w="80" w:type="dxa"/>
              <w:start w:w="120" w:type="dxa"/>
              <w:bottom w:w="80" w:type="dxa"/>
              <w:end w:w="120" w:type="dxa"/>
            </w:tcMar>
            <w:vAlign w:val="center"/>
            <w:shd w:fill="F2F4F7"/>
          </w:tcPr>
          <w:p>
            <w:pPr>
              <w:spacing w:before="0" w:after="0"/>
            </w:pPr>
            <w:r/>
            <w:r>
              <w:rPr>
                <w:rFonts w:ascii="Calibri" w:hAnsi="Calibri"/>
                <w:b/>
                <w:i w:val="0"/>
                <w:color w:val="17233F"/>
                <w:sz w:val="17"/>
              </w:rPr>
              <w:t>Acceptance criterion</w:t>
            </w:r>
          </w:p>
        </w:tc>
        <w:tc>
          <w:tcPr>
            <w:tcW w:type="dxa" w:w="1440"/>
            <w:tcMar>
              <w:top w:w="80" w:type="dxa"/>
              <w:start w:w="120" w:type="dxa"/>
              <w:bottom w:w="80" w:type="dxa"/>
              <w:end w:w="120" w:type="dxa"/>
            </w:tcMar>
            <w:vAlign w:val="center"/>
            <w:shd w:fill="F2F4F7"/>
          </w:tcPr>
          <w:p>
            <w:pPr>
              <w:spacing w:before="0" w:after="0"/>
            </w:pPr>
            <w:r/>
            <w:r>
              <w:rPr>
                <w:rFonts w:ascii="Calibri" w:hAnsi="Calibri"/>
                <w:b/>
                <w:i w:val="0"/>
                <w:color w:val="17233F"/>
                <w:sz w:val="17"/>
              </w:rPr>
              <w:t>Reference status</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OSIEL-REQ-061</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The platform shall publish versioned REST/OpenAPI and asynchronous event contracts.</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API schemas validate requests/responses and event envelopes carry idempotency and lineage keys.</w:t>
            </w:r>
          </w:p>
        </w:tc>
        <w:tc>
          <w:tcPr>
            <w:tcW w:type="dxa" w:w="1440"/>
            <w:tcMar>
              <w:top w:w="80" w:type="dxa"/>
              <w:start w:w="120" w:type="dxa"/>
              <w:bottom w:w="80" w:type="dxa"/>
              <w:end w:w="120" w:type="dxa"/>
            </w:tcMar>
            <w:vAlign w:val="center"/>
            <w:shd w:fill="EAF8F4"/>
          </w:tcPr>
          <w:p>
            <w:pPr>
              <w:spacing w:before="0" w:after="0"/>
            </w:pPr>
            <w:r/>
            <w:r>
              <w:rPr>
                <w:rFonts w:ascii="Calibri" w:hAnsi="Calibri"/>
                <w:b w:val="0"/>
                <w:i w:val="0"/>
                <w:color w:val="303846"/>
                <w:sz w:val="16"/>
              </w:rPr>
              <w:t>Implemented REST/OpenAPI; event contract</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OSIEL-REQ-062</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The Next.js workbench shall support task context, search, candidate comparison, evidence, ADMET, ranking, experiment planning, governance, and audit views.</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Core research cockpit is usable on desktop and responsive layouts.</w:t>
            </w:r>
          </w:p>
        </w:tc>
        <w:tc>
          <w:tcPr>
            <w:tcW w:type="dxa" w:w="1440"/>
            <w:tcMar>
              <w:top w:w="80" w:type="dxa"/>
              <w:start w:w="120" w:type="dxa"/>
              <w:bottom w:w="80" w:type="dxa"/>
              <w:end w:w="120" w:type="dxa"/>
            </w:tcMar>
            <w:vAlign w:val="center"/>
            <w:shd w:fill="EAF8F4"/>
          </w:tcPr>
          <w:p>
            <w:pPr>
              <w:spacing w:before="0" w:after="0"/>
            </w:pPr>
            <w:r/>
            <w:r>
              <w:rPr>
                <w:rFonts w:ascii="Calibri" w:hAnsi="Calibri"/>
                <w:b w:val="0"/>
                <w:i w:val="0"/>
                <w:color w:val="303846"/>
                <w:sz w:val="16"/>
              </w:rPr>
              <w:t>Implemented</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OSIEL-REQ-063</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The scientific assistant shall be evidence-bound and uncertainty-aware.</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Answers cite available evidence, identify missing information, recommend a next research action, and avoid clinical claims.</w:t>
            </w:r>
          </w:p>
        </w:tc>
        <w:tc>
          <w:tcPr>
            <w:tcW w:type="dxa" w:w="1440"/>
            <w:tcMar>
              <w:top w:w="80" w:type="dxa"/>
              <w:start w:w="120" w:type="dxa"/>
              <w:bottom w:w="80" w:type="dxa"/>
              <w:end w:w="120" w:type="dxa"/>
            </w:tcMar>
            <w:vAlign w:val="center"/>
            <w:shd w:fill="EAF8F4"/>
          </w:tcPr>
          <w:p>
            <w:pPr>
              <w:spacing w:before="0" w:after="0"/>
            </w:pPr>
            <w:r/>
            <w:r>
              <w:rPr>
                <w:rFonts w:ascii="Calibri" w:hAnsi="Calibri"/>
                <w:b w:val="0"/>
                <w:i w:val="0"/>
                <w:color w:val="303846"/>
                <w:sz w:val="16"/>
              </w:rPr>
              <w:t>Implemented reference</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OSIEL-REQ-064</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Authentication, RBAC, tenant isolation, and least privilege shall protect every data and action path.</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OIDC and database row-level security pass positive and negative access tests.</w:t>
            </w:r>
          </w:p>
        </w:tc>
        <w:tc>
          <w:tcPr>
            <w:tcW w:type="dxa" w:w="1440"/>
            <w:tcMar>
              <w:top w:w="80" w:type="dxa"/>
              <w:start w:w="120" w:type="dxa"/>
              <w:bottom w:w="80" w:type="dxa"/>
              <w:end w:w="120" w:type="dxa"/>
            </w:tcMar>
            <w:vAlign w:val="center"/>
            <w:shd w:fill="FFF5DE"/>
          </w:tcPr>
          <w:p>
            <w:pPr>
              <w:spacing w:before="0" w:after="0"/>
            </w:pPr>
            <w:r/>
            <w:r>
              <w:rPr>
                <w:rFonts w:ascii="Calibri" w:hAnsi="Calibri"/>
                <w:b w:val="0"/>
                <w:i w:val="0"/>
                <w:color w:val="303846"/>
                <w:sz w:val="16"/>
              </w:rPr>
              <w:t>Contract</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OSIEL-REQ-065</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Security-sensitive and scientific actions shall create tamper-evident audit and provenance records.</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Actor, action, object, timestamp, reason, and relevant versions are queryable.</w:t>
            </w:r>
          </w:p>
        </w:tc>
        <w:tc>
          <w:tcPr>
            <w:tcW w:type="dxa" w:w="1440"/>
            <w:tcMar>
              <w:top w:w="80" w:type="dxa"/>
              <w:start w:w="120" w:type="dxa"/>
              <w:bottom w:w="80" w:type="dxa"/>
              <w:end w:w="120" w:type="dxa"/>
            </w:tcMar>
            <w:vAlign w:val="center"/>
            <w:shd w:fill="EAF8F4"/>
          </w:tcPr>
          <w:p>
            <w:pPr>
              <w:spacing w:before="0" w:after="0"/>
            </w:pPr>
            <w:r/>
            <w:r>
              <w:rPr>
                <w:rFonts w:ascii="Calibri" w:hAnsi="Calibri"/>
                <w:b w:val="0"/>
                <w:i w:val="0"/>
                <w:color w:val="303846"/>
                <w:sz w:val="16"/>
              </w:rPr>
              <w:t>Implemented reference</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OSIEL-REQ-066</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The platform shall meet reproducibility, availability, observability, backup, SBOM, secret-management, and disaster-recovery controls.</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Release evidence includes test, scan, lineage, backup-restore, and runbook results.</w:t>
            </w:r>
          </w:p>
        </w:tc>
        <w:tc>
          <w:tcPr>
            <w:tcW w:type="dxa" w:w="1440"/>
            <w:tcMar>
              <w:top w:w="80" w:type="dxa"/>
              <w:start w:w="120" w:type="dxa"/>
              <w:bottom w:w="80" w:type="dxa"/>
              <w:end w:w="120" w:type="dxa"/>
            </w:tcMar>
            <w:vAlign w:val="center"/>
            <w:shd w:fill="FFF5DE"/>
          </w:tcPr>
          <w:p>
            <w:pPr>
              <w:spacing w:before="0" w:after="0"/>
            </w:pPr>
            <w:r/>
            <w:r>
              <w:rPr>
                <w:rFonts w:ascii="Calibri" w:hAnsi="Calibri"/>
                <w:b w:val="0"/>
                <w:i w:val="0"/>
                <w:color w:val="303846"/>
                <w:sz w:val="16"/>
              </w:rPr>
              <w:t>Contract</w:t>
            </w:r>
          </w:p>
        </w:tc>
      </w:tr>
      <w:tr>
        <w:trPr>
          <w:cantSplit/>
        </w:trPr>
        <w:tc>
          <w:tcPr>
            <w:tcW w:type="dxa" w:w="1368"/>
            <w:tcMar>
              <w:top w:w="80" w:type="dxa"/>
              <w:start w:w="120" w:type="dxa"/>
              <w:bottom w:w="80" w:type="dxa"/>
              <w:end w:w="120" w:type="dxa"/>
            </w:tcMar>
            <w:vAlign w:val="center"/>
            <w:shd w:fill="FFFFFF"/>
          </w:tcPr>
          <w:p>
            <w:pPr>
              <w:spacing w:before="0" w:after="0"/>
            </w:pPr>
            <w:r/>
            <w:r>
              <w:rPr>
                <w:rFonts w:ascii="Calibri" w:hAnsi="Calibri"/>
                <w:b/>
                <w:i w:val="0"/>
                <w:color w:val="303846"/>
                <w:sz w:val="16"/>
              </w:rPr>
              <w:t>OSIEL-REQ-067</w:t>
            </w:r>
          </w:p>
        </w:tc>
        <w:tc>
          <w:tcPr>
            <w:tcW w:type="dxa" w:w="36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Release acceptance shall execute a complete identity-to-ranking-to-experiment-to-review-to-governance scenario and verify claim boundaries.</w:t>
            </w:r>
          </w:p>
        </w:tc>
        <w:tc>
          <w:tcPr>
            <w:tcW w:type="dxa" w:w="288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Automated E2E tests pass; no simulated result becomes training eligible; no approval mutates the champion.</w:t>
            </w:r>
          </w:p>
        </w:tc>
        <w:tc>
          <w:tcPr>
            <w:tcW w:type="dxa" w:w="1440"/>
            <w:tcMar>
              <w:top w:w="80" w:type="dxa"/>
              <w:start w:w="120" w:type="dxa"/>
              <w:bottom w:w="80" w:type="dxa"/>
              <w:end w:w="120" w:type="dxa"/>
            </w:tcMar>
            <w:vAlign w:val="center"/>
            <w:shd w:fill="EAF8F4"/>
          </w:tcPr>
          <w:p>
            <w:pPr>
              <w:spacing w:before="0" w:after="0"/>
            </w:pPr>
            <w:r/>
            <w:r>
              <w:rPr>
                <w:rFonts w:ascii="Calibri" w:hAnsi="Calibri"/>
                <w:b w:val="0"/>
                <w:i w:val="0"/>
                <w:color w:val="303846"/>
                <w:sz w:val="16"/>
              </w:rPr>
              <w:t>Implemented reference</w:t>
            </w:r>
          </w:p>
        </w:tc>
      </w:tr>
    </w:tbl>
    <w:p>
      <w:pPr>
        <w:spacing w:after="0"/>
      </w:pPr>
    </w:p>
    <w:p>
      <w:pPr>
        <w:pStyle w:val="Heading1"/>
      </w:pPr>
      <w:r>
        <w:t>7. Functional architecture</w:t>
      </w:r>
    </w:p>
    <w:p>
      <w:pPr>
        <w:pStyle w:val="Heading2"/>
      </w:pPr>
      <w:r>
        <w:t>7.1 Logical layers</w:t>
      </w:r>
    </w:p>
    <w:p>
      <w:pPr>
        <w:numPr>
          <w:ilvl w:val="0"/>
          <w:numId w:val="10"/>
        </w:numPr>
        <w:pStyle w:val="ListNumber"/>
      </w:pPr>
      <w:r>
        <w:rPr>
          <w:rFonts w:ascii="Calibri" w:hAnsi="Calibri"/>
          <w:b w:val="0"/>
          <w:i w:val="0"/>
          <w:color w:val="222222"/>
          <w:sz w:val="22"/>
        </w:rPr>
        <w:t>Experience layer — Next.js research cockpit and evidence-bound assistant.</w:t>
      </w:r>
    </w:p>
    <w:p>
      <w:pPr>
        <w:numPr>
          <w:ilvl w:val="0"/>
          <w:numId w:val="10"/>
        </w:numPr>
        <w:pStyle w:val="ListNumber"/>
      </w:pPr>
      <w:r>
        <w:rPr>
          <w:rFonts w:ascii="Calibri" w:hAnsi="Calibri"/>
          <w:b w:val="0"/>
          <w:i w:val="0"/>
          <w:color w:val="222222"/>
          <w:sz w:val="22"/>
        </w:rPr>
        <w:t>API layer — FastAPI request validation, resource contracts, actor context, and OpenAPI.</w:t>
      </w:r>
    </w:p>
    <w:p>
      <w:pPr>
        <w:numPr>
          <w:ilvl w:val="0"/>
          <w:numId w:val="10"/>
        </w:numPr>
        <w:pStyle w:val="ListNumber"/>
      </w:pPr>
      <w:r>
        <w:rPr>
          <w:rFonts w:ascii="Calibri" w:hAnsi="Calibri"/>
          <w:b w:val="0"/>
          <w:i w:val="0"/>
          <w:color w:val="222222"/>
          <w:sz w:val="22"/>
        </w:rPr>
        <w:t>Domain layer — chemistry, prediction, ADMET, ranking, experiment, QC, governance, and audit services.</w:t>
      </w:r>
    </w:p>
    <w:p>
      <w:pPr>
        <w:numPr>
          <w:ilvl w:val="0"/>
          <w:numId w:val="10"/>
        </w:numPr>
        <w:pStyle w:val="ListNumber"/>
      </w:pPr>
      <w:r>
        <w:rPr>
          <w:rFonts w:ascii="Calibri" w:hAnsi="Calibri"/>
          <w:b w:val="0"/>
          <w:i w:val="0"/>
          <w:color w:val="222222"/>
          <w:sz w:val="22"/>
        </w:rPr>
        <w:t>Data layer — PostgreSQL with RDKit cartridge for production; object storage and Parquet/Iceberg for immutable analytical data; SQLite in the developer reference.</w:t>
      </w:r>
    </w:p>
    <w:p>
      <w:pPr>
        <w:numPr>
          <w:ilvl w:val="0"/>
          <w:numId w:val="10"/>
        </w:numPr>
        <w:pStyle w:val="ListNumber"/>
      </w:pPr>
      <w:r>
        <w:rPr>
          <w:rFonts w:ascii="Calibri" w:hAnsi="Calibri"/>
          <w:b w:val="0"/>
          <w:i w:val="0"/>
          <w:color w:val="222222"/>
          <w:sz w:val="22"/>
        </w:rPr>
        <w:t>ML and workflow layer — offline feature/training pipelines, MLflow registry, DVC or equivalent snapshot lineage, and Prefect orchestration.</w:t>
      </w:r>
    </w:p>
    <w:p>
      <w:pPr>
        <w:numPr>
          <w:ilvl w:val="0"/>
          <w:numId w:val="10"/>
        </w:numPr>
        <w:pStyle w:val="ListNumber"/>
      </w:pPr>
      <w:r>
        <w:rPr>
          <w:rFonts w:ascii="Calibri" w:hAnsi="Calibri"/>
          <w:b w:val="0"/>
          <w:i w:val="0"/>
          <w:color w:val="222222"/>
          <w:sz w:val="22"/>
        </w:rPr>
        <w:t>Integration layer — official data-source connectors and transactional outbox or Kafka event delivery.</w:t>
      </w:r>
    </w:p>
    <w:p>
      <w:pPr>
        <w:numPr>
          <w:ilvl w:val="0"/>
          <w:numId w:val="10"/>
        </w:numPr>
        <w:pStyle w:val="ListNumber"/>
      </w:pPr>
      <w:r>
        <w:rPr>
          <w:rFonts w:ascii="Calibri" w:hAnsi="Calibri"/>
          <w:b w:val="0"/>
          <w:i w:val="0"/>
          <w:color w:val="222222"/>
          <w:sz w:val="22"/>
        </w:rPr>
        <w:t>Control layer — OIDC, RBAC, row-level security, policy versions, audit, observability, secrets, backups, and deployment approvals.</w:t>
      </w:r>
    </w:p>
    <w:p>
      <w:pPr>
        <w:pStyle w:val="Heading2"/>
      </w:pPr>
      <w:r>
        <w:t>7.2 Mandatory separation</w:t>
      </w:r>
    </w:p>
    <w:p>
      <w:r>
        <w:rPr>
          <w:rFonts w:ascii="Calibri" w:hAnsi="Calibri"/>
          <w:b w:val="0"/>
          <w:i w:val="0"/>
          <w:color w:val="222222"/>
          <w:sz w:val="22"/>
        </w:rPr>
        <w:t>Online path:</w:t>
      </w:r>
    </w:p>
    <w:p>
      <w:pPr>
        <w:pStyle w:val="ListBullet"/>
      </w:pPr>
      <w:r>
        <w:rPr>
          <w:rFonts w:ascii="Calibri" w:hAnsi="Calibri"/>
          <w:b w:val="0"/>
          <w:i w:val="0"/>
          <w:color w:val="222222"/>
          <w:sz w:val="22"/>
        </w:rPr>
        <w:t>validate actor and project;</w:t>
      </w:r>
    </w:p>
    <w:p>
      <w:pPr>
        <w:pStyle w:val="ListBullet"/>
      </w:pPr>
      <w:r>
        <w:rPr>
          <w:rFonts w:ascii="Calibri" w:hAnsi="Calibri"/>
          <w:b w:val="0"/>
          <w:i w:val="0"/>
          <w:color w:val="222222"/>
          <w:sz w:val="22"/>
        </w:rPr>
        <w:t>resolve standardized compounds;</w:t>
      </w:r>
    </w:p>
    <w:p>
      <w:pPr>
        <w:pStyle w:val="ListBullet"/>
      </w:pPr>
      <w:r>
        <w:rPr>
          <w:rFonts w:ascii="Calibri" w:hAnsi="Calibri"/>
          <w:b w:val="0"/>
          <w:i w:val="0"/>
          <w:color w:val="222222"/>
          <w:sz w:val="22"/>
        </w:rPr>
        <w:t>load one approved model version;</w:t>
      </w:r>
    </w:p>
    <w:p>
      <w:pPr>
        <w:pStyle w:val="ListBullet"/>
      </w:pPr>
      <w:r>
        <w:rPr>
          <w:rFonts w:ascii="Calibri" w:hAnsi="Calibri"/>
          <w:b w:val="0"/>
          <w:i w:val="0"/>
          <w:color w:val="222222"/>
          <w:sz w:val="22"/>
        </w:rPr>
        <w:t>calculate or load features;</w:t>
      </w:r>
    </w:p>
    <w:p>
      <w:pPr>
        <w:pStyle w:val="ListBullet"/>
      </w:pPr>
      <w:r>
        <w:rPr>
          <w:rFonts w:ascii="Calibri" w:hAnsi="Calibri"/>
          <w:b w:val="0"/>
          <w:i w:val="0"/>
          <w:color w:val="222222"/>
          <w:sz w:val="22"/>
        </w:rPr>
        <w:t>predict;</w:t>
      </w:r>
    </w:p>
    <w:p>
      <w:pPr>
        <w:pStyle w:val="ListBullet"/>
      </w:pPr>
      <w:r>
        <w:rPr>
          <w:rFonts w:ascii="Calibri" w:hAnsi="Calibri"/>
          <w:b w:val="0"/>
          <w:i w:val="0"/>
          <w:color w:val="222222"/>
          <w:sz w:val="22"/>
        </w:rPr>
        <w:t>calculate uncertainty and domain status;</w:t>
      </w:r>
    </w:p>
    <w:p>
      <w:pPr>
        <w:pStyle w:val="ListBullet"/>
      </w:pPr>
      <w:r>
        <w:rPr>
          <w:rFonts w:ascii="Calibri" w:hAnsi="Calibri"/>
          <w:b w:val="0"/>
          <w:i w:val="0"/>
          <w:color w:val="222222"/>
          <w:sz w:val="22"/>
        </w:rPr>
        <w:t>retrieve analog evidence and endpoint ADMET;</w:t>
      </w:r>
    </w:p>
    <w:p>
      <w:pPr>
        <w:pStyle w:val="ListBullet"/>
      </w:pPr>
      <w:r>
        <w:rPr>
          <w:rFonts w:ascii="Calibri" w:hAnsi="Calibri"/>
          <w:b w:val="0"/>
          <w:i w:val="0"/>
          <w:color w:val="222222"/>
          <w:sz w:val="22"/>
        </w:rPr>
        <w:t>apply a versioned ranking policy;</w:t>
      </w:r>
    </w:p>
    <w:p>
      <w:pPr>
        <w:pStyle w:val="ListBullet"/>
      </w:pPr>
      <w:r>
        <w:rPr>
          <w:rFonts w:ascii="Calibri" w:hAnsi="Calibri"/>
          <w:b w:val="0"/>
          <w:i w:val="0"/>
          <w:color w:val="222222"/>
          <w:sz w:val="22"/>
        </w:rPr>
        <w:t>store immutable run/audit metadata;</w:t>
      </w:r>
    </w:p>
    <w:p>
      <w:pPr>
        <w:pStyle w:val="ListBullet"/>
      </w:pPr>
      <w:r>
        <w:rPr>
          <w:rFonts w:ascii="Calibri" w:hAnsi="Calibri"/>
          <w:b w:val="0"/>
          <w:i w:val="0"/>
          <w:color w:val="222222"/>
          <w:sz w:val="22"/>
        </w:rPr>
        <w:t>return results.</w:t>
      </w:r>
    </w:p>
    <w:p>
      <w:r>
        <w:rPr>
          <w:rFonts w:ascii="Calibri" w:hAnsi="Calibri"/>
          <w:b w:val="0"/>
          <w:i w:val="0"/>
          <w:color w:val="222222"/>
          <w:sz w:val="22"/>
        </w:rPr>
        <w:t>Offline path:</w:t>
      </w:r>
    </w:p>
    <w:p>
      <w:pPr>
        <w:pStyle w:val="ListBullet"/>
      </w:pPr>
      <w:r>
        <w:rPr>
          <w:rFonts w:ascii="Calibri" w:hAnsi="Calibri"/>
          <w:b w:val="0"/>
          <w:i w:val="0"/>
          <w:color w:val="222222"/>
          <w:sz w:val="22"/>
        </w:rPr>
        <w:t>register source releases;</w:t>
      </w:r>
    </w:p>
    <w:p>
      <w:pPr>
        <w:pStyle w:val="ListBullet"/>
      </w:pPr>
      <w:r>
        <w:rPr>
          <w:rFonts w:ascii="Calibri" w:hAnsi="Calibri"/>
          <w:b w:val="0"/>
          <w:i w:val="0"/>
          <w:color w:val="222222"/>
          <w:sz w:val="22"/>
        </w:rPr>
        <w:t>ingest and curate raw records;</w:t>
      </w:r>
    </w:p>
    <w:p>
      <w:pPr>
        <w:pStyle w:val="ListBullet"/>
      </w:pPr>
      <w:r>
        <w:rPr>
          <w:rFonts w:ascii="Calibri" w:hAnsi="Calibri"/>
          <w:b w:val="0"/>
          <w:i w:val="0"/>
          <w:color w:val="222222"/>
          <w:sz w:val="22"/>
        </w:rPr>
        <w:t>build task-specific views;</w:t>
      </w:r>
    </w:p>
    <w:p>
      <w:pPr>
        <w:pStyle w:val="ListBullet"/>
      </w:pPr>
      <w:r>
        <w:rPr>
          <w:rFonts w:ascii="Calibri" w:hAnsi="Calibri"/>
          <w:b w:val="0"/>
          <w:i w:val="0"/>
          <w:color w:val="222222"/>
          <w:sz w:val="22"/>
        </w:rPr>
        <w:t>create immutable snapshots;</w:t>
      </w:r>
    </w:p>
    <w:p>
      <w:pPr>
        <w:pStyle w:val="ListBullet"/>
      </w:pPr>
      <w:r>
        <w:rPr>
          <w:rFonts w:ascii="Calibri" w:hAnsi="Calibri"/>
          <w:b w:val="0"/>
          <w:i w:val="0"/>
          <w:color w:val="222222"/>
          <w:sz w:val="22"/>
        </w:rPr>
        <w:t>audit leakage;</w:t>
      </w:r>
    </w:p>
    <w:p>
      <w:pPr>
        <w:pStyle w:val="ListBullet"/>
      </w:pPr>
      <w:r>
        <w:rPr>
          <w:rFonts w:ascii="Calibri" w:hAnsi="Calibri"/>
          <w:b w:val="0"/>
          <w:i w:val="0"/>
          <w:color w:val="222222"/>
          <w:sz w:val="22"/>
        </w:rPr>
        <w:t>train baselines and challengers;</w:t>
      </w:r>
    </w:p>
    <w:p>
      <w:pPr>
        <w:pStyle w:val="ListBullet"/>
      </w:pPr>
      <w:r>
        <w:rPr>
          <w:rFonts w:ascii="Calibri" w:hAnsi="Calibri"/>
          <w:b w:val="0"/>
          <w:i w:val="0"/>
          <w:color w:val="222222"/>
          <w:sz w:val="22"/>
        </w:rPr>
        <w:t>evaluate and calibrate;</w:t>
      </w:r>
    </w:p>
    <w:p>
      <w:pPr>
        <w:pStyle w:val="ListBullet"/>
      </w:pPr>
      <w:r>
        <w:rPr>
          <w:rFonts w:ascii="Calibri" w:hAnsi="Calibri"/>
          <w:b w:val="0"/>
          <w:i w:val="0"/>
          <w:color w:val="222222"/>
          <w:sz w:val="22"/>
        </w:rPr>
        <w:t>create model cards;</w:t>
      </w:r>
    </w:p>
    <w:p>
      <w:pPr>
        <w:pStyle w:val="ListBullet"/>
      </w:pPr>
      <w:r>
        <w:rPr>
          <w:rFonts w:ascii="Calibri" w:hAnsi="Calibri"/>
          <w:b w:val="0"/>
          <w:i w:val="0"/>
          <w:color w:val="222222"/>
          <w:sz w:val="22"/>
        </w:rPr>
        <w:t>seek independent approval;</w:t>
      </w:r>
    </w:p>
    <w:p>
      <w:pPr>
        <w:pStyle w:val="ListBullet"/>
      </w:pPr>
      <w:r>
        <w:rPr>
          <w:rFonts w:ascii="Calibri" w:hAnsi="Calibri"/>
          <w:b w:val="0"/>
          <w:i w:val="0"/>
          <w:color w:val="222222"/>
          <w:sz w:val="22"/>
        </w:rPr>
        <w:t>promote or reject.</w:t>
      </w:r>
    </w:p>
    <w:p>
      <w:r>
        <w:rPr>
          <w:rFonts w:ascii="Calibri" w:hAnsi="Calibri"/>
          <w:b w:val="0"/>
          <w:i w:val="0"/>
          <w:color w:val="222222"/>
          <w:sz w:val="22"/>
        </w:rPr>
        <w:t>No online request may invoke the offline path.</w:t>
      </w:r>
    </w:p>
    <w:p>
      <w:pPr>
        <w:pStyle w:val="Heading1"/>
      </w:pPr>
      <w:r>
        <w:t>8. Data model</w:t>
      </w:r>
    </w:p>
    <w:tbl>
      <w:tblPr>
        <w:tblStyle w:val="TableGrid"/>
        <w:tblW w:type="dxa" w:w="9360"/>
        <w:jc w:val="left"/>
        <w:tblLayout w:type="fixed"/>
        <w:tblLook w:firstColumn="1" w:firstRow="1" w:lastColumn="0" w:lastRow="0" w:noHBand="0" w:noVBand="1" w:val="04A0"/>
        <w:tblInd w:w="120" w:type="dxa"/>
      </w:tblPr>
      <w:tblGrid>
        <w:gridCol w:w="2232"/>
        <w:gridCol w:w="5256"/>
        <w:gridCol w:w="1872"/>
      </w:tblGrid>
      <w:tr>
        <w:trPr>
          <w:tblHeader w:val="true"/>
          <w:cantSplit/>
        </w:trPr>
        <w:tc>
          <w:tcPr>
            <w:tcW w:type="dxa" w:w="2232"/>
            <w:tcMar>
              <w:top w:w="80" w:type="dxa"/>
              <w:start w:w="120" w:type="dxa"/>
              <w:bottom w:w="80" w:type="dxa"/>
              <w:end w:w="120" w:type="dxa"/>
            </w:tcMar>
            <w:vAlign w:val="center"/>
            <w:shd w:fill="F2F4F7"/>
          </w:tcPr>
          <w:p>
            <w:pPr>
              <w:spacing w:before="0" w:after="0"/>
            </w:pPr>
            <w:r/>
            <w:r>
              <w:rPr>
                <w:rFonts w:ascii="Calibri" w:hAnsi="Calibri"/>
                <w:b/>
                <w:i w:val="0"/>
                <w:color w:val="17233F"/>
                <w:sz w:val="17"/>
              </w:rPr>
              <w:t>Entity</w:t>
            </w:r>
          </w:p>
        </w:tc>
        <w:tc>
          <w:tcPr>
            <w:tcW w:type="dxa" w:w="5256"/>
            <w:tcMar>
              <w:top w:w="80" w:type="dxa"/>
              <w:start w:w="120" w:type="dxa"/>
              <w:bottom w:w="80" w:type="dxa"/>
              <w:end w:w="120" w:type="dxa"/>
            </w:tcMar>
            <w:vAlign w:val="center"/>
            <w:shd w:fill="F2F4F7"/>
          </w:tcPr>
          <w:p>
            <w:pPr>
              <w:spacing w:before="0" w:after="0"/>
            </w:pPr>
            <w:r/>
            <w:r>
              <w:rPr>
                <w:rFonts w:ascii="Calibri" w:hAnsi="Calibri"/>
                <w:b/>
                <w:i w:val="0"/>
                <w:color w:val="17233F"/>
                <w:sz w:val="17"/>
              </w:rPr>
              <w:t>Required identity and purpose</w:t>
            </w:r>
          </w:p>
        </w:tc>
        <w:tc>
          <w:tcPr>
            <w:tcW w:type="dxa" w:w="1872"/>
            <w:tcMar>
              <w:top w:w="80" w:type="dxa"/>
              <w:start w:w="120" w:type="dxa"/>
              <w:bottom w:w="80" w:type="dxa"/>
              <w:end w:w="120" w:type="dxa"/>
            </w:tcMar>
            <w:vAlign w:val="center"/>
            <w:shd w:fill="F2F4F7"/>
          </w:tcPr>
          <w:p>
            <w:pPr>
              <w:spacing w:before="0" w:after="0"/>
            </w:pPr>
            <w:r/>
            <w:r>
              <w:rPr>
                <w:rFonts w:ascii="Calibri" w:hAnsi="Calibri"/>
                <w:b/>
                <w:i w:val="0"/>
                <w:color w:val="17233F"/>
                <w:sz w:val="17"/>
              </w:rPr>
              <w:t>Key relationships</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organisation</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Tenant boundary</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workspaces, users</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workspace</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Research domain and access boundary</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projects, policies</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project</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Program-level container</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studies, tasks, experiments</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source_registry</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Owner, endpoint, acquisition mode, licence, citation</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source_releases</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source_release</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Immutable release, manifest, checksum, retrieval time</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raw_records</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raw_record</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Preserved source payload and source-native ID</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lineage_edges</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compound_record</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Source-specific compound occurrence</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standardized_compound</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standardized_compound</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Canonical parent, InChIKey, descriptors, stereo, version</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aliases, measurements</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compound_alias</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Name or external identifier with provenance</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standardized_compound</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assay_definition</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Assay type, protocol, biological system, quality</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measurements</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endpoint_definition</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Endpoint meaning, unit policy, relation policy</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measurements, tasks</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measurement</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Raw and normalized value, relation, unit, context</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assay, compound</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task_definition</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Label rule, endpoint, context, eligibility, split policy</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dataset_snapshots</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dataset_snapshot</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Immutable eligible record set and checksum</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training_runs</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feature_snapshot</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Feature version and artifacts</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training_runs</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split_assignment</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Group/scaffold/time split membership and reason</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dataset_snapshot</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model_version</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Artifact, task, features, dataset, code, metrics, state</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predictions</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prediction_run</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Actor, inputs, versions, policy, timestamp</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predictions</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prediction</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Value, interval, uncertainty, domain, analogs</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ranking_items</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admet_prediction</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Endpoint-level value, confidence, domain, model</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prediction</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ranking_policy</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Weights, filters, thresholds, diversity, version</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ranking_runs</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ranking_run</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Candidate set, task, policy, timestamp</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ranking_items</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experiment</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Protocol, controls, candidates, status, ranking source</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experiment_results</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observation</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Dose, replicate, measured value, raw reference</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experiment_result</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experiment_result</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QC status, review status, simulation flag</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review_decisions</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review_decision</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Reviewer, reason, eligibility, timestamp</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dataset_snapshot proposal</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audit_event</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Actor, action, object, context, timestamp, integrity chain</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all governed objects</w:t>
            </w:r>
          </w:p>
        </w:tc>
      </w:tr>
    </w:tbl>
    <w:p>
      <w:pPr>
        <w:spacing w:after="0"/>
      </w:pPr>
    </w:p>
    <w:p>
      <w:r>
        <w:rPr>
          <w:rFonts w:ascii="Calibri" w:hAnsi="Calibri"/>
          <w:b w:val="0"/>
          <w:i w:val="0"/>
          <w:color w:val="222222"/>
          <w:sz w:val="22"/>
        </w:rPr>
        <w:t>All scientific entities use globally unique stable identifiers. Mutable convenience labels do not serve as identities.</w:t>
      </w:r>
    </w:p>
    <w:p>
      <w:pPr>
        <w:pStyle w:val="Heading1"/>
      </w:pPr>
      <w:r>
        <w:t>9. Chemistry and identity rules</w:t>
      </w:r>
    </w:p>
    <w:p>
      <w:r>
        <w:rPr>
          <w:rFonts w:ascii="Calibri" w:hAnsi="Calibri"/>
          <w:b w:val="0"/>
          <w:i w:val="0"/>
          <w:color w:val="222222"/>
          <w:sz w:val="22"/>
        </w:rPr>
        <w:t>The reference implementation uses RDKit to parse and sanitize SMILES, select a parent fragment, normalize charge where safe, assign stereochemistry state, calculate canonical SMILES and InChI/InChIKey, and calculate formula, molecular weight, cLogP, TPSA, hydrogen-bond donors/acceptors, rotatable bonds, ring count, fraction Csp3, and QED.</w:t>
      </w:r>
    </w:p>
    <w:p>
      <w:r>
        <w:rPr>
          <w:rFonts w:ascii="Calibri" w:hAnsi="Calibri"/>
          <w:b w:val="0"/>
          <w:i w:val="0"/>
          <w:color w:val="222222"/>
          <w:sz w:val="22"/>
        </w:rPr>
        <w:t>Production standardization must additionally freeze:</w:t>
      </w:r>
    </w:p>
    <w:p>
      <w:pPr>
        <w:pStyle w:val="ListBullet"/>
      </w:pPr>
      <w:r>
        <w:rPr>
          <w:rFonts w:ascii="Calibri" w:hAnsi="Calibri"/>
          <w:b w:val="0"/>
          <w:i w:val="0"/>
          <w:color w:val="222222"/>
          <w:sz w:val="22"/>
        </w:rPr>
        <w:t>RDKit version and standardization configuration;</w:t>
      </w:r>
    </w:p>
    <w:p>
      <w:pPr>
        <w:pStyle w:val="ListBullet"/>
      </w:pPr>
      <w:r>
        <w:rPr>
          <w:rFonts w:ascii="Calibri" w:hAnsi="Calibri"/>
          <w:b w:val="0"/>
          <w:i w:val="0"/>
          <w:color w:val="222222"/>
          <w:sz w:val="22"/>
        </w:rPr>
        <w:t>metal and organometallic policy;</w:t>
      </w:r>
    </w:p>
    <w:p>
      <w:pPr>
        <w:pStyle w:val="ListBullet"/>
      </w:pPr>
      <w:r>
        <w:rPr>
          <w:rFonts w:ascii="Calibri" w:hAnsi="Calibri"/>
          <w:b w:val="0"/>
          <w:i w:val="0"/>
          <w:color w:val="222222"/>
          <w:sz w:val="22"/>
        </w:rPr>
        <w:t>isotope policy;</w:t>
      </w:r>
    </w:p>
    <w:p>
      <w:pPr>
        <w:pStyle w:val="ListBullet"/>
      </w:pPr>
      <w:r>
        <w:rPr>
          <w:rFonts w:ascii="Calibri" w:hAnsi="Calibri"/>
          <w:b w:val="0"/>
          <w:i w:val="0"/>
          <w:color w:val="222222"/>
          <w:sz w:val="22"/>
        </w:rPr>
        <w:t>salt/solvate dictionaries;</w:t>
      </w:r>
    </w:p>
    <w:p>
      <w:pPr>
        <w:pStyle w:val="ListBullet"/>
      </w:pPr>
      <w:r>
        <w:rPr>
          <w:rFonts w:ascii="Calibri" w:hAnsi="Calibri"/>
          <w:b w:val="0"/>
          <w:i w:val="0"/>
          <w:color w:val="222222"/>
          <w:sz w:val="22"/>
        </w:rPr>
        <w:t>tautomer canonicalization policy;</w:t>
      </w:r>
    </w:p>
    <w:p>
      <w:pPr>
        <w:pStyle w:val="ListBullet"/>
      </w:pPr>
      <w:r>
        <w:rPr>
          <w:rFonts w:ascii="Calibri" w:hAnsi="Calibri"/>
          <w:b w:val="0"/>
          <w:i w:val="0"/>
          <w:color w:val="222222"/>
          <w:sz w:val="22"/>
        </w:rPr>
        <w:t>stereo acceptance and unknown-stereo rules;</w:t>
      </w:r>
    </w:p>
    <w:p>
      <w:pPr>
        <w:pStyle w:val="ListBullet"/>
      </w:pPr>
      <w:r>
        <w:rPr>
          <w:rFonts w:ascii="Calibri" w:hAnsi="Calibri"/>
          <w:b w:val="0"/>
          <w:i w:val="0"/>
          <w:color w:val="222222"/>
          <w:sz w:val="22"/>
        </w:rPr>
        <w:t>sanitization and quarantine reason codes;</w:t>
      </w:r>
    </w:p>
    <w:p>
      <w:pPr>
        <w:pStyle w:val="ListBullet"/>
      </w:pPr>
      <w:r>
        <w:rPr>
          <w:rFonts w:ascii="Calibri" w:hAnsi="Calibri"/>
          <w:b w:val="0"/>
          <w:i w:val="0"/>
          <w:color w:val="222222"/>
          <w:sz w:val="22"/>
        </w:rPr>
        <w:t>exact, connectivity, tautomer, and near-duplicate identity tiers.</w:t>
      </w:r>
    </w:p>
    <w:p>
      <w:r>
        <w:rPr>
          <w:rFonts w:ascii="Calibri" w:hAnsi="Calibri"/>
          <w:b w:val="0"/>
          <w:i w:val="0"/>
          <w:color w:val="222222"/>
          <w:sz w:val="22"/>
        </w:rPr>
        <w:t>The raw submitted structure, source structure, standardized parent, transformations, and quality flags must all remain available.</w:t>
      </w:r>
    </w:p>
    <w:p>
      <w:pPr>
        <w:pStyle w:val="Heading1"/>
      </w:pPr>
      <w:r>
        <w:t>10. Dataset and model-development specification</w:t>
      </w:r>
    </w:p>
    <w:p>
      <w:pPr>
        <w:pStyle w:val="Heading2"/>
      </w:pPr>
      <w:r>
        <w:t>10.1 Eligibility pipeline</w:t>
      </w:r>
    </w:p>
    <w:p>
      <w:pPr>
        <w:numPr>
          <w:ilvl w:val="0"/>
          <w:numId w:val="11"/>
        </w:numPr>
        <w:pStyle w:val="ListNumber"/>
      </w:pPr>
      <w:r>
        <w:rPr>
          <w:rFonts w:ascii="Calibri" w:hAnsi="Calibri"/>
          <w:b w:val="0"/>
          <w:i w:val="0"/>
          <w:color w:val="222222"/>
          <w:sz w:val="22"/>
        </w:rPr>
        <w:t>Resolve source release and licence policy.</w:t>
      </w:r>
    </w:p>
    <w:p>
      <w:pPr>
        <w:numPr>
          <w:ilvl w:val="0"/>
          <w:numId w:val="11"/>
        </w:numPr>
        <w:pStyle w:val="ListNumber"/>
      </w:pPr>
      <w:r>
        <w:rPr>
          <w:rFonts w:ascii="Calibri" w:hAnsi="Calibri"/>
          <w:b w:val="0"/>
          <w:i w:val="0"/>
          <w:color w:val="222222"/>
          <w:sz w:val="22"/>
        </w:rPr>
        <w:t>Resolve standardized chemical identity.</w:t>
      </w:r>
    </w:p>
    <w:p>
      <w:pPr>
        <w:numPr>
          <w:ilvl w:val="0"/>
          <w:numId w:val="11"/>
        </w:numPr>
        <w:pStyle w:val="ListNumber"/>
      </w:pPr>
      <w:r>
        <w:rPr>
          <w:rFonts w:ascii="Calibri" w:hAnsi="Calibri"/>
          <w:b w:val="0"/>
          <w:i w:val="0"/>
          <w:color w:val="222222"/>
          <w:sz w:val="22"/>
        </w:rPr>
        <w:t>Resolve endpoint dictionary entry.</w:t>
      </w:r>
    </w:p>
    <w:p>
      <w:pPr>
        <w:numPr>
          <w:ilvl w:val="0"/>
          <w:numId w:val="11"/>
        </w:numPr>
        <w:pStyle w:val="ListNumber"/>
      </w:pPr>
      <w:r>
        <w:rPr>
          <w:rFonts w:ascii="Calibri" w:hAnsi="Calibri"/>
          <w:b w:val="0"/>
          <w:i w:val="0"/>
          <w:color w:val="222222"/>
          <w:sz w:val="22"/>
        </w:rPr>
        <w:t>Normalize value, unit, and relation operator.</w:t>
      </w:r>
    </w:p>
    <w:p>
      <w:pPr>
        <w:numPr>
          <w:ilvl w:val="0"/>
          <w:numId w:val="11"/>
        </w:numPr>
        <w:pStyle w:val="ListNumber"/>
      </w:pPr>
      <w:r>
        <w:rPr>
          <w:rFonts w:ascii="Calibri" w:hAnsi="Calibri"/>
          <w:b w:val="0"/>
          <w:i w:val="0"/>
          <w:color w:val="222222"/>
          <w:sz w:val="22"/>
        </w:rPr>
        <w:t>Resolve biological and assay context.</w:t>
      </w:r>
    </w:p>
    <w:p>
      <w:pPr>
        <w:numPr>
          <w:ilvl w:val="0"/>
          <w:numId w:val="11"/>
        </w:numPr>
        <w:pStyle w:val="ListNumber"/>
      </w:pPr>
      <w:r>
        <w:rPr>
          <w:rFonts w:ascii="Calibri" w:hAnsi="Calibri"/>
          <w:b w:val="0"/>
          <w:i w:val="0"/>
          <w:color w:val="222222"/>
          <w:sz w:val="22"/>
        </w:rPr>
        <w:t>Apply protocol and evidence-quality policy.</w:t>
      </w:r>
    </w:p>
    <w:p>
      <w:pPr>
        <w:numPr>
          <w:ilvl w:val="0"/>
          <w:numId w:val="11"/>
        </w:numPr>
        <w:pStyle w:val="ListNumber"/>
      </w:pPr>
      <w:r>
        <w:rPr>
          <w:rFonts w:ascii="Calibri" w:hAnsi="Calibri"/>
          <w:b w:val="0"/>
          <w:i w:val="0"/>
          <w:color w:val="222222"/>
          <w:sz w:val="22"/>
        </w:rPr>
        <w:t>Aggregate only under an approved replicate/conflict rule.</w:t>
      </w:r>
    </w:p>
    <w:p>
      <w:pPr>
        <w:numPr>
          <w:ilvl w:val="0"/>
          <w:numId w:val="11"/>
        </w:numPr>
        <w:pStyle w:val="ListNumber"/>
      </w:pPr>
      <w:r>
        <w:rPr>
          <w:rFonts w:ascii="Calibri" w:hAnsi="Calibri"/>
          <w:b w:val="0"/>
          <w:i w:val="0"/>
          <w:color w:val="222222"/>
          <w:sz w:val="22"/>
        </w:rPr>
        <w:t>Freeze eligible and excluded record IDs with reasons.</w:t>
      </w:r>
    </w:p>
    <w:p>
      <w:pPr>
        <w:numPr>
          <w:ilvl w:val="0"/>
          <w:numId w:val="11"/>
        </w:numPr>
        <w:pStyle w:val="ListNumber"/>
      </w:pPr>
      <w:r>
        <w:rPr>
          <w:rFonts w:ascii="Calibri" w:hAnsi="Calibri"/>
          <w:b w:val="0"/>
          <w:i w:val="0"/>
          <w:color w:val="222222"/>
          <w:sz w:val="22"/>
        </w:rPr>
        <w:t>Apply group-aware split policy.</w:t>
      </w:r>
    </w:p>
    <w:p>
      <w:pPr>
        <w:numPr>
          <w:ilvl w:val="0"/>
          <w:numId w:val="11"/>
        </w:numPr>
        <w:pStyle w:val="ListNumber"/>
      </w:pPr>
      <w:r>
        <w:rPr>
          <w:rFonts w:ascii="Calibri" w:hAnsi="Calibri"/>
          <w:b w:val="0"/>
          <w:i w:val="0"/>
          <w:color w:val="222222"/>
          <w:sz w:val="22"/>
        </w:rPr>
        <w:t>Run duplicate, analog, scaffold, entity, and time leakage audits.</w:t>
      </w:r>
    </w:p>
    <w:p>
      <w:pPr>
        <w:numPr>
          <w:ilvl w:val="0"/>
          <w:numId w:val="11"/>
        </w:numPr>
        <w:pStyle w:val="ListNumber"/>
      </w:pPr>
      <w:r>
        <w:rPr>
          <w:rFonts w:ascii="Calibri" w:hAnsi="Calibri"/>
          <w:b w:val="0"/>
          <w:i w:val="0"/>
          <w:color w:val="222222"/>
          <w:sz w:val="22"/>
        </w:rPr>
        <w:t>Freeze dataset, features, labels, split assignment, code, and environment.</w:t>
      </w:r>
    </w:p>
    <w:p>
      <w:pPr>
        <w:pStyle w:val="Heading2"/>
      </w:pPr>
      <w:r>
        <w:t>10.2 Baselines and graph model</w:t>
      </w:r>
    </w:p>
    <w:p>
      <w:r>
        <w:rPr>
          <w:rFonts w:ascii="Calibri" w:hAnsi="Calibri"/>
          <w:b w:val="0"/>
          <w:i w:val="0"/>
          <w:color w:val="222222"/>
          <w:sz w:val="22"/>
        </w:rPr>
        <w:t>At minimum, each classification task evaluates:</w:t>
      </w:r>
    </w:p>
    <w:p>
      <w:pPr>
        <w:pStyle w:val="ListBullet"/>
      </w:pPr>
      <w:r>
        <w:rPr>
          <w:rFonts w:ascii="Calibri" w:hAnsi="Calibri"/>
          <w:b w:val="0"/>
          <w:i w:val="0"/>
          <w:color w:val="222222"/>
          <w:sz w:val="22"/>
        </w:rPr>
        <w:t>regularized logistic regression;</w:t>
      </w:r>
    </w:p>
    <w:p>
      <w:pPr>
        <w:pStyle w:val="ListBullet"/>
      </w:pPr>
      <w:r>
        <w:rPr>
          <w:rFonts w:ascii="Calibri" w:hAnsi="Calibri"/>
          <w:b w:val="0"/>
          <w:i w:val="0"/>
          <w:color w:val="222222"/>
          <w:sz w:val="22"/>
        </w:rPr>
        <w:t>random forest or extra trees;</w:t>
      </w:r>
    </w:p>
    <w:p>
      <w:pPr>
        <w:pStyle w:val="ListBullet"/>
      </w:pPr>
      <w:r>
        <w:rPr>
          <w:rFonts w:ascii="Calibri" w:hAnsi="Calibri"/>
          <w:b w:val="0"/>
          <w:i w:val="0"/>
          <w:color w:val="222222"/>
          <w:sz w:val="22"/>
        </w:rPr>
        <w:t>gradient-boosted trees;</w:t>
      </w:r>
    </w:p>
    <w:p>
      <w:pPr>
        <w:pStyle w:val="ListBullet"/>
      </w:pPr>
      <w:r>
        <w:rPr>
          <w:rFonts w:ascii="Calibri" w:hAnsi="Calibri"/>
          <w:b w:val="0"/>
          <w:i w:val="0"/>
          <w:color w:val="222222"/>
          <w:sz w:val="22"/>
        </w:rPr>
        <w:t>a Chemprop message-passing neural network when data volume supports it.</w:t>
      </w:r>
    </w:p>
    <w:p>
      <w:r>
        <w:rPr>
          <w:rFonts w:ascii="Calibri" w:hAnsi="Calibri"/>
          <w:b w:val="0"/>
          <w:i w:val="0"/>
          <w:color w:val="222222"/>
          <w:sz w:val="22"/>
        </w:rPr>
        <w:t>Each regression task uses appropriate linear, ensemble, boosted, and graph baselines. All models share the identical frozen split. Model selection considers discrimination/error, enrichment, calibration, uncertainty, domain performance, robustness slices, inference cost, and reproducibility—not a single headline metric.</w:t>
      </w:r>
    </w:p>
    <w:p>
      <w:pPr>
        <w:pStyle w:val="Heading2"/>
      </w:pPr>
      <w:r>
        <w:t>10.3 Uncertainty and applicability domain</w:t>
      </w:r>
    </w:p>
    <w:p>
      <w:r>
        <w:rPr>
          <w:rFonts w:ascii="Calibri" w:hAnsi="Calibri"/>
          <w:b w:val="0"/>
          <w:i w:val="0"/>
          <w:color w:val="222222"/>
          <w:sz w:val="22"/>
        </w:rPr>
        <w:t>The production design may use deep ensembles, conformal prediction, calibrated probabilities, bootstrap estimates, or an approved alternative. The model card must state the method and coverage assumptions.</w:t>
      </w:r>
    </w:p>
    <w:p>
      <w:r>
        <w:rPr>
          <w:rFonts w:ascii="Calibri" w:hAnsi="Calibri"/>
          <w:b w:val="0"/>
          <w:i w:val="0"/>
          <w:color w:val="222222"/>
          <w:sz w:val="22"/>
        </w:rPr>
        <w:t>Applicability domain uses training-space similarity, descriptor range, learned density, and task coverage. The API exposes inside, borderline, or outside. Outside-domain predictions remain visible but are penalized or routed for review.</w:t>
      </w:r>
    </w:p>
    <w:p>
      <w:pPr>
        <w:pStyle w:val="Heading2"/>
      </w:pPr>
      <w:r>
        <w:t>10.4 Demonstration model boundary</w:t>
      </w:r>
    </w:p>
    <w:p>
      <w:r>
        <w:rPr>
          <w:rFonts w:ascii="Calibri" w:hAnsi="Calibri"/>
          <w:b w:val="0"/>
          <w:i w:val="0"/>
          <w:color w:val="222222"/>
          <w:sz w:val="22"/>
        </w:rPr>
        <w:t>The included model is deterministic and versioned for integration testing. It derives stable hypotheses from chemical descriptors, task context, and a cryptographic seed. It is not trained on a validated oncology dataset and must not be represented as efficacy prediction. Its purpose is to make the full API, UI, uncertainty, ranking, experiment, QC, and governance flow executable.</w:t>
      </w:r>
    </w:p>
    <w:p>
      <w:pPr>
        <w:pStyle w:val="Heading1"/>
      </w:pPr>
      <w:r>
        <w:t>11. ADMET specification</w:t>
      </w:r>
    </w:p>
    <w:p>
      <w:r>
        <w:rPr>
          <w:rFonts w:ascii="Calibri" w:hAnsi="Calibri"/>
          <w:b w:val="0"/>
          <w:i w:val="0"/>
          <w:color w:val="222222"/>
          <w:sz w:val="22"/>
        </w:rPr>
        <w:t>ADMET remains endpoint-specific. A production endpoint record includes:</w:t>
      </w:r>
    </w:p>
    <w:p>
      <w:pPr>
        <w:pStyle w:val="ListBullet"/>
      </w:pPr>
      <w:r>
        <w:rPr>
          <w:rFonts w:ascii="Calibri" w:hAnsi="Calibri"/>
          <w:b w:val="0"/>
          <w:i w:val="0"/>
          <w:color w:val="222222"/>
          <w:sz w:val="22"/>
        </w:rPr>
        <w:t>endpoint code and definition;</w:t>
      </w:r>
    </w:p>
    <w:p>
      <w:pPr>
        <w:pStyle w:val="ListBullet"/>
      </w:pPr>
      <w:r>
        <w:rPr>
          <w:rFonts w:ascii="Calibri" w:hAnsi="Calibri"/>
          <w:b w:val="0"/>
          <w:i w:val="0"/>
          <w:color w:val="222222"/>
          <w:sz w:val="22"/>
        </w:rPr>
        <w:t>numeric value and unit or categorical class;</w:t>
      </w:r>
    </w:p>
    <w:p>
      <w:pPr>
        <w:pStyle w:val="ListBullet"/>
      </w:pPr>
      <w:r>
        <w:rPr>
          <w:rFonts w:ascii="Calibri" w:hAnsi="Calibri"/>
          <w:b w:val="0"/>
          <w:i w:val="0"/>
          <w:color w:val="222222"/>
          <w:sz w:val="22"/>
        </w:rPr>
        <w:t>confidence and calibration;</w:t>
      </w:r>
    </w:p>
    <w:p>
      <w:pPr>
        <w:pStyle w:val="ListBullet"/>
      </w:pPr>
      <w:r>
        <w:rPr>
          <w:rFonts w:ascii="Calibri" w:hAnsi="Calibri"/>
          <w:b w:val="0"/>
          <w:i w:val="0"/>
          <w:color w:val="222222"/>
          <w:sz w:val="22"/>
        </w:rPr>
        <w:t>applicability-domain status;</w:t>
      </w:r>
    </w:p>
    <w:p>
      <w:pPr>
        <w:pStyle w:val="ListBullet"/>
      </w:pPr>
      <w:r>
        <w:rPr>
          <w:rFonts w:ascii="Calibri" w:hAnsi="Calibri"/>
          <w:b w:val="0"/>
          <w:i w:val="0"/>
          <w:color w:val="222222"/>
          <w:sz w:val="22"/>
        </w:rPr>
        <w:t>model and dataset version;</w:t>
      </w:r>
    </w:p>
    <w:p>
      <w:pPr>
        <w:pStyle w:val="ListBullet"/>
      </w:pPr>
      <w:r>
        <w:rPr>
          <w:rFonts w:ascii="Calibri" w:hAnsi="Calibri"/>
          <w:b w:val="0"/>
          <w:i w:val="0"/>
          <w:color w:val="222222"/>
          <w:sz w:val="22"/>
        </w:rPr>
        <w:t>evidence or analog context;</w:t>
      </w:r>
    </w:p>
    <w:p>
      <w:pPr>
        <w:pStyle w:val="ListBullet"/>
      </w:pPr>
      <w:r>
        <w:rPr>
          <w:rFonts w:ascii="Calibri" w:hAnsi="Calibri"/>
          <w:b w:val="0"/>
          <w:i w:val="0"/>
          <w:color w:val="222222"/>
          <w:sz w:val="22"/>
        </w:rPr>
        <w:t>policy effect;</w:t>
      </w:r>
    </w:p>
    <w:p>
      <w:pPr>
        <w:pStyle w:val="ListBullet"/>
      </w:pPr>
      <w:r>
        <w:rPr>
          <w:rFonts w:ascii="Calibri" w:hAnsi="Calibri"/>
          <w:b w:val="0"/>
          <w:i w:val="0"/>
          <w:color w:val="222222"/>
          <w:sz w:val="22"/>
        </w:rPr>
        <w:t>timestamp and actor/run.</w:t>
      </w:r>
    </w:p>
    <w:p>
      <w:r>
        <w:rPr>
          <w:rFonts w:ascii="Calibri" w:hAnsi="Calibri"/>
          <w:b w:val="0"/>
          <w:i w:val="0"/>
          <w:color w:val="222222"/>
          <w:sz w:val="22"/>
        </w:rPr>
        <w:t>Phase 1 target endpoints may include aqueous solubility, permeability, microsomal stability, clearance, CYP inhibition, hERG risk, hepatotoxicity, genotoxicity, and oral-bioavailability proxies. The included reference panel is rule-based and labelled as such. Production integration targets validated models such as ADMET-AI or internally qualified endpoint models.</w:t>
      </w:r>
    </w:p>
    <w:p>
      <w:pPr>
        <w:pStyle w:val="Heading1"/>
      </w:pPr>
      <w:r>
        <w:t>12. Ranking algorithm</w:t>
      </w:r>
    </w:p>
    <w:p>
      <w:r>
        <w:rPr>
          <w:rFonts w:ascii="Calibri" w:hAnsi="Calibri"/>
          <w:b w:val="0"/>
          <w:i w:val="0"/>
          <w:color w:val="222222"/>
          <w:sz w:val="22"/>
        </w:rPr>
        <w:t>The default policy computes:</w:t>
      </w:r>
    </w:p>
    <w:p>
      <w:r>
        <w:rPr>
          <w:rFonts w:ascii="Calibri" w:hAnsi="Calibri"/>
          <w:b w:val="0"/>
          <w:i w:val="0"/>
          <w:color w:val="222222"/>
          <w:sz w:val="22"/>
        </w:rPr>
        <w:t>priority = activity contribution + selectivity contribution + ADMET contribution + novelty contribution + feasibility contribution + evidence contribution − uncertainty penalty.</w:t>
      </w:r>
    </w:p>
    <w:p>
      <w:r>
        <w:rPr>
          <w:rFonts w:ascii="Calibri" w:hAnsi="Calibri"/>
          <w:b w:val="0"/>
          <w:i w:val="0"/>
          <w:color w:val="222222"/>
          <w:sz w:val="22"/>
        </w:rPr>
        <w:t>Default reference weights:</w:t>
      </w:r>
    </w:p>
    <w:tbl>
      <w:tblPr>
        <w:tblStyle w:val="TableGrid"/>
        <w:tblW w:type="dxa" w:w="9360"/>
        <w:jc w:val="left"/>
        <w:tblLayout w:type="fixed"/>
        <w:tblLook w:firstColumn="1" w:firstRow="1" w:lastColumn="0" w:lastRow="0" w:noHBand="0" w:noVBand="1" w:val="04A0"/>
        <w:tblInd w:w="120" w:type="dxa"/>
      </w:tblPr>
      <w:tblGrid>
        <w:gridCol w:w="2448"/>
        <w:gridCol w:w="1152"/>
        <w:gridCol w:w="5760"/>
      </w:tblGrid>
      <w:tr>
        <w:trPr>
          <w:tblHeader w:val="true"/>
          <w:cantSplit/>
        </w:trPr>
        <w:tc>
          <w:tcPr>
            <w:tcW w:type="dxa" w:w="2448"/>
            <w:tcMar>
              <w:top w:w="80" w:type="dxa"/>
              <w:start w:w="120" w:type="dxa"/>
              <w:bottom w:w="80" w:type="dxa"/>
              <w:end w:w="120" w:type="dxa"/>
            </w:tcMar>
            <w:vAlign w:val="center"/>
            <w:shd w:fill="F2F4F7"/>
          </w:tcPr>
          <w:p>
            <w:pPr>
              <w:spacing w:before="0" w:after="0"/>
            </w:pPr>
            <w:r/>
            <w:r>
              <w:rPr>
                <w:rFonts w:ascii="Calibri" w:hAnsi="Calibri"/>
                <w:b/>
                <w:i w:val="0"/>
                <w:color w:val="17233F"/>
                <w:sz w:val="17"/>
              </w:rPr>
              <w:t>Component</w:t>
            </w:r>
          </w:p>
        </w:tc>
        <w:tc>
          <w:tcPr>
            <w:tcW w:type="dxa" w:w="1152"/>
            <w:tcMar>
              <w:top w:w="80" w:type="dxa"/>
              <w:start w:w="120" w:type="dxa"/>
              <w:bottom w:w="80" w:type="dxa"/>
              <w:end w:w="120" w:type="dxa"/>
            </w:tcMar>
            <w:vAlign w:val="center"/>
            <w:shd w:fill="F2F4F7"/>
          </w:tcPr>
          <w:p>
            <w:pPr>
              <w:spacing w:before="0" w:after="0"/>
            </w:pPr>
            <w:r/>
            <w:r>
              <w:rPr>
                <w:rFonts w:ascii="Calibri" w:hAnsi="Calibri"/>
                <w:b/>
                <w:i w:val="0"/>
                <w:color w:val="17233F"/>
                <w:sz w:val="17"/>
              </w:rPr>
              <w:t>Weight</w:t>
            </w:r>
          </w:p>
        </w:tc>
        <w:tc>
          <w:tcPr>
            <w:tcW w:type="dxa" w:w="5760"/>
            <w:tcMar>
              <w:top w:w="80" w:type="dxa"/>
              <w:start w:w="120" w:type="dxa"/>
              <w:bottom w:w="80" w:type="dxa"/>
              <w:end w:w="120" w:type="dxa"/>
            </w:tcMar>
            <w:vAlign w:val="center"/>
            <w:shd w:fill="F2F4F7"/>
          </w:tcPr>
          <w:p>
            <w:pPr>
              <w:spacing w:before="0" w:after="0"/>
            </w:pPr>
            <w:r/>
            <w:r>
              <w:rPr>
                <w:rFonts w:ascii="Calibri" w:hAnsi="Calibri"/>
                <w:b/>
                <w:i w:val="0"/>
                <w:color w:val="17233F"/>
                <w:sz w:val="17"/>
              </w:rPr>
              <w:t>Meaning</w:t>
            </w:r>
          </w:p>
        </w:tc>
      </w:tr>
      <w:tr>
        <w:trPr>
          <w:cantSplit/>
        </w:trPr>
        <w:tc>
          <w:tcPr>
            <w:tcW w:type="dxa" w:w="2448"/>
            <w:tcMar>
              <w:top w:w="80" w:type="dxa"/>
              <w:start w:w="120" w:type="dxa"/>
              <w:bottom w:w="80" w:type="dxa"/>
              <w:end w:w="120" w:type="dxa"/>
            </w:tcMar>
            <w:vAlign w:val="center"/>
            <w:shd w:fill="FFFFFF"/>
          </w:tcPr>
          <w:p>
            <w:pPr>
              <w:spacing w:before="0" w:after="0"/>
            </w:pPr>
            <w:r/>
            <w:r>
              <w:rPr>
                <w:rFonts w:ascii="Calibri" w:hAnsi="Calibri"/>
                <w:b/>
                <w:i w:val="0"/>
                <w:color w:val="303846"/>
                <w:sz w:val="16"/>
              </w:rPr>
              <w:t>Predicted activity</w:t>
            </w:r>
          </w:p>
        </w:tc>
        <w:tc>
          <w:tcPr>
            <w:tcW w:type="dxa" w:w="115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0.34</w:t>
            </w:r>
          </w:p>
        </w:tc>
        <w:tc>
          <w:tcPr>
            <w:tcW w:type="dxa" w:w="576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Task-specific activity hypothesis</w:t>
            </w:r>
          </w:p>
        </w:tc>
      </w:tr>
      <w:tr>
        <w:trPr>
          <w:cantSplit/>
        </w:trPr>
        <w:tc>
          <w:tcPr>
            <w:tcW w:type="dxa" w:w="2448"/>
            <w:tcMar>
              <w:top w:w="80" w:type="dxa"/>
              <w:start w:w="120" w:type="dxa"/>
              <w:bottom w:w="80" w:type="dxa"/>
              <w:end w:w="120" w:type="dxa"/>
            </w:tcMar>
            <w:vAlign w:val="center"/>
            <w:shd w:fill="FFFFFF"/>
          </w:tcPr>
          <w:p>
            <w:pPr>
              <w:spacing w:before="0" w:after="0"/>
            </w:pPr>
            <w:r/>
            <w:r>
              <w:rPr>
                <w:rFonts w:ascii="Calibri" w:hAnsi="Calibri"/>
                <w:b/>
                <w:i w:val="0"/>
                <w:color w:val="303846"/>
                <w:sz w:val="16"/>
              </w:rPr>
              <w:t>Predicted selectivity</w:t>
            </w:r>
          </w:p>
        </w:tc>
        <w:tc>
          <w:tcPr>
            <w:tcW w:type="dxa" w:w="115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0.14</w:t>
            </w:r>
          </w:p>
        </w:tc>
        <w:tc>
          <w:tcPr>
            <w:tcW w:type="dxa" w:w="576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Normalized selectivity hypothesis</w:t>
            </w:r>
          </w:p>
        </w:tc>
      </w:tr>
      <w:tr>
        <w:trPr>
          <w:cantSplit/>
        </w:trPr>
        <w:tc>
          <w:tcPr>
            <w:tcW w:type="dxa" w:w="2448"/>
            <w:tcMar>
              <w:top w:w="80" w:type="dxa"/>
              <w:start w:w="120" w:type="dxa"/>
              <w:bottom w:w="80" w:type="dxa"/>
              <w:end w:w="120" w:type="dxa"/>
            </w:tcMar>
            <w:vAlign w:val="center"/>
            <w:shd w:fill="FFFFFF"/>
          </w:tcPr>
          <w:p>
            <w:pPr>
              <w:spacing w:before="0" w:after="0"/>
            </w:pPr>
            <w:r/>
            <w:r>
              <w:rPr>
                <w:rFonts w:ascii="Calibri" w:hAnsi="Calibri"/>
                <w:b/>
                <w:i w:val="0"/>
                <w:color w:val="303846"/>
                <w:sz w:val="16"/>
              </w:rPr>
              <w:t>ADMET panel</w:t>
            </w:r>
          </w:p>
        </w:tc>
        <w:tc>
          <w:tcPr>
            <w:tcW w:type="dxa" w:w="115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0.18</w:t>
            </w:r>
          </w:p>
        </w:tc>
        <w:tc>
          <w:tcPr>
            <w:tcW w:type="dxa" w:w="576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Endpoint-specific developability screen</w:t>
            </w:r>
          </w:p>
        </w:tc>
      </w:tr>
      <w:tr>
        <w:trPr>
          <w:cantSplit/>
        </w:trPr>
        <w:tc>
          <w:tcPr>
            <w:tcW w:type="dxa" w:w="2448"/>
            <w:tcMar>
              <w:top w:w="80" w:type="dxa"/>
              <w:start w:w="120" w:type="dxa"/>
              <w:bottom w:w="80" w:type="dxa"/>
              <w:end w:w="120" w:type="dxa"/>
            </w:tcMar>
            <w:vAlign w:val="center"/>
            <w:shd w:fill="FFFFFF"/>
          </w:tcPr>
          <w:p>
            <w:pPr>
              <w:spacing w:before="0" w:after="0"/>
            </w:pPr>
            <w:r/>
            <w:r>
              <w:rPr>
                <w:rFonts w:ascii="Calibri" w:hAnsi="Calibri"/>
                <w:b/>
                <w:i w:val="0"/>
                <w:color w:val="303846"/>
                <w:sz w:val="16"/>
              </w:rPr>
              <w:t>Structural novelty</w:t>
            </w:r>
          </w:p>
        </w:tc>
        <w:tc>
          <w:tcPr>
            <w:tcW w:type="dxa" w:w="115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0.10</w:t>
            </w:r>
          </w:p>
        </w:tc>
        <w:tc>
          <w:tcPr>
            <w:tcW w:type="dxa" w:w="576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Distance from known or training chemistry</w:t>
            </w:r>
          </w:p>
        </w:tc>
      </w:tr>
      <w:tr>
        <w:trPr>
          <w:cantSplit/>
        </w:trPr>
        <w:tc>
          <w:tcPr>
            <w:tcW w:type="dxa" w:w="2448"/>
            <w:tcMar>
              <w:top w:w="80" w:type="dxa"/>
              <w:start w:w="120" w:type="dxa"/>
              <w:bottom w:w="80" w:type="dxa"/>
              <w:end w:w="120" w:type="dxa"/>
            </w:tcMar>
            <w:vAlign w:val="center"/>
            <w:shd w:fill="FFFFFF"/>
          </w:tcPr>
          <w:p>
            <w:pPr>
              <w:spacing w:before="0" w:after="0"/>
            </w:pPr>
            <w:r/>
            <w:r>
              <w:rPr>
                <w:rFonts w:ascii="Calibri" w:hAnsi="Calibri"/>
                <w:b/>
                <w:i w:val="0"/>
                <w:color w:val="303846"/>
                <w:sz w:val="16"/>
              </w:rPr>
              <w:t>Feasibility</w:t>
            </w:r>
          </w:p>
        </w:tc>
        <w:tc>
          <w:tcPr>
            <w:tcW w:type="dxa" w:w="115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0.10</w:t>
            </w:r>
          </w:p>
        </w:tc>
        <w:tc>
          <w:tcPr>
            <w:tcW w:type="dxa" w:w="576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Chemist-reviewable synthesis/source proxy</w:t>
            </w:r>
          </w:p>
        </w:tc>
      </w:tr>
      <w:tr>
        <w:trPr>
          <w:cantSplit/>
        </w:trPr>
        <w:tc>
          <w:tcPr>
            <w:tcW w:type="dxa" w:w="2448"/>
            <w:tcMar>
              <w:top w:w="80" w:type="dxa"/>
              <w:start w:w="120" w:type="dxa"/>
              <w:bottom w:w="80" w:type="dxa"/>
              <w:end w:w="120" w:type="dxa"/>
            </w:tcMar>
            <w:vAlign w:val="center"/>
            <w:shd w:fill="FFFFFF"/>
          </w:tcPr>
          <w:p>
            <w:pPr>
              <w:spacing w:before="0" w:after="0"/>
            </w:pPr>
            <w:r/>
            <w:r>
              <w:rPr>
                <w:rFonts w:ascii="Calibri" w:hAnsi="Calibri"/>
                <w:b/>
                <w:i w:val="0"/>
                <w:color w:val="303846"/>
                <w:sz w:val="16"/>
              </w:rPr>
              <w:t>Evidence quality</w:t>
            </w:r>
          </w:p>
        </w:tc>
        <w:tc>
          <w:tcPr>
            <w:tcW w:type="dxa" w:w="115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0.09</w:t>
            </w:r>
          </w:p>
        </w:tc>
        <w:tc>
          <w:tcPr>
            <w:tcW w:type="dxa" w:w="576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Identity and provenance quality, not efficacy</w:t>
            </w:r>
          </w:p>
        </w:tc>
      </w:tr>
      <w:tr>
        <w:trPr>
          <w:cantSplit/>
        </w:trPr>
        <w:tc>
          <w:tcPr>
            <w:tcW w:type="dxa" w:w="2448"/>
            <w:tcMar>
              <w:top w:w="80" w:type="dxa"/>
              <w:start w:w="120" w:type="dxa"/>
              <w:bottom w:w="80" w:type="dxa"/>
              <w:end w:w="120" w:type="dxa"/>
            </w:tcMar>
            <w:vAlign w:val="center"/>
            <w:shd w:fill="FFFFFF"/>
          </w:tcPr>
          <w:p>
            <w:pPr>
              <w:spacing w:before="0" w:after="0"/>
            </w:pPr>
            <w:r/>
            <w:r>
              <w:rPr>
                <w:rFonts w:ascii="Calibri" w:hAnsi="Calibri"/>
                <w:b/>
                <w:i w:val="0"/>
                <w:color w:val="303846"/>
                <w:sz w:val="16"/>
              </w:rPr>
              <w:t>Uncertainty penalty</w:t>
            </w:r>
          </w:p>
        </w:tc>
        <w:tc>
          <w:tcPr>
            <w:tcW w:type="dxa" w:w="115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0.05</w:t>
            </w:r>
          </w:p>
        </w:tc>
        <w:tc>
          <w:tcPr>
            <w:tcW w:type="dxa" w:w="576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Confidence and model-domain risk</w:t>
            </w:r>
          </w:p>
        </w:tc>
      </w:tr>
    </w:tbl>
    <w:p>
      <w:pPr>
        <w:spacing w:after="0"/>
      </w:pPr>
    </w:p>
    <w:p>
      <w:r>
        <w:rPr>
          <w:rFonts w:ascii="Calibri" w:hAnsi="Calibri"/>
          <w:b w:val="0"/>
          <w:i w:val="0"/>
          <w:color w:val="222222"/>
          <w:sz w:val="22"/>
        </w:rPr>
        <w:t>Weights are not scientific constants. Every run identifies the policy version and returns each component, weight, contribution, and explanation. Hard filters run before or alongside the score and preserve reasons. Pareto fronts and diversity flags prevent one scalar score from hiding trade-offs or redundant chemistry.</w:t>
      </w:r>
    </w:p>
    <w:p>
      <w:pPr>
        <w:pStyle w:val="Heading1"/>
      </w:pPr>
      <w:r>
        <w:t>13. Experiment and learning controls</w:t>
      </w:r>
    </w:p>
    <w:p>
      <w:pPr>
        <w:pStyle w:val="Heading2"/>
      </w:pPr>
      <w:r>
        <w:t>13.1 Protocol minimum</w:t>
      </w:r>
    </w:p>
    <w:p>
      <w:r>
        <w:rPr>
          <w:rFonts w:ascii="Calibri" w:hAnsi="Calibri"/>
          <w:b w:val="0"/>
          <w:i w:val="0"/>
          <w:color w:val="222222"/>
          <w:sz w:val="22"/>
        </w:rPr>
        <w:t>An experiment plan includes title, task, candidate IDs, cell line or biological system, assay type, endpoint, dose minimum and maximum, dose points, replicates, duration, positive control, negative control, source ranking, creator, and protocol version.</w:t>
      </w:r>
    </w:p>
    <w:p>
      <w:pPr>
        <w:pStyle w:val="Heading2"/>
      </w:pPr>
      <w:r>
        <w:t>13.2 Result minimum</w:t>
      </w:r>
    </w:p>
    <w:p>
      <w:r>
        <w:rPr>
          <w:rFonts w:ascii="Calibri" w:hAnsi="Calibri"/>
          <w:b w:val="0"/>
          <w:i w:val="0"/>
          <w:color w:val="222222"/>
          <w:sz w:val="22"/>
        </w:rPr>
        <w:t>A real result includes raw-file reference, plate/batch/well context where relevant, dose, replicate, observation, units, control observations, deviations, QC checks, derived summaries, analyst, and timestamps.</w:t>
      </w:r>
    </w:p>
    <w:p>
      <w:pPr>
        <w:pStyle w:val="Heading2"/>
      </w:pPr>
      <w:r>
        <w:t>13.3 Computational dry-run</w:t>
      </w:r>
    </w:p>
    <w:p>
      <w:r>
        <w:rPr>
          <w:rFonts w:ascii="Calibri" w:hAnsi="Calibri"/>
          <w:b w:val="0"/>
          <w:i w:val="0"/>
          <w:color w:val="222222"/>
          <w:sz w:val="22"/>
        </w:rPr>
        <w:t>The simulator generates deterministic sigmoid dose-response observations with bounded noise. It checks observation ranges, replicate consistency, controls, and minimum replicates. Every generated result is marked simulation_only=true. The review service rejects any request that makes a simulated result training eligible.</w:t>
      </w:r>
    </w:p>
    <w:p>
      <w:pPr>
        <w:pStyle w:val="Heading2"/>
      </w:pPr>
      <w:r>
        <w:t>13.4 Continuous-learning state machine</w:t>
      </w:r>
    </w:p>
    <w:p>
      <w:r>
        <w:rPr>
          <w:rFonts w:ascii="Calibri" w:hAnsi="Calibri"/>
          <w:b w:val="0"/>
          <w:i w:val="0"/>
          <w:color w:val="222222"/>
          <w:sz w:val="22"/>
        </w:rPr>
        <w:t>planned → results uploaded → QC passed or failed → scientific review → approved or rejected → eligible snapshot proposal → approved snapshot → offline challenger training → evaluation → model approval or rejection → controlled promotion → monitoring or rollback.</w:t>
      </w:r>
    </w:p>
    <w:p>
      <w:r>
        <w:rPr>
          <w:rFonts w:ascii="Calibri" w:hAnsi="Calibri"/>
          <w:b w:val="0"/>
          <w:i w:val="0"/>
          <w:color w:val="222222"/>
          <w:sz w:val="22"/>
        </w:rPr>
        <w:t>Transitions are append-only governed events. A UI upload cannot skip states.</w:t>
      </w:r>
    </w:p>
    <w:p>
      <w:pPr>
        <w:pStyle w:val="Heading1"/>
      </w:pPr>
      <w:r>
        <w:t>14. REST API</w:t>
      </w:r>
    </w:p>
    <w:p>
      <w:r>
        <w:rPr>
          <w:rFonts w:ascii="Calibri" w:hAnsi="Calibri"/>
          <w:b w:val="0"/>
          <w:i w:val="0"/>
          <w:color w:val="222222"/>
          <w:sz w:val="22"/>
        </w:rPr>
        <w:t>Base production prefix: /v1</w:t>
      </w:r>
    </w:p>
    <w:tbl>
      <w:tblPr>
        <w:tblStyle w:val="TableGrid"/>
        <w:tblW w:type="dxa" w:w="9360"/>
        <w:jc w:val="left"/>
        <w:tblLayout w:type="fixed"/>
        <w:tblLook w:firstColumn="1" w:firstRow="1" w:lastColumn="0" w:lastRow="0" w:noHBand="0" w:noVBand="1" w:val="04A0"/>
        <w:tblInd w:w="120" w:type="dxa"/>
      </w:tblPr>
      <w:tblGrid>
        <w:gridCol w:w="2952"/>
        <w:gridCol w:w="3384"/>
        <w:gridCol w:w="3024"/>
      </w:tblGrid>
      <w:tr>
        <w:trPr>
          <w:tblHeader w:val="true"/>
          <w:cantSplit/>
        </w:trPr>
        <w:tc>
          <w:tcPr>
            <w:tcW w:type="dxa" w:w="2952"/>
            <w:tcMar>
              <w:top w:w="80" w:type="dxa"/>
              <w:start w:w="120" w:type="dxa"/>
              <w:bottom w:w="80" w:type="dxa"/>
              <w:end w:w="120" w:type="dxa"/>
            </w:tcMar>
            <w:vAlign w:val="center"/>
            <w:shd w:fill="F2F4F7"/>
          </w:tcPr>
          <w:p>
            <w:pPr>
              <w:spacing w:before="0" w:after="0"/>
            </w:pPr>
            <w:r/>
            <w:r>
              <w:rPr>
                <w:rFonts w:ascii="Calibri" w:hAnsi="Calibri"/>
                <w:b/>
                <w:i w:val="0"/>
                <w:color w:val="17233F"/>
                <w:sz w:val="17"/>
              </w:rPr>
              <w:t>Method and path</w:t>
            </w:r>
          </w:p>
        </w:tc>
        <w:tc>
          <w:tcPr>
            <w:tcW w:type="dxa" w:w="3384"/>
            <w:tcMar>
              <w:top w:w="80" w:type="dxa"/>
              <w:start w:w="120" w:type="dxa"/>
              <w:bottom w:w="80" w:type="dxa"/>
              <w:end w:w="120" w:type="dxa"/>
            </w:tcMar>
            <w:vAlign w:val="center"/>
            <w:shd w:fill="F2F4F7"/>
          </w:tcPr>
          <w:p>
            <w:pPr>
              <w:spacing w:before="0" w:after="0"/>
            </w:pPr>
            <w:r/>
            <w:r>
              <w:rPr>
                <w:rFonts w:ascii="Calibri" w:hAnsi="Calibri"/>
                <w:b/>
                <w:i w:val="0"/>
                <w:color w:val="17233F"/>
                <w:sz w:val="17"/>
              </w:rPr>
              <w:t>Purpose</w:t>
            </w:r>
          </w:p>
        </w:tc>
        <w:tc>
          <w:tcPr>
            <w:tcW w:type="dxa" w:w="3024"/>
            <w:tcMar>
              <w:top w:w="80" w:type="dxa"/>
              <w:start w:w="120" w:type="dxa"/>
              <w:bottom w:w="80" w:type="dxa"/>
              <w:end w:w="120" w:type="dxa"/>
            </w:tcMar>
            <w:vAlign w:val="center"/>
            <w:shd w:fill="F2F4F7"/>
          </w:tcPr>
          <w:p>
            <w:pPr>
              <w:spacing w:before="0" w:after="0"/>
            </w:pPr>
            <w:r/>
            <w:r>
              <w:rPr>
                <w:rFonts w:ascii="Calibri" w:hAnsi="Calibri"/>
                <w:b/>
                <w:i w:val="0"/>
                <w:color w:val="17233F"/>
                <w:sz w:val="17"/>
              </w:rPr>
              <w:t>Key guard</w:t>
            </w:r>
          </w:p>
        </w:tc>
      </w:tr>
      <w:tr>
        <w:trPr>
          <w:cantSplit/>
        </w:trPr>
        <w:tc>
          <w:tcPr>
            <w:tcW w:type="dxa" w:w="2952"/>
            <w:tcMar>
              <w:top w:w="80" w:type="dxa"/>
              <w:start w:w="120" w:type="dxa"/>
              <w:bottom w:w="80" w:type="dxa"/>
              <w:end w:w="120" w:type="dxa"/>
            </w:tcMar>
            <w:vAlign w:val="center"/>
            <w:shd w:fill="FFFFFF"/>
          </w:tcPr>
          <w:p>
            <w:pPr>
              <w:spacing w:before="0" w:after="0"/>
            </w:pPr>
            <w:r/>
            <w:r>
              <w:rPr>
                <w:rFonts w:ascii="Calibri" w:hAnsi="Calibri"/>
                <w:b/>
                <w:i w:val="0"/>
                <w:color w:val="303846"/>
                <w:sz w:val="16"/>
              </w:rPr>
              <w:t>GET /health</w:t>
            </w:r>
          </w:p>
        </w:tc>
        <w:tc>
          <w:tcPr>
            <w:tcW w:type="dxa" w:w="33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Liveness and reference compound count</w:t>
            </w:r>
          </w:p>
        </w:tc>
        <w:tc>
          <w:tcPr>
            <w:tcW w:type="dxa" w:w="302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No sensitive detail</w:t>
            </w:r>
          </w:p>
        </w:tc>
      </w:tr>
      <w:tr>
        <w:trPr>
          <w:cantSplit/>
        </w:trPr>
        <w:tc>
          <w:tcPr>
            <w:tcW w:type="dxa" w:w="2952"/>
            <w:tcMar>
              <w:top w:w="80" w:type="dxa"/>
              <w:start w:w="120" w:type="dxa"/>
              <w:bottom w:w="80" w:type="dxa"/>
              <w:end w:w="120" w:type="dxa"/>
            </w:tcMar>
            <w:vAlign w:val="center"/>
            <w:shd w:fill="FFFFFF"/>
          </w:tcPr>
          <w:p>
            <w:pPr>
              <w:spacing w:before="0" w:after="0"/>
            </w:pPr>
            <w:r/>
            <w:r>
              <w:rPr>
                <w:rFonts w:ascii="Calibri" w:hAnsi="Calibri"/>
                <w:b/>
                <w:i w:val="0"/>
                <w:color w:val="303846"/>
                <w:sz w:val="16"/>
              </w:rPr>
              <w:t>GET /v1/system/capabilities</w:t>
            </w:r>
          </w:p>
        </w:tc>
        <w:tc>
          <w:tcPr>
            <w:tcW w:type="dxa" w:w="33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Implemented, adapter-ready, and excluded capabilities</w:t>
            </w:r>
          </w:p>
        </w:tc>
        <w:tc>
          <w:tcPr>
            <w:tcW w:type="dxa" w:w="302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Truthful claims</w:t>
            </w:r>
          </w:p>
        </w:tc>
      </w:tr>
      <w:tr>
        <w:trPr>
          <w:cantSplit/>
        </w:trPr>
        <w:tc>
          <w:tcPr>
            <w:tcW w:type="dxa" w:w="2952"/>
            <w:tcMar>
              <w:top w:w="80" w:type="dxa"/>
              <w:start w:w="120" w:type="dxa"/>
              <w:bottom w:w="80" w:type="dxa"/>
              <w:end w:w="120" w:type="dxa"/>
            </w:tcMar>
            <w:vAlign w:val="center"/>
            <w:shd w:fill="FFFFFF"/>
          </w:tcPr>
          <w:p>
            <w:pPr>
              <w:spacing w:before="0" w:after="0"/>
            </w:pPr>
            <w:r/>
            <w:r>
              <w:rPr>
                <w:rFonts w:ascii="Calibri" w:hAnsi="Calibri"/>
                <w:b/>
                <w:i w:val="0"/>
                <w:color w:val="303846"/>
                <w:sz w:val="16"/>
              </w:rPr>
              <w:t>GET /v1/sources</w:t>
            </w:r>
          </w:p>
        </w:tc>
        <w:tc>
          <w:tcPr>
            <w:tcW w:type="dxa" w:w="33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Source registry</w:t>
            </w:r>
          </w:p>
        </w:tc>
        <w:tc>
          <w:tcPr>
            <w:tcW w:type="dxa" w:w="302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Licence metadata</w:t>
            </w:r>
          </w:p>
        </w:tc>
      </w:tr>
      <w:tr>
        <w:trPr>
          <w:cantSplit/>
        </w:trPr>
        <w:tc>
          <w:tcPr>
            <w:tcW w:type="dxa" w:w="2952"/>
            <w:tcMar>
              <w:top w:w="80" w:type="dxa"/>
              <w:start w:w="120" w:type="dxa"/>
              <w:bottom w:w="80" w:type="dxa"/>
              <w:end w:w="120" w:type="dxa"/>
            </w:tcMar>
            <w:vAlign w:val="center"/>
            <w:shd w:fill="FFFFFF"/>
          </w:tcPr>
          <w:p>
            <w:pPr>
              <w:spacing w:before="0" w:after="0"/>
            </w:pPr>
            <w:r/>
            <w:r>
              <w:rPr>
                <w:rFonts w:ascii="Calibri" w:hAnsi="Calibri"/>
                <w:b/>
                <w:i w:val="0"/>
                <w:color w:val="303846"/>
                <w:sz w:val="16"/>
              </w:rPr>
              <w:t>POST /v1/sources/{source}/sync</w:t>
            </w:r>
          </w:p>
        </w:tc>
        <w:tc>
          <w:tcPr>
            <w:tcW w:type="dxa" w:w="33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Request a manifest-bound sync</w:t>
            </w:r>
          </w:p>
        </w:tc>
        <w:tc>
          <w:tcPr>
            <w:tcW w:type="dxa" w:w="302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Curator role; no blind crawl</w:t>
            </w:r>
          </w:p>
        </w:tc>
      </w:tr>
      <w:tr>
        <w:trPr>
          <w:cantSplit/>
        </w:trPr>
        <w:tc>
          <w:tcPr>
            <w:tcW w:type="dxa" w:w="2952"/>
            <w:tcMar>
              <w:top w:w="80" w:type="dxa"/>
              <w:start w:w="120" w:type="dxa"/>
              <w:bottom w:w="80" w:type="dxa"/>
              <w:end w:w="120" w:type="dxa"/>
            </w:tcMar>
            <w:vAlign w:val="center"/>
            <w:shd w:fill="FFFFFF"/>
          </w:tcPr>
          <w:p>
            <w:pPr>
              <w:spacing w:before="0" w:after="0"/>
            </w:pPr>
            <w:r/>
            <w:r>
              <w:rPr>
                <w:rFonts w:ascii="Calibri" w:hAnsi="Calibri"/>
                <w:b/>
                <w:i w:val="0"/>
                <w:color w:val="303846"/>
                <w:sz w:val="16"/>
              </w:rPr>
              <w:t>GET /v1/compounds</w:t>
            </w:r>
          </w:p>
        </w:tc>
        <w:tc>
          <w:tcPr>
            <w:tcW w:type="dxa" w:w="33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Search and page compound registry</w:t>
            </w:r>
          </w:p>
        </w:tc>
        <w:tc>
          <w:tcPr>
            <w:tcW w:type="dxa" w:w="302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Project scope</w:t>
            </w:r>
          </w:p>
        </w:tc>
      </w:tr>
      <w:tr>
        <w:trPr>
          <w:cantSplit/>
        </w:trPr>
        <w:tc>
          <w:tcPr>
            <w:tcW w:type="dxa" w:w="2952"/>
            <w:tcMar>
              <w:top w:w="80" w:type="dxa"/>
              <w:start w:w="120" w:type="dxa"/>
              <w:bottom w:w="80" w:type="dxa"/>
              <w:end w:w="120" w:type="dxa"/>
            </w:tcMar>
            <w:vAlign w:val="center"/>
            <w:shd w:fill="FFFFFF"/>
          </w:tcPr>
          <w:p>
            <w:pPr>
              <w:spacing w:before="0" w:after="0"/>
            </w:pPr>
            <w:r/>
            <w:r>
              <w:rPr>
                <w:rFonts w:ascii="Calibri" w:hAnsi="Calibri"/>
                <w:b/>
                <w:i w:val="0"/>
                <w:color w:val="303846"/>
                <w:sz w:val="16"/>
              </w:rPr>
              <w:t>GET /v1/compounds/{id}</w:t>
            </w:r>
          </w:p>
        </w:tc>
        <w:tc>
          <w:tcPr>
            <w:tcW w:type="dxa" w:w="33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Retrieve identity and evidence grade</w:t>
            </w:r>
          </w:p>
        </w:tc>
        <w:tc>
          <w:tcPr>
            <w:tcW w:type="dxa" w:w="302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Project scope</w:t>
            </w:r>
          </w:p>
        </w:tc>
      </w:tr>
      <w:tr>
        <w:trPr>
          <w:cantSplit/>
        </w:trPr>
        <w:tc>
          <w:tcPr>
            <w:tcW w:type="dxa" w:w="2952"/>
            <w:tcMar>
              <w:top w:w="80" w:type="dxa"/>
              <w:start w:w="120" w:type="dxa"/>
              <w:bottom w:w="80" w:type="dxa"/>
              <w:end w:w="120" w:type="dxa"/>
            </w:tcMar>
            <w:vAlign w:val="center"/>
            <w:shd w:fill="FFFFFF"/>
          </w:tcPr>
          <w:p>
            <w:pPr>
              <w:spacing w:before="0" w:after="0"/>
            </w:pPr>
            <w:r/>
            <w:r>
              <w:rPr>
                <w:rFonts w:ascii="Calibri" w:hAnsi="Calibri"/>
                <w:b/>
                <w:i w:val="0"/>
                <w:color w:val="303846"/>
                <w:sz w:val="16"/>
              </w:rPr>
              <w:t>POST /v1/compounds/standardize</w:t>
            </w:r>
          </w:p>
        </w:tc>
        <w:tc>
          <w:tcPr>
            <w:tcW w:type="dxa" w:w="33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Standardize one submitted structure</w:t>
            </w:r>
          </w:p>
        </w:tc>
        <w:tc>
          <w:tcPr>
            <w:tcW w:type="dxa" w:w="302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Quarantine invalid</w:t>
            </w:r>
          </w:p>
        </w:tc>
      </w:tr>
      <w:tr>
        <w:trPr>
          <w:cantSplit/>
        </w:trPr>
        <w:tc>
          <w:tcPr>
            <w:tcW w:type="dxa" w:w="2952"/>
            <w:tcMar>
              <w:top w:w="80" w:type="dxa"/>
              <w:start w:w="120" w:type="dxa"/>
              <w:bottom w:w="80" w:type="dxa"/>
              <w:end w:w="120" w:type="dxa"/>
            </w:tcMar>
            <w:vAlign w:val="center"/>
            <w:shd w:fill="FFFFFF"/>
          </w:tcPr>
          <w:p>
            <w:pPr>
              <w:spacing w:before="0" w:after="0"/>
            </w:pPr>
            <w:r/>
            <w:r>
              <w:rPr>
                <w:rFonts w:ascii="Calibri" w:hAnsi="Calibri"/>
                <w:b/>
                <w:i w:val="0"/>
                <w:color w:val="303846"/>
                <w:sz w:val="16"/>
              </w:rPr>
              <w:t>POST /v1/predictions</w:t>
            </w:r>
          </w:p>
        </w:tc>
        <w:tc>
          <w:tcPr>
            <w:tcW w:type="dxa" w:w="33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Create task-specific hypotheses</w:t>
            </w:r>
          </w:p>
        </w:tc>
        <w:tc>
          <w:tcPr>
            <w:tcW w:type="dxa" w:w="302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Approved model only in production</w:t>
            </w:r>
          </w:p>
        </w:tc>
      </w:tr>
      <w:tr>
        <w:trPr>
          <w:cantSplit/>
        </w:trPr>
        <w:tc>
          <w:tcPr>
            <w:tcW w:type="dxa" w:w="2952"/>
            <w:tcMar>
              <w:top w:w="80" w:type="dxa"/>
              <w:start w:w="120" w:type="dxa"/>
              <w:bottom w:w="80" w:type="dxa"/>
              <w:end w:w="120" w:type="dxa"/>
            </w:tcMar>
            <w:vAlign w:val="center"/>
            <w:shd w:fill="FFFFFF"/>
          </w:tcPr>
          <w:p>
            <w:pPr>
              <w:spacing w:before="0" w:after="0"/>
            </w:pPr>
            <w:r/>
            <w:r>
              <w:rPr>
                <w:rFonts w:ascii="Calibri" w:hAnsi="Calibri"/>
                <w:b/>
                <w:i w:val="0"/>
                <w:color w:val="303846"/>
                <w:sz w:val="16"/>
              </w:rPr>
              <w:t>POST /v1/rankings</w:t>
            </w:r>
          </w:p>
        </w:tc>
        <w:tc>
          <w:tcPr>
            <w:tcW w:type="dxa" w:w="33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Rank a candidate set</w:t>
            </w:r>
          </w:p>
        </w:tc>
        <w:tc>
          <w:tcPr>
            <w:tcW w:type="dxa" w:w="302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Versioned policy</w:t>
            </w:r>
          </w:p>
        </w:tc>
      </w:tr>
      <w:tr>
        <w:trPr>
          <w:cantSplit/>
        </w:trPr>
        <w:tc>
          <w:tcPr>
            <w:tcW w:type="dxa" w:w="2952"/>
            <w:tcMar>
              <w:top w:w="80" w:type="dxa"/>
              <w:start w:w="120" w:type="dxa"/>
              <w:bottom w:w="80" w:type="dxa"/>
              <w:end w:w="120" w:type="dxa"/>
            </w:tcMar>
            <w:vAlign w:val="center"/>
            <w:shd w:fill="FFFFFF"/>
          </w:tcPr>
          <w:p>
            <w:pPr>
              <w:spacing w:before="0" w:after="0"/>
            </w:pPr>
            <w:r/>
            <w:r>
              <w:rPr>
                <w:rFonts w:ascii="Calibri" w:hAnsi="Calibri"/>
                <w:b/>
                <w:i w:val="0"/>
                <w:color w:val="303846"/>
                <w:sz w:val="16"/>
              </w:rPr>
              <w:t>POST /v1/experiments</w:t>
            </w:r>
          </w:p>
        </w:tc>
        <w:tc>
          <w:tcPr>
            <w:tcW w:type="dxa" w:w="33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Create a protocol</w:t>
            </w:r>
          </w:p>
        </w:tc>
        <w:tc>
          <w:tcPr>
            <w:tcW w:type="dxa" w:w="302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Scientist role</w:t>
            </w:r>
          </w:p>
        </w:tc>
      </w:tr>
      <w:tr>
        <w:trPr>
          <w:cantSplit/>
        </w:trPr>
        <w:tc>
          <w:tcPr>
            <w:tcW w:type="dxa" w:w="2952"/>
            <w:tcMar>
              <w:top w:w="80" w:type="dxa"/>
              <w:start w:w="120" w:type="dxa"/>
              <w:bottom w:w="80" w:type="dxa"/>
              <w:end w:w="120" w:type="dxa"/>
            </w:tcMar>
            <w:vAlign w:val="center"/>
            <w:shd w:fill="FFFFFF"/>
          </w:tcPr>
          <w:p>
            <w:pPr>
              <w:spacing w:before="0" w:after="0"/>
            </w:pPr>
            <w:r/>
            <w:r>
              <w:rPr>
                <w:rFonts w:ascii="Calibri" w:hAnsi="Calibri"/>
                <w:b/>
                <w:i w:val="0"/>
                <w:color w:val="303846"/>
                <w:sz w:val="16"/>
              </w:rPr>
              <w:t>GET /v1/experiments</w:t>
            </w:r>
          </w:p>
        </w:tc>
        <w:tc>
          <w:tcPr>
            <w:tcW w:type="dxa" w:w="33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List authorised experiments</w:t>
            </w:r>
          </w:p>
        </w:tc>
        <w:tc>
          <w:tcPr>
            <w:tcW w:type="dxa" w:w="302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Project scope</w:t>
            </w:r>
          </w:p>
        </w:tc>
      </w:tr>
      <w:tr>
        <w:trPr>
          <w:cantSplit/>
        </w:trPr>
        <w:tc>
          <w:tcPr>
            <w:tcW w:type="dxa" w:w="2952"/>
            <w:tcMar>
              <w:top w:w="80" w:type="dxa"/>
              <w:start w:w="120" w:type="dxa"/>
              <w:bottom w:w="80" w:type="dxa"/>
              <w:end w:w="120" w:type="dxa"/>
            </w:tcMar>
            <w:vAlign w:val="center"/>
            <w:shd w:fill="FFFFFF"/>
          </w:tcPr>
          <w:p>
            <w:pPr>
              <w:spacing w:before="0" w:after="0"/>
            </w:pPr>
            <w:r/>
            <w:r>
              <w:rPr>
                <w:rFonts w:ascii="Calibri" w:hAnsi="Calibri"/>
                <w:b/>
                <w:i w:val="0"/>
                <w:color w:val="303846"/>
                <w:sz w:val="16"/>
              </w:rPr>
              <w:t>POST /v1/experiments/{id}/simulate</w:t>
            </w:r>
          </w:p>
        </w:tc>
        <w:tc>
          <w:tcPr>
            <w:tcW w:type="dxa" w:w="33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Run computational software-flow test</w:t>
            </w:r>
          </w:p>
        </w:tc>
        <w:tc>
          <w:tcPr>
            <w:tcW w:type="dxa" w:w="302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Always simulation-only</w:t>
            </w:r>
          </w:p>
        </w:tc>
      </w:tr>
      <w:tr>
        <w:trPr>
          <w:cantSplit/>
        </w:trPr>
        <w:tc>
          <w:tcPr>
            <w:tcW w:type="dxa" w:w="2952"/>
            <w:tcMar>
              <w:top w:w="80" w:type="dxa"/>
              <w:start w:w="120" w:type="dxa"/>
              <w:bottom w:w="80" w:type="dxa"/>
              <w:end w:w="120" w:type="dxa"/>
            </w:tcMar>
            <w:vAlign w:val="center"/>
            <w:shd w:fill="FFFFFF"/>
          </w:tcPr>
          <w:p>
            <w:pPr>
              <w:spacing w:before="0" w:after="0"/>
            </w:pPr>
            <w:r/>
            <w:r>
              <w:rPr>
                <w:rFonts w:ascii="Calibri" w:hAnsi="Calibri"/>
                <w:b/>
                <w:i w:val="0"/>
                <w:color w:val="303846"/>
                <w:sz w:val="16"/>
              </w:rPr>
              <w:t>POST /v1/results/{id}/review</w:t>
            </w:r>
          </w:p>
        </w:tc>
        <w:tc>
          <w:tcPr>
            <w:tcW w:type="dxa" w:w="33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Record a named review</w:t>
            </w:r>
          </w:p>
        </w:tc>
        <w:tc>
          <w:tcPr>
            <w:tcW w:type="dxa" w:w="302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Reviewer role; separation of duties</w:t>
            </w:r>
          </w:p>
        </w:tc>
      </w:tr>
      <w:tr>
        <w:trPr>
          <w:cantSplit/>
        </w:trPr>
        <w:tc>
          <w:tcPr>
            <w:tcW w:type="dxa" w:w="2952"/>
            <w:tcMar>
              <w:top w:w="80" w:type="dxa"/>
              <w:start w:w="120" w:type="dxa"/>
              <w:bottom w:w="80" w:type="dxa"/>
              <w:end w:w="120" w:type="dxa"/>
            </w:tcMar>
            <w:vAlign w:val="center"/>
            <w:shd w:fill="FFFFFF"/>
          </w:tcPr>
          <w:p>
            <w:pPr>
              <w:spacing w:before="0" w:after="0"/>
            </w:pPr>
            <w:r/>
            <w:r>
              <w:rPr>
                <w:rFonts w:ascii="Calibri" w:hAnsi="Calibri"/>
                <w:b/>
                <w:i w:val="0"/>
                <w:color w:val="303846"/>
                <w:sz w:val="16"/>
              </w:rPr>
              <w:t>GET /v1/models</w:t>
            </w:r>
          </w:p>
        </w:tc>
        <w:tc>
          <w:tcPr>
            <w:tcW w:type="dxa" w:w="33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List champion/challenger states</w:t>
            </w:r>
          </w:p>
        </w:tc>
        <w:tc>
          <w:tcPr>
            <w:tcW w:type="dxa" w:w="302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Model metadata</w:t>
            </w:r>
          </w:p>
        </w:tc>
      </w:tr>
      <w:tr>
        <w:trPr>
          <w:cantSplit/>
        </w:trPr>
        <w:tc>
          <w:tcPr>
            <w:tcW w:type="dxa" w:w="2952"/>
            <w:tcMar>
              <w:top w:w="80" w:type="dxa"/>
              <w:start w:w="120" w:type="dxa"/>
              <w:bottom w:w="80" w:type="dxa"/>
              <w:end w:w="120" w:type="dxa"/>
            </w:tcMar>
            <w:vAlign w:val="center"/>
            <w:shd w:fill="FFFFFF"/>
          </w:tcPr>
          <w:p>
            <w:pPr>
              <w:spacing w:before="0" w:after="0"/>
            </w:pPr>
            <w:r/>
            <w:r>
              <w:rPr>
                <w:rFonts w:ascii="Calibri" w:hAnsi="Calibri"/>
                <w:b/>
                <w:i w:val="0"/>
                <w:color w:val="303846"/>
                <w:sz w:val="16"/>
              </w:rPr>
              <w:t>POST /v1/models/challenger/evaluate</w:t>
            </w:r>
          </w:p>
        </w:tc>
        <w:tc>
          <w:tcPr>
            <w:tcW w:type="dxa" w:w="33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Evaluate reference challenger boundary</w:t>
            </w:r>
          </w:p>
        </w:tc>
        <w:tc>
          <w:tcPr>
            <w:tcW w:type="dxa" w:w="302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Frozen gates</w:t>
            </w:r>
          </w:p>
        </w:tc>
      </w:tr>
      <w:tr>
        <w:trPr>
          <w:cantSplit/>
        </w:trPr>
        <w:tc>
          <w:tcPr>
            <w:tcW w:type="dxa" w:w="2952"/>
            <w:tcMar>
              <w:top w:w="80" w:type="dxa"/>
              <w:start w:w="120" w:type="dxa"/>
              <w:bottom w:w="80" w:type="dxa"/>
              <w:end w:w="120" w:type="dxa"/>
            </w:tcMar>
            <w:vAlign w:val="center"/>
            <w:shd w:fill="FFFFFF"/>
          </w:tcPr>
          <w:p>
            <w:pPr>
              <w:spacing w:before="0" w:after="0"/>
            </w:pPr>
            <w:r/>
            <w:r>
              <w:rPr>
                <w:rFonts w:ascii="Calibri" w:hAnsi="Calibri"/>
                <w:b/>
                <w:i w:val="0"/>
                <w:color w:val="303846"/>
                <w:sz w:val="16"/>
              </w:rPr>
              <w:t>POST /v1/models/{id}/approve</w:t>
            </w:r>
          </w:p>
        </w:tc>
        <w:tc>
          <w:tcPr>
            <w:tcW w:type="dxa" w:w="33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Approve promotion</w:t>
            </w:r>
          </w:p>
        </w:tc>
        <w:tc>
          <w:tcPr>
            <w:tcW w:type="dxa" w:w="302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Named independent reviewer</w:t>
            </w:r>
          </w:p>
        </w:tc>
      </w:tr>
      <w:tr>
        <w:trPr>
          <w:cantSplit/>
        </w:trPr>
        <w:tc>
          <w:tcPr>
            <w:tcW w:type="dxa" w:w="2952"/>
            <w:tcMar>
              <w:top w:w="80" w:type="dxa"/>
              <w:start w:w="120" w:type="dxa"/>
              <w:bottom w:w="80" w:type="dxa"/>
              <w:end w:w="120" w:type="dxa"/>
            </w:tcMar>
            <w:vAlign w:val="center"/>
            <w:shd w:fill="FFFFFF"/>
          </w:tcPr>
          <w:p>
            <w:pPr>
              <w:spacing w:before="0" w:after="0"/>
            </w:pPr>
            <w:r/>
            <w:r>
              <w:rPr>
                <w:rFonts w:ascii="Calibri" w:hAnsi="Calibri"/>
                <w:b/>
                <w:i w:val="0"/>
                <w:color w:val="303846"/>
                <w:sz w:val="16"/>
              </w:rPr>
              <w:t>GET /v1/audit</w:t>
            </w:r>
          </w:p>
        </w:tc>
        <w:tc>
          <w:tcPr>
            <w:tcW w:type="dxa" w:w="33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Retrieve authorised audit records</w:t>
            </w:r>
          </w:p>
        </w:tc>
        <w:tc>
          <w:tcPr>
            <w:tcW w:type="dxa" w:w="302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Auditor/admin role</w:t>
            </w:r>
          </w:p>
        </w:tc>
      </w:tr>
      <w:tr>
        <w:trPr>
          <w:cantSplit/>
        </w:trPr>
        <w:tc>
          <w:tcPr>
            <w:tcW w:type="dxa" w:w="2952"/>
            <w:tcMar>
              <w:top w:w="80" w:type="dxa"/>
              <w:start w:w="120" w:type="dxa"/>
              <w:bottom w:w="80" w:type="dxa"/>
              <w:end w:w="120" w:type="dxa"/>
            </w:tcMar>
            <w:vAlign w:val="center"/>
            <w:shd w:fill="FFFFFF"/>
          </w:tcPr>
          <w:p>
            <w:pPr>
              <w:spacing w:before="0" w:after="0"/>
            </w:pPr>
            <w:r/>
            <w:r>
              <w:rPr>
                <w:rFonts w:ascii="Calibri" w:hAnsi="Calibri"/>
                <w:b/>
                <w:i w:val="0"/>
                <w:color w:val="303846"/>
                <w:sz w:val="16"/>
              </w:rPr>
              <w:t>GET /v1/assistant/capabilities</w:t>
            </w:r>
          </w:p>
        </w:tc>
        <w:tc>
          <w:tcPr>
            <w:tcW w:type="dxa" w:w="33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Report deterministic and optional local-LLM assistant modes</w:t>
            </w:r>
          </w:p>
        </w:tc>
        <w:tc>
          <w:tcPr>
            <w:tcW w:type="dxa" w:w="302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Operator configuration only; no secrets</w:t>
            </w:r>
          </w:p>
        </w:tc>
      </w:tr>
      <w:tr>
        <w:trPr>
          <w:cantSplit/>
        </w:trPr>
        <w:tc>
          <w:tcPr>
            <w:tcW w:type="dxa" w:w="2952"/>
            <w:tcMar>
              <w:top w:w="80" w:type="dxa"/>
              <w:start w:w="120" w:type="dxa"/>
              <w:bottom w:w="80" w:type="dxa"/>
              <w:end w:w="120" w:type="dxa"/>
            </w:tcMar>
            <w:vAlign w:val="center"/>
            <w:shd w:fill="FFFFFF"/>
          </w:tcPr>
          <w:p>
            <w:pPr>
              <w:spacing w:before="0" w:after="0"/>
            </w:pPr>
            <w:r/>
            <w:r>
              <w:rPr>
                <w:rFonts w:ascii="Calibri" w:hAnsi="Calibri"/>
                <w:b/>
                <w:i w:val="0"/>
                <w:color w:val="303846"/>
                <w:sz w:val="16"/>
              </w:rPr>
              <w:t>POST /v1/assistant/query</w:t>
            </w:r>
          </w:p>
        </w:tc>
        <w:tc>
          <w:tcPr>
            <w:tcW w:type="dxa" w:w="33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Evidence-bound research answer</w:t>
            </w:r>
          </w:p>
        </w:tc>
        <w:tc>
          <w:tcPr>
            <w:tcW w:type="dxa" w:w="302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No clinical advice</w:t>
            </w:r>
          </w:p>
        </w:tc>
      </w:tr>
      <w:tr>
        <w:trPr>
          <w:cantSplit/>
        </w:trPr>
        <w:tc>
          <w:tcPr>
            <w:tcW w:type="dxa" w:w="2952"/>
            <w:tcMar>
              <w:top w:w="80" w:type="dxa"/>
              <w:start w:w="120" w:type="dxa"/>
              <w:bottom w:w="80" w:type="dxa"/>
              <w:end w:w="120" w:type="dxa"/>
            </w:tcMar>
            <w:vAlign w:val="center"/>
            <w:shd w:fill="FFFFFF"/>
          </w:tcPr>
          <w:p>
            <w:pPr>
              <w:spacing w:before="0" w:after="0"/>
            </w:pPr>
            <w:r/>
            <w:r>
              <w:rPr>
                <w:rFonts w:ascii="Calibri" w:hAnsi="Calibri"/>
                <w:b/>
                <w:i w:val="0"/>
                <w:color w:val="303846"/>
                <w:sz w:val="16"/>
              </w:rPr>
              <w:t>GET /v1/zinc22/capabilities</w:t>
            </w:r>
          </w:p>
        </w:tc>
        <w:tc>
          <w:tcPr>
            <w:tcW w:type="dxa" w:w="33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Report configured public chemical-space map and operator gate</w:t>
            </w:r>
          </w:p>
        </w:tc>
        <w:tc>
          <w:tcPr>
            <w:tcW w:type="dxa" w:w="302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No claim until provider metadata is verified</w:t>
            </w:r>
          </w:p>
        </w:tc>
      </w:tr>
      <w:tr>
        <w:trPr>
          <w:cantSplit/>
        </w:trPr>
        <w:tc>
          <w:tcPr>
            <w:tcW w:type="dxa" w:w="2952"/>
            <w:tcMar>
              <w:top w:w="80" w:type="dxa"/>
              <w:start w:w="120" w:type="dxa"/>
              <w:bottom w:w="80" w:type="dxa"/>
              <w:end w:w="120" w:type="dxa"/>
            </w:tcMar>
            <w:vAlign w:val="center"/>
            <w:shd w:fill="FFFFFF"/>
          </w:tcPr>
          <w:p>
            <w:pPr>
              <w:spacing w:before="0" w:after="0"/>
            </w:pPr>
            <w:r/>
            <w:r>
              <w:rPr>
                <w:rFonts w:ascii="Calibri" w:hAnsi="Calibri"/>
                <w:b/>
                <w:i w:val="0"/>
                <w:color w:val="303846"/>
                <w:sz w:val="16"/>
              </w:rPr>
              <w:t>POST /v1/zinc22/searches</w:t>
            </w:r>
          </w:p>
        </w:tc>
        <w:tc>
          <w:tcPr>
            <w:tcW w:type="dxa" w:w="33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Run one bounded live SmallWorld structural query and local RDKit triage</w:t>
            </w:r>
          </w:p>
        </w:tc>
        <w:tc>
          <w:tcPr>
            <w:tcW w:type="dxa" w:w="302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Operator gate; maximum 100 imported hits</w:t>
            </w:r>
          </w:p>
        </w:tc>
      </w:tr>
      <w:tr>
        <w:trPr>
          <w:cantSplit/>
        </w:trPr>
        <w:tc>
          <w:tcPr>
            <w:tcW w:type="dxa" w:w="2952"/>
            <w:tcMar>
              <w:top w:w="80" w:type="dxa"/>
              <w:start w:w="120" w:type="dxa"/>
              <w:bottom w:w="80" w:type="dxa"/>
              <w:end w:w="120" w:type="dxa"/>
            </w:tcMar>
            <w:vAlign w:val="center"/>
            <w:shd w:fill="FFFFFF"/>
          </w:tcPr>
          <w:p>
            <w:pPr>
              <w:spacing w:before="0" w:after="0"/>
            </w:pPr>
            <w:r/>
            <w:r>
              <w:rPr>
                <w:rFonts w:ascii="Calibri" w:hAnsi="Calibri"/>
                <w:b/>
                <w:i w:val="0"/>
                <w:color w:val="303846"/>
                <w:sz w:val="16"/>
              </w:rPr>
              <w:t>GET /v1/zinc22/searches/{job_id}</w:t>
            </w:r>
          </w:p>
        </w:tc>
        <w:tc>
          <w:tcPr>
            <w:tcW w:type="dxa" w:w="33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Retrieve persisted search evidence and shortlist</w:t>
            </w:r>
          </w:p>
        </w:tc>
        <w:tc>
          <w:tcPr>
            <w:tcW w:type="dxa" w:w="302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Exact job identifier</w:t>
            </w:r>
          </w:p>
        </w:tc>
      </w:tr>
      <w:tr>
        <w:trPr>
          <w:cantSplit/>
        </w:trPr>
        <w:tc>
          <w:tcPr>
            <w:tcW w:type="dxa" w:w="2952"/>
            <w:tcMar>
              <w:top w:w="80" w:type="dxa"/>
              <w:start w:w="120" w:type="dxa"/>
              <w:bottom w:w="80" w:type="dxa"/>
              <w:end w:w="120" w:type="dxa"/>
            </w:tcMar>
            <w:vAlign w:val="center"/>
            <w:shd w:fill="FFFFFF"/>
          </w:tcPr>
          <w:p>
            <w:pPr>
              <w:spacing w:before="0" w:after="0"/>
            </w:pPr>
            <w:r/>
            <w:r>
              <w:rPr>
                <w:rFonts w:ascii="Calibri" w:hAnsi="Calibri"/>
                <w:b/>
                <w:i w:val="0"/>
                <w:color w:val="303846"/>
                <w:sz w:val="16"/>
              </w:rPr>
              <w:t>POST /v1/zinc22/searches/{job_id}/refresh</w:t>
            </w:r>
          </w:p>
        </w:tc>
        <w:tc>
          <w:tcPr>
            <w:tcW w:type="dxa" w:w="33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Stable refresh contract for provider task modes</w:t>
            </w:r>
          </w:p>
        </w:tc>
        <w:tc>
          <w:tcPr>
            <w:tcW w:type="dxa" w:w="302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Never fabricates pending or completed hits</w:t>
            </w:r>
          </w:p>
        </w:tc>
      </w:tr>
      <w:tr>
        <w:trPr>
          <w:cantSplit/>
        </w:trPr>
        <w:tc>
          <w:tcPr>
            <w:tcW w:type="dxa" w:w="2952"/>
            <w:tcMar>
              <w:top w:w="80" w:type="dxa"/>
              <w:start w:w="120" w:type="dxa"/>
              <w:bottom w:w="80" w:type="dxa"/>
              <w:end w:w="120" w:type="dxa"/>
            </w:tcMar>
            <w:vAlign w:val="center"/>
            <w:shd w:fill="FFFFFF"/>
          </w:tcPr>
          <w:p>
            <w:pPr>
              <w:spacing w:before="0" w:after="0"/>
            </w:pPr>
            <w:r/>
            <w:r>
              <w:rPr>
                <w:rFonts w:ascii="Calibri" w:hAnsi="Calibri"/>
                <w:b/>
                <w:i w:val="0"/>
                <w:color w:val="303846"/>
                <w:sz w:val="16"/>
              </w:rPr>
              <w:t>GET /v1/docking/capabilities</w:t>
            </w:r>
          </w:p>
        </w:tc>
        <w:tc>
          <w:tcPr>
            <w:tcW w:type="dxa" w:w="33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Report pinned Vina worker readiness and resource policy</w:t>
            </w:r>
          </w:p>
        </w:tc>
        <w:tc>
          <w:tcPr>
            <w:tcW w:type="dxa" w:w="302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No score implied by readiness</w:t>
            </w:r>
          </w:p>
        </w:tc>
      </w:tr>
      <w:tr>
        <w:trPr>
          <w:cantSplit/>
        </w:trPr>
        <w:tc>
          <w:tcPr>
            <w:tcW w:type="dxa" w:w="2952"/>
            <w:tcMar>
              <w:top w:w="80" w:type="dxa"/>
              <w:start w:w="120" w:type="dxa"/>
              <w:bottom w:w="80" w:type="dxa"/>
              <w:end w:w="120" w:type="dxa"/>
            </w:tcMar>
            <w:vAlign w:val="center"/>
            <w:shd w:fill="FFFFFF"/>
          </w:tcPr>
          <w:p>
            <w:pPr>
              <w:spacing w:before="0" w:after="0"/>
            </w:pPr>
            <w:r/>
            <w:r>
              <w:rPr>
                <w:rFonts w:ascii="Calibri" w:hAnsi="Calibri"/>
                <w:b/>
                <w:i w:val="0"/>
                <w:color w:val="303846"/>
                <w:sz w:val="16"/>
              </w:rPr>
              <w:t>POST /v1/docking/jobs</w:t>
            </w:r>
          </w:p>
        </w:tc>
        <w:tc>
          <w:tcPr>
            <w:tcW w:type="dxa" w:w="33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Execute a qualified AutoDock Vina 1.2.7 job</w:t>
            </w:r>
          </w:p>
        </w:tc>
        <w:tc>
          <w:tcPr>
            <w:tcW w:type="dxa" w:w="302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Prepared PDBQT; operator gate; bounded child process</w:t>
            </w:r>
          </w:p>
        </w:tc>
      </w:tr>
      <w:tr>
        <w:trPr>
          <w:cantSplit/>
        </w:trPr>
        <w:tc>
          <w:tcPr>
            <w:tcW w:type="dxa" w:w="2952"/>
            <w:tcMar>
              <w:top w:w="80" w:type="dxa"/>
              <w:start w:w="120" w:type="dxa"/>
              <w:bottom w:w="80" w:type="dxa"/>
              <w:end w:w="120" w:type="dxa"/>
            </w:tcMar>
            <w:vAlign w:val="center"/>
            <w:shd w:fill="FFFFFF"/>
          </w:tcPr>
          <w:p>
            <w:pPr>
              <w:spacing w:before="0" w:after="0"/>
            </w:pPr>
            <w:r/>
            <w:r>
              <w:rPr>
                <w:rFonts w:ascii="Calibri" w:hAnsi="Calibri"/>
                <w:b/>
                <w:i w:val="0"/>
                <w:color w:val="303846"/>
                <w:sz w:val="16"/>
              </w:rPr>
              <w:t>GET /v1/docking/jobs/{job_id}</w:t>
            </w:r>
          </w:p>
        </w:tc>
        <w:tc>
          <w:tcPr>
            <w:tcW w:type="dxa" w:w="33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Retrieve immutable docking status, logs and completed pose content/checksum</w:t>
            </w:r>
          </w:p>
        </w:tc>
        <w:tc>
          <w:tcPr>
            <w:tcW w:type="dxa" w:w="302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Exact job identifier</w:t>
            </w:r>
          </w:p>
        </w:tc>
      </w:tr>
      <w:tr>
        <w:trPr>
          <w:cantSplit/>
        </w:trPr>
        <w:tc>
          <w:tcPr>
            <w:tcW w:type="dxa" w:w="2952"/>
            <w:tcMar>
              <w:top w:w="80" w:type="dxa"/>
              <w:start w:w="120" w:type="dxa"/>
              <w:bottom w:w="80" w:type="dxa"/>
              <w:end w:w="120" w:type="dxa"/>
            </w:tcMar>
            <w:vAlign w:val="center"/>
            <w:shd w:fill="FFFFFF"/>
          </w:tcPr>
          <w:p>
            <w:pPr>
              <w:spacing w:before="0" w:after="0"/>
            </w:pPr>
            <w:r/>
            <w:r>
              <w:rPr>
                <w:rFonts w:ascii="Calibri" w:hAnsi="Calibri"/>
                <w:b/>
                <w:i w:val="0"/>
                <w:color w:val="303846"/>
                <w:sz w:val="16"/>
              </w:rPr>
              <w:t>POST /v1/docking/benchmarks</w:t>
            </w:r>
          </w:p>
        </w:tc>
        <w:tc>
          <w:tcPr>
            <w:tcW w:type="dxa" w:w="33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Compare completed poses with the exact prepared co-crystal ligand</w:t>
            </w:r>
          </w:p>
        </w:tc>
        <w:tc>
          <w:tcPr>
            <w:tcW w:type="dxa" w:w="302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Matching heavy-atom order; RMSD is pose recovery, not affinity validation</w:t>
            </w:r>
          </w:p>
        </w:tc>
      </w:tr>
      <w:tr>
        <w:trPr>
          <w:cantSplit/>
        </w:trPr>
        <w:tc>
          <w:tcPr>
            <w:tcW w:type="dxa" w:w="2952"/>
            <w:tcMar>
              <w:top w:w="80" w:type="dxa"/>
              <w:start w:w="120" w:type="dxa"/>
              <w:bottom w:w="80" w:type="dxa"/>
              <w:end w:w="120" w:type="dxa"/>
            </w:tcMar>
            <w:vAlign w:val="center"/>
            <w:shd w:fill="FFFFFF"/>
          </w:tcPr>
          <w:p>
            <w:pPr>
              <w:spacing w:before="0" w:after="0"/>
            </w:pPr>
            <w:r/>
            <w:r>
              <w:rPr>
                <w:rFonts w:ascii="Calibri" w:hAnsi="Calibri"/>
                <w:b/>
                <w:i w:val="0"/>
                <w:color w:val="303846"/>
                <w:sz w:val="16"/>
              </w:rPr>
              <w:t>GET /v1/model-lab/capabilities</w:t>
            </w:r>
          </w:p>
        </w:tc>
        <w:tc>
          <w:tcPr>
            <w:tcW w:type="dxa" w:w="33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Report dataset, feature, baseline, evaluation and operator gates</w:t>
            </w:r>
          </w:p>
        </w:tc>
        <w:tc>
          <w:tcPr>
            <w:tcW w:type="dxa" w:w="302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No outbound retrieval or training</w:t>
            </w:r>
          </w:p>
        </w:tc>
      </w:tr>
      <w:tr>
        <w:trPr>
          <w:cantSplit/>
        </w:trPr>
        <w:tc>
          <w:tcPr>
            <w:tcW w:type="dxa" w:w="2952"/>
            <w:tcMar>
              <w:top w:w="80" w:type="dxa"/>
              <w:start w:w="120" w:type="dxa"/>
              <w:bottom w:w="80" w:type="dxa"/>
              <w:end w:w="120" w:type="dxa"/>
            </w:tcMar>
            <w:vAlign w:val="center"/>
            <w:shd w:fill="FFFFFF"/>
          </w:tcPr>
          <w:p>
            <w:pPr>
              <w:spacing w:before="0" w:after="0"/>
            </w:pPr>
            <w:r/>
            <w:r>
              <w:rPr>
                <w:rFonts w:ascii="Calibri" w:hAnsi="Calibri"/>
                <w:b/>
                <w:i w:val="0"/>
                <w:color w:val="303846"/>
                <w:sz w:val="16"/>
              </w:rPr>
              <w:t>GET /v1/model-lab/snapshots</w:t>
            </w:r>
          </w:p>
        </w:tc>
        <w:tc>
          <w:tcPr>
            <w:tcW w:type="dxa" w:w="33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List immutable activity snapshots</w:t>
            </w:r>
          </w:p>
        </w:tc>
        <w:tc>
          <w:tcPr>
            <w:tcW w:type="dxa" w:w="302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Authorised workspace only in production</w:t>
            </w:r>
          </w:p>
        </w:tc>
      </w:tr>
      <w:tr>
        <w:trPr>
          <w:cantSplit/>
        </w:trPr>
        <w:tc>
          <w:tcPr>
            <w:tcW w:type="dxa" w:w="2952"/>
            <w:tcMar>
              <w:top w:w="80" w:type="dxa"/>
              <w:start w:w="120" w:type="dxa"/>
              <w:bottom w:w="80" w:type="dxa"/>
              <w:end w:w="120" w:type="dxa"/>
            </w:tcMar>
            <w:vAlign w:val="center"/>
            <w:shd w:fill="FFFFFF"/>
          </w:tcPr>
          <w:p>
            <w:pPr>
              <w:spacing w:before="0" w:after="0"/>
            </w:pPr>
            <w:r/>
            <w:r>
              <w:rPr>
                <w:rFonts w:ascii="Calibri" w:hAnsi="Calibri"/>
                <w:b/>
                <w:i w:val="0"/>
                <w:color w:val="303846"/>
                <w:sz w:val="16"/>
              </w:rPr>
              <w:t>POST /v1/model-lab/chembl/snapshots</w:t>
            </w:r>
          </w:p>
        </w:tc>
        <w:tc>
          <w:tcPr>
            <w:tcW w:type="dxa" w:w="33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Retrieve and freeze one bounded ChEMBL endpoint slice</w:t>
            </w:r>
          </w:p>
        </w:tc>
        <w:tc>
          <w:tcPr>
            <w:tcW w:type="dxa" w:w="302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Operator gate; exact target/endpoint/assay; server ceiling</w:t>
            </w:r>
          </w:p>
        </w:tc>
      </w:tr>
      <w:tr>
        <w:trPr>
          <w:cantSplit/>
        </w:trPr>
        <w:tc>
          <w:tcPr>
            <w:tcW w:type="dxa" w:w="2952"/>
            <w:tcMar>
              <w:top w:w="80" w:type="dxa"/>
              <w:start w:w="120" w:type="dxa"/>
              <w:bottom w:w="80" w:type="dxa"/>
              <w:end w:w="120" w:type="dxa"/>
            </w:tcMar>
            <w:vAlign w:val="center"/>
            <w:shd w:fill="FFFFFF"/>
          </w:tcPr>
          <w:p>
            <w:pPr>
              <w:spacing w:before="0" w:after="0"/>
            </w:pPr>
            <w:r/>
            <w:r>
              <w:rPr>
                <w:rFonts w:ascii="Calibri" w:hAnsi="Calibri"/>
                <w:b/>
                <w:i w:val="0"/>
                <w:color w:val="303846"/>
                <w:sz w:val="16"/>
              </w:rPr>
              <w:t>GET /v1/model-lab/models</w:t>
            </w:r>
          </w:p>
        </w:tc>
        <w:tc>
          <w:tcPr>
            <w:tcW w:type="dxa" w:w="33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List completed research-use activity baselines</w:t>
            </w:r>
          </w:p>
        </w:tc>
        <w:tc>
          <w:tcPr>
            <w:tcW w:type="dxa" w:w="302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No production alias implied</w:t>
            </w:r>
          </w:p>
        </w:tc>
      </w:tr>
      <w:tr>
        <w:trPr>
          <w:cantSplit/>
        </w:trPr>
        <w:tc>
          <w:tcPr>
            <w:tcW w:type="dxa" w:w="2952"/>
            <w:tcMar>
              <w:top w:w="80" w:type="dxa"/>
              <w:start w:w="120" w:type="dxa"/>
              <w:bottom w:w="80" w:type="dxa"/>
              <w:end w:w="120" w:type="dxa"/>
            </w:tcMar>
            <w:vAlign w:val="center"/>
            <w:shd w:fill="FFFFFF"/>
          </w:tcPr>
          <w:p>
            <w:pPr>
              <w:spacing w:before="0" w:after="0"/>
            </w:pPr>
            <w:r/>
            <w:r>
              <w:rPr>
                <w:rFonts w:ascii="Calibri" w:hAnsi="Calibri"/>
                <w:b/>
                <w:i w:val="0"/>
                <w:color w:val="303846"/>
                <w:sz w:val="16"/>
              </w:rPr>
              <w:t>POST /v1/model-lab/models</w:t>
            </w:r>
          </w:p>
        </w:tc>
        <w:tc>
          <w:tcPr>
            <w:tcW w:type="dxa" w:w="33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Train, calibrate and evaluate one scaffold-separated baseline</w:t>
            </w:r>
          </w:p>
        </w:tc>
        <w:tc>
          <w:tcPr>
            <w:tcW w:type="dxa" w:w="302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Approved snapshot; no automatic promotion</w:t>
            </w:r>
          </w:p>
        </w:tc>
      </w:tr>
      <w:tr>
        <w:trPr>
          <w:cantSplit/>
        </w:trPr>
        <w:tc>
          <w:tcPr>
            <w:tcW w:type="dxa" w:w="2952"/>
            <w:tcMar>
              <w:top w:w="80" w:type="dxa"/>
              <w:start w:w="120" w:type="dxa"/>
              <w:bottom w:w="80" w:type="dxa"/>
              <w:end w:w="120" w:type="dxa"/>
            </w:tcMar>
            <w:vAlign w:val="center"/>
            <w:shd w:fill="FFFFFF"/>
          </w:tcPr>
          <w:p>
            <w:pPr>
              <w:spacing w:before="0" w:after="0"/>
            </w:pPr>
            <w:r/>
            <w:r>
              <w:rPr>
                <w:rFonts w:ascii="Calibri" w:hAnsi="Calibri"/>
                <w:b/>
                <w:i w:val="0"/>
                <w:color w:val="303846"/>
                <w:sz w:val="16"/>
              </w:rPr>
              <w:t>POST /v1/model-lab/predictions</w:t>
            </w:r>
          </w:p>
        </w:tc>
        <w:tc>
          <w:tcPr>
            <w:tcW w:type="dxa" w:w="33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Apply a retained baseline to a bounded candidate pool</w:t>
            </w:r>
          </w:p>
        </w:tc>
        <w:tc>
          <w:tcPr>
            <w:tcW w:type="dxa" w:w="302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Uncertainty and applicability domain required</w:t>
            </w:r>
          </w:p>
        </w:tc>
      </w:tr>
      <w:tr>
        <w:trPr>
          <w:cantSplit/>
        </w:trPr>
        <w:tc>
          <w:tcPr>
            <w:tcW w:type="dxa" w:w="2952"/>
            <w:tcMar>
              <w:top w:w="80" w:type="dxa"/>
              <w:start w:w="120" w:type="dxa"/>
              <w:bottom w:w="80" w:type="dxa"/>
              <w:end w:w="120" w:type="dxa"/>
            </w:tcMar>
            <w:vAlign w:val="center"/>
            <w:shd w:fill="FFFFFF"/>
          </w:tcPr>
          <w:p>
            <w:pPr>
              <w:spacing w:before="0" w:after="0"/>
            </w:pPr>
            <w:r/>
            <w:r>
              <w:rPr>
                <w:rFonts w:ascii="Calibri" w:hAnsi="Calibri"/>
                <w:b/>
                <w:i w:val="0"/>
                <w:color w:val="303846"/>
                <w:sz w:val="16"/>
              </w:rPr>
              <w:t>POST /v1/model-lab/active-learning-batches</w:t>
            </w:r>
          </w:p>
        </w:tc>
        <w:tc>
          <w:tcPr>
            <w:tcW w:type="dxa" w:w="33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Propose a diverse high-information next-test batch</w:t>
            </w:r>
          </w:p>
        </w:tc>
        <w:tc>
          <w:tcPr>
            <w:tcW w:type="dxa" w:w="302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Human approval required; no experiment or procurement starts</w:t>
            </w:r>
          </w:p>
        </w:tc>
      </w:tr>
      <w:tr>
        <w:trPr>
          <w:cantSplit/>
        </w:trPr>
        <w:tc>
          <w:tcPr>
            <w:tcW w:type="dxa" w:w="2952"/>
            <w:tcMar>
              <w:top w:w="80" w:type="dxa"/>
              <w:start w:w="120" w:type="dxa"/>
              <w:bottom w:w="80" w:type="dxa"/>
              <w:end w:w="120" w:type="dxa"/>
            </w:tcMar>
            <w:vAlign w:val="center"/>
            <w:shd w:fill="FFFFFF"/>
          </w:tcPr>
          <w:p>
            <w:pPr>
              <w:spacing w:before="0" w:after="0"/>
            </w:pPr>
            <w:r/>
            <w:r>
              <w:rPr>
                <w:rFonts w:ascii="Calibri" w:hAnsi="Calibri"/>
                <w:b/>
                <w:i w:val="0"/>
                <w:color w:val="303846"/>
                <w:sz w:val="16"/>
              </w:rPr>
              <w:t>GET /v1/openapi.json</w:t>
            </w:r>
          </w:p>
        </w:tc>
        <w:tc>
          <w:tcPr>
            <w:tcW w:type="dxa" w:w="33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Machine-readable contract</w:t>
            </w:r>
          </w:p>
        </w:tc>
        <w:tc>
          <w:tcPr>
            <w:tcW w:type="dxa" w:w="302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Versioned release</w:t>
            </w:r>
          </w:p>
        </w:tc>
      </w:tr>
    </w:tbl>
    <w:p>
      <w:pPr>
        <w:spacing w:after="0"/>
      </w:pPr>
    </w:p>
    <w:p>
      <w:r>
        <w:rPr>
          <w:rFonts w:ascii="Calibri" w:hAnsi="Calibri"/>
          <w:b w:val="0"/>
          <w:i w:val="0"/>
          <w:color w:val="222222"/>
          <w:sz w:val="22"/>
        </w:rPr>
        <w:t>Production APIs shall add pagination cursors, idempotency keys, correlation IDs, structured error codes, OAuth scopes, tenant context, request limits, export controls, and signed object references.</w:t>
      </w:r>
    </w:p>
    <w:p>
      <w:pPr>
        <w:pStyle w:val="Heading1"/>
      </w:pPr>
      <w:r>
        <w:t>15. Asynchronous event contract</w:t>
      </w:r>
    </w:p>
    <w:p>
      <w:r>
        <w:rPr>
          <w:rFonts w:ascii="Calibri" w:hAnsi="Calibri"/>
          <w:b w:val="0"/>
          <w:i w:val="0"/>
          <w:color w:val="222222"/>
          <w:sz w:val="22"/>
        </w:rPr>
        <w:t>The production outbox publishes events only after the database transaction commits. Event envelope fields:</w:t>
      </w:r>
    </w:p>
    <w:p>
      <w:pPr>
        <w:pStyle w:val="ListBullet"/>
      </w:pPr>
      <w:r>
        <w:rPr>
          <w:rFonts w:ascii="Calibri" w:hAnsi="Calibri"/>
          <w:b w:val="0"/>
          <w:i w:val="0"/>
          <w:color w:val="222222"/>
          <w:sz w:val="22"/>
        </w:rPr>
        <w:t>event_id;</w:t>
      </w:r>
    </w:p>
    <w:p>
      <w:pPr>
        <w:pStyle w:val="ListBullet"/>
      </w:pPr>
      <w:r>
        <w:rPr>
          <w:rFonts w:ascii="Calibri" w:hAnsi="Calibri"/>
          <w:b w:val="0"/>
          <w:i w:val="0"/>
          <w:color w:val="222222"/>
          <w:sz w:val="22"/>
        </w:rPr>
        <w:t>event_type and schema_version;</w:t>
      </w:r>
    </w:p>
    <w:p>
      <w:pPr>
        <w:pStyle w:val="ListBullet"/>
      </w:pPr>
      <w:r>
        <w:rPr>
          <w:rFonts w:ascii="Calibri" w:hAnsi="Calibri"/>
          <w:b w:val="0"/>
          <w:i w:val="0"/>
          <w:color w:val="222222"/>
          <w:sz w:val="22"/>
        </w:rPr>
        <w:t>occurred_at;</w:t>
      </w:r>
    </w:p>
    <w:p>
      <w:pPr>
        <w:pStyle w:val="ListBullet"/>
      </w:pPr>
      <w:r>
        <w:rPr>
          <w:rFonts w:ascii="Calibri" w:hAnsi="Calibri"/>
          <w:b w:val="0"/>
          <w:i w:val="0"/>
          <w:color w:val="222222"/>
          <w:sz w:val="22"/>
        </w:rPr>
        <w:t>actor_id, organisation_id, workspace_id, project_id;</w:t>
      </w:r>
    </w:p>
    <w:p>
      <w:pPr>
        <w:pStyle w:val="ListBullet"/>
      </w:pPr>
      <w:r>
        <w:rPr>
          <w:rFonts w:ascii="Calibri" w:hAnsi="Calibri"/>
          <w:b w:val="0"/>
          <w:i w:val="0"/>
          <w:color w:val="222222"/>
          <w:sz w:val="22"/>
        </w:rPr>
        <w:t>aggregate_type and aggregate_id;</w:t>
      </w:r>
    </w:p>
    <w:p>
      <w:pPr>
        <w:pStyle w:val="ListBullet"/>
      </w:pPr>
      <w:r>
        <w:rPr>
          <w:rFonts w:ascii="Calibri" w:hAnsi="Calibri"/>
          <w:b w:val="0"/>
          <w:i w:val="0"/>
          <w:color w:val="222222"/>
          <w:sz w:val="22"/>
        </w:rPr>
        <w:t>correlation_id and causation_id;</w:t>
      </w:r>
    </w:p>
    <w:p>
      <w:pPr>
        <w:pStyle w:val="ListBullet"/>
      </w:pPr>
      <w:r>
        <w:rPr>
          <w:rFonts w:ascii="Calibri" w:hAnsi="Calibri"/>
          <w:b w:val="0"/>
          <w:i w:val="0"/>
          <w:color w:val="222222"/>
          <w:sz w:val="22"/>
        </w:rPr>
        <w:t>idempotency_key;</w:t>
      </w:r>
    </w:p>
    <w:p>
      <w:pPr>
        <w:pStyle w:val="ListBullet"/>
      </w:pPr>
      <w:r>
        <w:rPr>
          <w:rFonts w:ascii="Calibri" w:hAnsi="Calibri"/>
          <w:b w:val="0"/>
          <w:i w:val="0"/>
          <w:color w:val="222222"/>
          <w:sz w:val="22"/>
        </w:rPr>
        <w:t>source and environment;</w:t>
      </w:r>
    </w:p>
    <w:p>
      <w:pPr>
        <w:pStyle w:val="ListBullet"/>
      </w:pPr>
      <w:r>
        <w:rPr>
          <w:rFonts w:ascii="Calibri" w:hAnsi="Calibri"/>
          <w:b w:val="0"/>
          <w:i w:val="0"/>
          <w:color w:val="222222"/>
          <w:sz w:val="22"/>
        </w:rPr>
        <w:t>payload;</w:t>
      </w:r>
    </w:p>
    <w:p>
      <w:pPr>
        <w:pStyle w:val="ListBullet"/>
      </w:pPr>
      <w:r>
        <w:rPr>
          <w:rFonts w:ascii="Calibri" w:hAnsi="Calibri"/>
          <w:b w:val="0"/>
          <w:i w:val="0"/>
          <w:color w:val="222222"/>
          <w:sz w:val="22"/>
        </w:rPr>
        <w:t>lineage references;</w:t>
      </w:r>
    </w:p>
    <w:p>
      <w:pPr>
        <w:pStyle w:val="ListBullet"/>
      </w:pPr>
      <w:r>
        <w:rPr>
          <w:rFonts w:ascii="Calibri" w:hAnsi="Calibri"/>
          <w:b w:val="0"/>
          <w:i w:val="0"/>
          <w:color w:val="222222"/>
          <w:sz w:val="22"/>
        </w:rPr>
        <w:t>integrity checksum.</w:t>
      </w:r>
    </w:p>
    <w:p>
      <w:r>
        <w:rPr>
          <w:rFonts w:ascii="Calibri" w:hAnsi="Calibri"/>
          <w:b w:val="0"/>
          <w:i w:val="0"/>
          <w:color w:val="222222"/>
          <w:sz w:val="22"/>
        </w:rPr>
        <w:t>Core event types include source.sync.requested, source.release.registered, compound.standardized, record.quarantined, dataset.snapshot.approved, model.training.completed, model.evaluation.completed, model.promotion.approved, ranking.completed, experiment.created, result.qc.completed, result.reviewed, and audit.exported.</w:t>
      </w:r>
    </w:p>
    <w:p>
      <w:pPr>
        <w:pStyle w:val="Heading1"/>
      </w:pPr>
      <w:r>
        <w:t>16. Source and repository plan</w:t>
      </w:r>
    </w:p>
    <w:p>
      <w:r>
        <w:rPr>
          <w:rFonts w:ascii="Calibri" w:hAnsi="Calibri"/>
          <w:b w:val="0"/>
          <w:i w:val="0"/>
          <w:color w:val="222222"/>
          <w:sz w:val="22"/>
        </w:rPr>
        <w:t>The platform shall learn from open-source implementations without copying incompatible code or obscuring licence obligations. Production source acquisition must use official interfaces and approved snapshots.</w:t>
      </w:r>
    </w:p>
    <w:tbl>
      <w:tblPr>
        <w:tblStyle w:val="TableGrid"/>
        <w:tblW w:type="dxa" w:w="9360"/>
        <w:jc w:val="left"/>
        <w:tblLayout w:type="fixed"/>
        <w:tblLook w:firstColumn="1" w:firstRow="1" w:lastColumn="0" w:lastRow="0" w:noHBand="0" w:noVBand="1" w:val="04A0"/>
        <w:tblInd w:w="120" w:type="dxa"/>
      </w:tblPr>
      <w:tblGrid>
        <w:gridCol w:w="2232"/>
        <w:gridCol w:w="5256"/>
        <w:gridCol w:w="1872"/>
      </w:tblGrid>
      <w:tr>
        <w:trPr>
          <w:tblHeader w:val="true"/>
          <w:cantSplit/>
        </w:trPr>
        <w:tc>
          <w:tcPr>
            <w:tcW w:type="dxa" w:w="2232"/>
            <w:tcMar>
              <w:top w:w="80" w:type="dxa"/>
              <w:start w:w="120" w:type="dxa"/>
              <w:bottom w:w="80" w:type="dxa"/>
              <w:end w:w="120" w:type="dxa"/>
            </w:tcMar>
            <w:vAlign w:val="center"/>
            <w:shd w:fill="F2F4F7"/>
          </w:tcPr>
          <w:p>
            <w:pPr>
              <w:spacing w:before="0" w:after="0"/>
            </w:pPr>
            <w:r/>
            <w:r>
              <w:rPr>
                <w:rFonts w:ascii="Calibri" w:hAnsi="Calibri"/>
                <w:b/>
                <w:i w:val="0"/>
                <w:color w:val="17233F"/>
                <w:sz w:val="17"/>
              </w:rPr>
              <w:t>Source or project</w:t>
            </w:r>
          </w:p>
        </w:tc>
        <w:tc>
          <w:tcPr>
            <w:tcW w:type="dxa" w:w="5256"/>
            <w:tcMar>
              <w:top w:w="80" w:type="dxa"/>
              <w:start w:w="120" w:type="dxa"/>
              <w:bottom w:w="80" w:type="dxa"/>
              <w:end w:w="120" w:type="dxa"/>
            </w:tcMar>
            <w:vAlign w:val="center"/>
            <w:shd w:fill="F2F4F7"/>
          </w:tcPr>
          <w:p>
            <w:pPr>
              <w:spacing w:before="0" w:after="0"/>
            </w:pPr>
            <w:r/>
            <w:r>
              <w:rPr>
                <w:rFonts w:ascii="Calibri" w:hAnsi="Calibri"/>
                <w:b/>
                <w:i w:val="0"/>
                <w:color w:val="17233F"/>
                <w:sz w:val="17"/>
              </w:rPr>
              <w:t>Intended use</w:t>
            </w:r>
          </w:p>
        </w:tc>
        <w:tc>
          <w:tcPr>
            <w:tcW w:type="dxa" w:w="1872"/>
            <w:tcMar>
              <w:top w:w="80" w:type="dxa"/>
              <w:start w:w="120" w:type="dxa"/>
              <w:bottom w:w="80" w:type="dxa"/>
              <w:end w:w="120" w:type="dxa"/>
            </w:tcMar>
            <w:vAlign w:val="center"/>
            <w:shd w:fill="F2F4F7"/>
          </w:tcPr>
          <w:p>
            <w:pPr>
              <w:spacing w:before="0" w:after="0"/>
            </w:pPr>
            <w:r/>
            <w:r>
              <w:rPr>
                <w:rFonts w:ascii="Calibri" w:hAnsi="Calibri"/>
                <w:b/>
                <w:i w:val="0"/>
                <w:color w:val="17233F"/>
                <w:sz w:val="17"/>
              </w:rPr>
              <w:t>Integration rule</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PubChem PUG REST</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Compound identity and public chemical properties</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Cache with CID and retrieval timestamp; respect service limits</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ChEMBL API and approved releases</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Bioactivity, assay, target, and compound records</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Preserve activity relation, units, assay and document lineage</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NCI-60 / CellMiner</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Cancer-cell-line response data</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Register exact release and endpoint semantics</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Therapeutics Data Commons</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Curated benchmark and task tooling</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Pin dataset and code versions; verify original-source licences</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COCONUT</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Natural-product structures and source metadata</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Use official download and preserve upstream attribution</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NPASS</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Natural-product activities, species, and targets</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Use approved downloads; inspect licence and citation conditions</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ANPDB</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African natural-product records</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Use official access and attribution terms</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LOTUS</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Natural-product occurrence knowledge</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Bind structures to organism/source provenance</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Tox21 and ToxCast</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Toxicology endpoints</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Keep assay endpoints distinct and versioned</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RDKit</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Cheminformatics and PostgreSQL cartridge</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Pin version and standardization policy</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Datamol</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Optional ergonomic chemistry workflows</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Use only where it improves reproducibility</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Chemprop</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Message-passing molecular models</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Compare on frozen identical splits</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ADMET-AI</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Production ADMET adapter candidate</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Validate endpoint fit, version, licence, and calibration</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MLflow</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Registry, model versions, aliases, and evaluations</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Approval controls remain outside a self-service alias change</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Prefect</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Offline pipeline orchestration</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Deploy ingestion/training flows separately from inference</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3Dmol.js</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Optional structure visualisation</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Visual aid only; not evidence</w:t>
            </w:r>
          </w:p>
        </w:tc>
      </w:tr>
    </w:tbl>
    <w:p>
      <w:pPr>
        <w:spacing w:after="0"/>
      </w:pPr>
    </w:p>
    <w:p>
      <w:r>
        <w:rPr>
          <w:rFonts w:ascii="Calibri" w:hAnsi="Calibri"/>
          <w:b w:val="0"/>
          <w:i w:val="0"/>
          <w:color w:val="222222"/>
          <w:sz w:val="22"/>
        </w:rPr>
        <w:t>The included 192-record registry is a legal, deterministic development seed: curated recognisable structures plus RDKit-distributed NCI reference structures. Reference-structure presence does not establish oncology activity.</w:t>
      </w:r>
    </w:p>
    <w:p>
      <w:pPr>
        <w:pStyle w:val="Heading1"/>
      </w:pPr>
      <w:r>
        <w:t>17. Frontend requirements</w:t>
      </w:r>
    </w:p>
    <w:p>
      <w:r>
        <w:rPr>
          <w:rFonts w:ascii="Calibri" w:hAnsi="Calibri"/>
          <w:b w:val="0"/>
          <w:i w:val="0"/>
          <w:color w:val="222222"/>
          <w:sz w:val="22"/>
        </w:rPr>
        <w:t>The Next.js workbench shall:</w:t>
      </w:r>
    </w:p>
    <w:p>
      <w:pPr>
        <w:pStyle w:val="ListBullet"/>
      </w:pPr>
      <w:r>
        <w:rPr>
          <w:rFonts w:ascii="Calibri" w:hAnsi="Calibri"/>
          <w:b w:val="0"/>
          <w:i w:val="0"/>
          <w:color w:val="222222"/>
          <w:sz w:val="22"/>
        </w:rPr>
        <w:t>show current workspace, project/task context, and research-use state;</w:t>
      </w:r>
    </w:p>
    <w:p>
      <w:pPr>
        <w:pStyle w:val="ListBullet"/>
      </w:pPr>
      <w:r>
        <w:rPr>
          <w:rFonts w:ascii="Calibri" w:hAnsi="Calibri"/>
          <w:b w:val="0"/>
          <w:i w:val="0"/>
          <w:color w:val="222222"/>
          <w:sz w:val="22"/>
        </w:rPr>
        <w:t>let users choose cancer context, cell line, endpoint, and candidate origin;</w:t>
      </w:r>
    </w:p>
    <w:p>
      <w:pPr>
        <w:pStyle w:val="ListBullet"/>
      </w:pPr>
      <w:r>
        <w:rPr>
          <w:rFonts w:ascii="Calibri" w:hAnsi="Calibri"/>
          <w:b w:val="0"/>
          <w:i w:val="0"/>
          <w:color w:val="222222"/>
          <w:sz w:val="22"/>
        </w:rPr>
        <w:t>display registry size, candidate count, domain coverage, policy score, and experiment queue;</w:t>
      </w:r>
    </w:p>
    <w:p>
      <w:pPr>
        <w:pStyle w:val="ListBullet"/>
      </w:pPr>
      <w:r>
        <w:rPr>
          <w:rFonts w:ascii="Calibri" w:hAnsi="Calibri"/>
          <w:b w:val="0"/>
          <w:i w:val="0"/>
          <w:color w:val="222222"/>
          <w:sz w:val="22"/>
        </w:rPr>
        <w:t>visualize the seven-stage evidence-to-experiment loop;</w:t>
      </w:r>
    </w:p>
    <w:p>
      <w:pPr>
        <w:pStyle w:val="ListBullet"/>
      </w:pPr>
      <w:r>
        <w:rPr>
          <w:rFonts w:ascii="Calibri" w:hAnsi="Calibri"/>
          <w:b w:val="0"/>
          <w:i w:val="0"/>
          <w:color w:val="222222"/>
          <w:sz w:val="22"/>
        </w:rPr>
        <w:t>search, filter, sort, select, and compare compounds;</w:t>
      </w:r>
    </w:p>
    <w:p>
      <w:pPr>
        <w:pStyle w:val="ListBullet"/>
      </w:pPr>
      <w:r>
        <w:rPr>
          <w:rFonts w:ascii="Calibri" w:hAnsi="Calibri"/>
          <w:b w:val="0"/>
          <w:i w:val="0"/>
          <w:color w:val="222222"/>
          <w:sz w:val="22"/>
        </w:rPr>
        <w:t>show formula, origin, evidence grade, activity, confidence, uncertainty, score, and domain;</w:t>
      </w:r>
    </w:p>
    <w:p>
      <w:pPr>
        <w:pStyle w:val="ListBullet"/>
      </w:pPr>
      <w:r>
        <w:rPr>
          <w:rFonts w:ascii="Calibri" w:hAnsi="Calibri"/>
          <w:b w:val="0"/>
          <w:i w:val="0"/>
          <w:color w:val="222222"/>
          <w:sz w:val="22"/>
        </w:rPr>
        <w:t>show a candidate’s prediction interval, analog/evidence context, ADMET endpoints, and score contributions;</w:t>
      </w:r>
    </w:p>
    <w:p>
      <w:pPr>
        <w:pStyle w:val="ListBullet"/>
      </w:pPr>
      <w:r>
        <w:rPr>
          <w:rFonts w:ascii="Calibri" w:hAnsi="Calibri"/>
          <w:b w:val="0"/>
          <w:i w:val="0"/>
          <w:color w:val="222222"/>
          <w:sz w:val="22"/>
        </w:rPr>
        <w:t>create a governed computational experiment from selected candidates;</w:t>
      </w:r>
    </w:p>
    <w:p>
      <w:pPr>
        <w:pStyle w:val="ListBullet"/>
      </w:pPr>
      <w:r>
        <w:rPr>
          <w:rFonts w:ascii="Calibri" w:hAnsi="Calibri"/>
          <w:b w:val="0"/>
          <w:i w:val="0"/>
          <w:color w:val="222222"/>
          <w:sz w:val="22"/>
        </w:rPr>
        <w:t>show protocol, stage progress, synthetic observation count, QC, and no-model-mutation state;</w:t>
      </w:r>
    </w:p>
    <w:p>
      <w:pPr>
        <w:pStyle w:val="ListBullet"/>
      </w:pPr>
      <w:r>
        <w:rPr>
          <w:rFonts w:ascii="Calibri" w:hAnsi="Calibri"/>
          <w:b w:val="0"/>
          <w:i w:val="0"/>
          <w:color w:val="222222"/>
          <w:sz w:val="22"/>
        </w:rPr>
        <w:t>expose champion/challenger boundaries and required gates;</w:t>
      </w:r>
    </w:p>
    <w:p>
      <w:pPr>
        <w:pStyle w:val="ListBullet"/>
      </w:pPr>
      <w:r>
        <w:rPr>
          <w:rFonts w:ascii="Calibri" w:hAnsi="Calibri"/>
          <w:b w:val="0"/>
          <w:i w:val="0"/>
          <w:color w:val="222222"/>
          <w:sz w:val="22"/>
        </w:rPr>
        <w:t>remain usable at desktop, tablet, and mobile widths;</w:t>
      </w:r>
    </w:p>
    <w:p>
      <w:pPr>
        <w:pStyle w:val="ListBullet"/>
      </w:pPr>
      <w:r>
        <w:rPr>
          <w:rFonts w:ascii="Calibri" w:hAnsi="Calibri"/>
          <w:b w:val="0"/>
          <w:i w:val="0"/>
          <w:color w:val="222222"/>
          <w:sz w:val="22"/>
        </w:rPr>
        <w:t>degrade to a clearly labelled embedded deterministic demo when the Python URL is not configured.</w:t>
      </w:r>
    </w:p>
    <w:p>
      <w:r>
        <w:rPr>
          <w:rFonts w:ascii="Calibri" w:hAnsi="Calibri"/>
          <w:b w:val="0"/>
          <w:i w:val="0"/>
          <w:color w:val="222222"/>
          <w:sz w:val="22"/>
        </w:rPr>
        <w:t>The production deployment shall route the frontend to the FastAPI service through an authenticated private binding or approved API gateway. The embedded fallback is for preview resilience only.</w:t>
      </w:r>
    </w:p>
    <w:p>
      <w:pPr>
        <w:pStyle w:val="Heading1"/>
      </w:pPr>
      <w:r>
        <w:t>18. Security and privacy</w:t>
      </w:r>
    </w:p>
    <w:p>
      <w:pPr>
        <w:pStyle w:val="Heading2"/>
      </w:pPr>
      <w:r>
        <w:t>18.1 Identity and authorization</w:t>
      </w:r>
    </w:p>
    <w:p>
      <w:pPr>
        <w:pStyle w:val="ListBullet"/>
      </w:pPr>
      <w:r>
        <w:rPr>
          <w:rFonts w:ascii="Calibri" w:hAnsi="Calibri"/>
          <w:b w:val="0"/>
          <w:i w:val="0"/>
          <w:color w:val="222222"/>
          <w:sz w:val="22"/>
        </w:rPr>
        <w:t>OIDC/OAuth 2.1 with short-lived tokens.</w:t>
      </w:r>
    </w:p>
    <w:p>
      <w:pPr>
        <w:pStyle w:val="ListBullet"/>
      </w:pPr>
      <w:r>
        <w:rPr>
          <w:rFonts w:ascii="Calibri" w:hAnsi="Calibri"/>
          <w:b w:val="0"/>
          <w:i w:val="0"/>
          <w:color w:val="222222"/>
          <w:sz w:val="22"/>
        </w:rPr>
        <w:t>Role and project scopes enforced in API and database.</w:t>
      </w:r>
    </w:p>
    <w:p>
      <w:pPr>
        <w:pStyle w:val="ListBullet"/>
      </w:pPr>
      <w:r>
        <w:rPr>
          <w:rFonts w:ascii="Calibri" w:hAnsi="Calibri"/>
          <w:b w:val="0"/>
          <w:i w:val="0"/>
          <w:color w:val="222222"/>
          <w:sz w:val="22"/>
        </w:rPr>
        <w:t>PostgreSQL row-level security for tenant isolation.</w:t>
      </w:r>
    </w:p>
    <w:p>
      <w:pPr>
        <w:pStyle w:val="ListBullet"/>
      </w:pPr>
      <w:r>
        <w:rPr>
          <w:rFonts w:ascii="Calibri" w:hAnsi="Calibri"/>
          <w:b w:val="0"/>
          <w:i w:val="0"/>
          <w:color w:val="222222"/>
          <w:sz w:val="22"/>
        </w:rPr>
        <w:t>Separation of duties for curation, result approval, model proposal, and promotion.</w:t>
      </w:r>
    </w:p>
    <w:p>
      <w:pPr>
        <w:pStyle w:val="ListBullet"/>
      </w:pPr>
      <w:r>
        <w:rPr>
          <w:rFonts w:ascii="Calibri" w:hAnsi="Calibri"/>
          <w:b w:val="0"/>
          <w:i w:val="0"/>
          <w:color w:val="222222"/>
          <w:sz w:val="22"/>
        </w:rPr>
        <w:t>Service identities for pipelines and model serving.</w:t>
      </w:r>
    </w:p>
    <w:p>
      <w:pPr>
        <w:pStyle w:val="ListBullet"/>
      </w:pPr>
      <w:r>
        <w:rPr>
          <w:rFonts w:ascii="Calibri" w:hAnsi="Calibri"/>
          <w:b w:val="0"/>
          <w:i w:val="0"/>
          <w:color w:val="222222"/>
          <w:sz w:val="22"/>
        </w:rPr>
        <w:t>No shared production user accounts.</w:t>
      </w:r>
    </w:p>
    <w:p>
      <w:pPr>
        <w:pStyle w:val="Heading2"/>
      </w:pPr>
      <w:r>
        <w:t>18.2 Data protection</w:t>
      </w:r>
    </w:p>
    <w:p>
      <w:pPr>
        <w:pStyle w:val="ListBullet"/>
      </w:pPr>
      <w:r>
        <w:rPr>
          <w:rFonts w:ascii="Calibri" w:hAnsi="Calibri"/>
          <w:b w:val="0"/>
          <w:i w:val="0"/>
          <w:color w:val="222222"/>
          <w:sz w:val="22"/>
        </w:rPr>
        <w:t>TLS in transit and managed encryption at rest.</w:t>
      </w:r>
    </w:p>
    <w:p>
      <w:pPr>
        <w:pStyle w:val="ListBullet"/>
      </w:pPr>
      <w:r>
        <w:rPr>
          <w:rFonts w:ascii="Calibri" w:hAnsi="Calibri"/>
          <w:b w:val="0"/>
          <w:i w:val="0"/>
          <w:color w:val="222222"/>
          <w:sz w:val="22"/>
        </w:rPr>
        <w:t>Secret manager; no credentials in repository or logs.</w:t>
      </w:r>
    </w:p>
    <w:p>
      <w:pPr>
        <w:pStyle w:val="ListBullet"/>
      </w:pPr>
      <w:r>
        <w:rPr>
          <w:rFonts w:ascii="Calibri" w:hAnsi="Calibri"/>
          <w:b w:val="0"/>
          <w:i w:val="0"/>
          <w:color w:val="222222"/>
          <w:sz w:val="22"/>
        </w:rPr>
        <w:t>Signed, time-limited object access.</w:t>
      </w:r>
    </w:p>
    <w:p>
      <w:pPr>
        <w:pStyle w:val="ListBullet"/>
      </w:pPr>
      <w:r>
        <w:rPr>
          <w:rFonts w:ascii="Calibri" w:hAnsi="Calibri"/>
          <w:b w:val="0"/>
          <w:i w:val="0"/>
          <w:color w:val="222222"/>
          <w:sz w:val="22"/>
        </w:rPr>
        <w:t>Source licence and export-control policies.</w:t>
      </w:r>
    </w:p>
    <w:p>
      <w:pPr>
        <w:pStyle w:val="ListBullet"/>
      </w:pPr>
      <w:r>
        <w:rPr>
          <w:rFonts w:ascii="Calibri" w:hAnsi="Calibri"/>
          <w:b w:val="0"/>
          <w:i w:val="0"/>
          <w:color w:val="222222"/>
          <w:sz w:val="22"/>
        </w:rPr>
        <w:t>No patient-identifiable data in Phase 1.</w:t>
      </w:r>
    </w:p>
    <w:p>
      <w:pPr>
        <w:pStyle w:val="ListBullet"/>
      </w:pPr>
      <w:r>
        <w:rPr>
          <w:rFonts w:ascii="Calibri" w:hAnsi="Calibri"/>
          <w:b w:val="0"/>
          <w:i w:val="0"/>
          <w:color w:val="222222"/>
          <w:sz w:val="22"/>
        </w:rPr>
        <w:t>Configurable retention for raw, curated, model, audit, and export artifacts.</w:t>
      </w:r>
    </w:p>
    <w:p>
      <w:pPr>
        <w:pStyle w:val="Heading2"/>
      </w:pPr>
      <w:r>
        <w:t>18.3 Audit</w:t>
      </w:r>
    </w:p>
    <w:p>
      <w:r>
        <w:rPr>
          <w:rFonts w:ascii="Calibri" w:hAnsi="Calibri"/>
          <w:b w:val="0"/>
          <w:i w:val="0"/>
          <w:color w:val="222222"/>
          <w:sz w:val="22"/>
        </w:rPr>
        <w:t>Audit events include actor, role, action, object, before/after summary where applicable, reason, timestamp, correlation, environment, and relevant versions. High-value events should use an append-only integrity chain and immutable retention.</w:t>
      </w:r>
    </w:p>
    <w:p>
      <w:pPr>
        <w:pStyle w:val="Heading2"/>
      </w:pPr>
      <w:r>
        <w:t>18.4 Supply chain</w:t>
      </w:r>
    </w:p>
    <w:p>
      <w:pPr>
        <w:pStyle w:val="ListBullet"/>
      </w:pPr>
      <w:r>
        <w:rPr>
          <w:rFonts w:ascii="Calibri" w:hAnsi="Calibri"/>
          <w:b w:val="0"/>
          <w:i w:val="0"/>
          <w:color w:val="222222"/>
          <w:sz w:val="22"/>
        </w:rPr>
        <w:t>Locked dependencies and reproducible images.</w:t>
      </w:r>
    </w:p>
    <w:p>
      <w:pPr>
        <w:pStyle w:val="ListBullet"/>
      </w:pPr>
      <w:r>
        <w:rPr>
          <w:rFonts w:ascii="Calibri" w:hAnsi="Calibri"/>
          <w:b w:val="0"/>
          <w:i w:val="0"/>
          <w:color w:val="222222"/>
          <w:sz w:val="22"/>
        </w:rPr>
        <w:t>Software bill of materials.</w:t>
      </w:r>
    </w:p>
    <w:p>
      <w:pPr>
        <w:pStyle w:val="ListBullet"/>
      </w:pPr>
      <w:r>
        <w:rPr>
          <w:rFonts w:ascii="Calibri" w:hAnsi="Calibri"/>
          <w:b w:val="0"/>
          <w:i w:val="0"/>
          <w:color w:val="222222"/>
          <w:sz w:val="22"/>
        </w:rPr>
        <w:t>Licence and vulnerability scanning.</w:t>
      </w:r>
    </w:p>
    <w:p>
      <w:pPr>
        <w:pStyle w:val="ListBullet"/>
      </w:pPr>
      <w:r>
        <w:rPr>
          <w:rFonts w:ascii="Calibri" w:hAnsi="Calibri"/>
          <w:b w:val="0"/>
          <w:i w:val="0"/>
          <w:color w:val="222222"/>
          <w:sz w:val="22"/>
        </w:rPr>
        <w:t>Signed images and provenance attestations.</w:t>
      </w:r>
    </w:p>
    <w:p>
      <w:pPr>
        <w:pStyle w:val="ListBullet"/>
      </w:pPr>
      <w:r>
        <w:rPr>
          <w:rFonts w:ascii="Calibri" w:hAnsi="Calibri"/>
          <w:b w:val="0"/>
          <w:i w:val="0"/>
          <w:color w:val="222222"/>
          <w:sz w:val="22"/>
        </w:rPr>
        <w:t>Protected branches and reviewed migrations.</w:t>
      </w:r>
    </w:p>
    <w:p>
      <w:pPr>
        <w:pStyle w:val="ListBullet"/>
      </w:pPr>
      <w:r>
        <w:rPr>
          <w:rFonts w:ascii="Calibri" w:hAnsi="Calibri"/>
          <w:b w:val="0"/>
          <w:i w:val="0"/>
          <w:color w:val="222222"/>
          <w:sz w:val="22"/>
        </w:rPr>
        <w:t>Secrets and personal data detection in CI.</w:t>
      </w:r>
    </w:p>
    <w:p>
      <w:pPr>
        <w:pStyle w:val="Heading1"/>
      </w:pPr>
      <w:r>
        <w:t>19. Non-functional requirements</w:t>
      </w:r>
    </w:p>
    <w:tbl>
      <w:tblPr>
        <w:tblStyle w:val="TableGrid"/>
        <w:tblW w:type="dxa" w:w="9360"/>
        <w:jc w:val="left"/>
        <w:tblLayout w:type="fixed"/>
        <w:tblLook w:firstColumn="1" w:firstRow="1" w:lastColumn="0" w:lastRow="0" w:noHBand="0" w:noVBand="1" w:val="04A0"/>
        <w:tblInd w:w="120" w:type="dxa"/>
      </w:tblPr>
      <w:tblGrid>
        <w:gridCol w:w="2592"/>
        <w:gridCol w:w="6768"/>
      </w:tblGrid>
      <w:tr>
        <w:trPr>
          <w:tblHeader w:val="true"/>
          <w:cantSplit/>
        </w:trPr>
        <w:tc>
          <w:tcPr>
            <w:tcW w:type="dxa" w:w="2592"/>
            <w:tcMar>
              <w:top w:w="80" w:type="dxa"/>
              <w:start w:w="120" w:type="dxa"/>
              <w:bottom w:w="80" w:type="dxa"/>
              <w:end w:w="120" w:type="dxa"/>
            </w:tcMar>
            <w:vAlign w:val="center"/>
            <w:shd w:fill="F2F4F7"/>
          </w:tcPr>
          <w:p>
            <w:pPr>
              <w:spacing w:before="0" w:after="0"/>
            </w:pPr>
            <w:r/>
            <w:r>
              <w:rPr>
                <w:rFonts w:ascii="Calibri" w:hAnsi="Calibri"/>
                <w:b/>
                <w:i w:val="0"/>
                <w:color w:val="17233F"/>
                <w:sz w:val="17"/>
              </w:rPr>
              <w:t>Category</w:t>
            </w:r>
          </w:p>
        </w:tc>
        <w:tc>
          <w:tcPr>
            <w:tcW w:type="dxa" w:w="6768"/>
            <w:tcMar>
              <w:top w:w="80" w:type="dxa"/>
              <w:start w:w="120" w:type="dxa"/>
              <w:bottom w:w="80" w:type="dxa"/>
              <w:end w:w="120" w:type="dxa"/>
            </w:tcMar>
            <w:vAlign w:val="center"/>
            <w:shd w:fill="F2F4F7"/>
          </w:tcPr>
          <w:p>
            <w:pPr>
              <w:spacing w:before="0" w:after="0"/>
            </w:pPr>
            <w:r/>
            <w:r>
              <w:rPr>
                <w:rFonts w:ascii="Calibri" w:hAnsi="Calibri"/>
                <w:b/>
                <w:i w:val="0"/>
                <w:color w:val="17233F"/>
                <w:sz w:val="17"/>
              </w:rPr>
              <w:t>Production requirement</w:t>
            </w:r>
          </w:p>
        </w:tc>
      </w:tr>
      <w:tr>
        <w:trPr>
          <w:cantSplit/>
        </w:trPr>
        <w:tc>
          <w:tcPr>
            <w:tcW w:type="dxa" w:w="2592"/>
            <w:tcMar>
              <w:top w:w="80" w:type="dxa"/>
              <w:start w:w="120" w:type="dxa"/>
              <w:bottom w:w="80" w:type="dxa"/>
              <w:end w:w="120" w:type="dxa"/>
            </w:tcMar>
            <w:vAlign w:val="center"/>
            <w:shd w:fill="FFFFFF"/>
          </w:tcPr>
          <w:p>
            <w:pPr>
              <w:spacing w:before="0" w:after="0"/>
            </w:pPr>
            <w:r/>
            <w:r>
              <w:rPr>
                <w:rFonts w:ascii="Calibri" w:hAnsi="Calibri"/>
                <w:b/>
                <w:i w:val="0"/>
                <w:color w:val="303846"/>
                <w:sz w:val="16"/>
              </w:rPr>
              <w:t>Availability</w:t>
            </w:r>
          </w:p>
        </w:tc>
        <w:tc>
          <w:tcPr>
            <w:tcW w:type="dxa" w:w="6768"/>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99.9% monthly for interactive APIs excluding planned maintenance</w:t>
            </w:r>
          </w:p>
        </w:tc>
      </w:tr>
      <w:tr>
        <w:trPr>
          <w:cantSplit/>
        </w:trPr>
        <w:tc>
          <w:tcPr>
            <w:tcW w:type="dxa" w:w="2592"/>
            <w:tcMar>
              <w:top w:w="80" w:type="dxa"/>
              <w:start w:w="120" w:type="dxa"/>
              <w:bottom w:w="80" w:type="dxa"/>
              <w:end w:w="120" w:type="dxa"/>
            </w:tcMar>
            <w:vAlign w:val="center"/>
            <w:shd w:fill="FFFFFF"/>
          </w:tcPr>
          <w:p>
            <w:pPr>
              <w:spacing w:before="0" w:after="0"/>
            </w:pPr>
            <w:r/>
            <w:r>
              <w:rPr>
                <w:rFonts w:ascii="Calibri" w:hAnsi="Calibri"/>
                <w:b/>
                <w:i w:val="0"/>
                <w:color w:val="303846"/>
                <w:sz w:val="16"/>
              </w:rPr>
              <w:t>Latency</w:t>
            </w:r>
          </w:p>
        </w:tc>
        <w:tc>
          <w:tcPr>
            <w:tcW w:type="dxa" w:w="6768"/>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p95 under 500 ms for cached single-compound retrieval; p95 under 5 s for ranking up to 100 compounds excluding cold model load</w:t>
            </w:r>
          </w:p>
        </w:tc>
      </w:tr>
      <w:tr>
        <w:trPr>
          <w:cantSplit/>
        </w:trPr>
        <w:tc>
          <w:tcPr>
            <w:tcW w:type="dxa" w:w="2592"/>
            <w:tcMar>
              <w:top w:w="80" w:type="dxa"/>
              <w:start w:w="120" w:type="dxa"/>
              <w:bottom w:w="80" w:type="dxa"/>
              <w:end w:w="120" w:type="dxa"/>
            </w:tcMar>
            <w:vAlign w:val="center"/>
            <w:shd w:fill="FFFFFF"/>
          </w:tcPr>
          <w:p>
            <w:pPr>
              <w:spacing w:before="0" w:after="0"/>
            </w:pPr>
            <w:r/>
            <w:r>
              <w:rPr>
                <w:rFonts w:ascii="Calibri" w:hAnsi="Calibri"/>
                <w:b/>
                <w:i w:val="0"/>
                <w:color w:val="303846"/>
                <w:sz w:val="16"/>
              </w:rPr>
              <w:t>Throughput</w:t>
            </w:r>
          </w:p>
        </w:tc>
        <w:tc>
          <w:tcPr>
            <w:tcW w:type="dxa" w:w="6768"/>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Horizontally scalable stateless API; offline bulk work queued</w:t>
            </w:r>
          </w:p>
        </w:tc>
      </w:tr>
      <w:tr>
        <w:trPr>
          <w:cantSplit/>
        </w:trPr>
        <w:tc>
          <w:tcPr>
            <w:tcW w:type="dxa" w:w="2592"/>
            <w:tcMar>
              <w:top w:w="80" w:type="dxa"/>
              <w:start w:w="120" w:type="dxa"/>
              <w:bottom w:w="80" w:type="dxa"/>
              <w:end w:w="120" w:type="dxa"/>
            </w:tcMar>
            <w:vAlign w:val="center"/>
            <w:shd w:fill="FFFFFF"/>
          </w:tcPr>
          <w:p>
            <w:pPr>
              <w:spacing w:before="0" w:after="0"/>
            </w:pPr>
            <w:r/>
            <w:r>
              <w:rPr>
                <w:rFonts w:ascii="Calibri" w:hAnsi="Calibri"/>
                <w:b/>
                <w:i w:val="0"/>
                <w:color w:val="303846"/>
                <w:sz w:val="16"/>
              </w:rPr>
              <w:t>Reliability</w:t>
            </w:r>
          </w:p>
        </w:tc>
        <w:tc>
          <w:tcPr>
            <w:tcW w:type="dxa" w:w="6768"/>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Idempotent ingestion and experiment commands; transactional outbox</w:t>
            </w:r>
          </w:p>
        </w:tc>
      </w:tr>
      <w:tr>
        <w:trPr>
          <w:cantSplit/>
        </w:trPr>
        <w:tc>
          <w:tcPr>
            <w:tcW w:type="dxa" w:w="2592"/>
            <w:tcMar>
              <w:top w:w="80" w:type="dxa"/>
              <w:start w:w="120" w:type="dxa"/>
              <w:bottom w:w="80" w:type="dxa"/>
              <w:end w:w="120" w:type="dxa"/>
            </w:tcMar>
            <w:vAlign w:val="center"/>
            <w:shd w:fill="FFFFFF"/>
          </w:tcPr>
          <w:p>
            <w:pPr>
              <w:spacing w:before="0" w:after="0"/>
            </w:pPr>
            <w:r/>
            <w:r>
              <w:rPr>
                <w:rFonts w:ascii="Calibri" w:hAnsi="Calibri"/>
                <w:b/>
                <w:i w:val="0"/>
                <w:color w:val="303846"/>
                <w:sz w:val="16"/>
              </w:rPr>
              <w:t>Reproducibility</w:t>
            </w:r>
          </w:p>
        </w:tc>
        <w:tc>
          <w:tcPr>
            <w:tcW w:type="dxa" w:w="6768"/>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Same snapshot, features, code, environment, and seed recreate metrics within declared tolerance</w:t>
            </w:r>
          </w:p>
        </w:tc>
      </w:tr>
      <w:tr>
        <w:trPr>
          <w:cantSplit/>
        </w:trPr>
        <w:tc>
          <w:tcPr>
            <w:tcW w:type="dxa" w:w="2592"/>
            <w:tcMar>
              <w:top w:w="80" w:type="dxa"/>
              <w:start w:w="120" w:type="dxa"/>
              <w:bottom w:w="80" w:type="dxa"/>
              <w:end w:w="120" w:type="dxa"/>
            </w:tcMar>
            <w:vAlign w:val="center"/>
            <w:shd w:fill="FFFFFF"/>
          </w:tcPr>
          <w:p>
            <w:pPr>
              <w:spacing w:before="0" w:after="0"/>
            </w:pPr>
            <w:r/>
            <w:r>
              <w:rPr>
                <w:rFonts w:ascii="Calibri" w:hAnsi="Calibri"/>
                <w:b/>
                <w:i w:val="0"/>
                <w:color w:val="303846"/>
                <w:sz w:val="16"/>
              </w:rPr>
              <w:t>Observability</w:t>
            </w:r>
          </w:p>
        </w:tc>
        <w:tc>
          <w:tcPr>
            <w:tcW w:type="dxa" w:w="6768"/>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Structured logs, traces, metrics, correlation IDs, data-quality and model monitors</w:t>
            </w:r>
          </w:p>
        </w:tc>
      </w:tr>
      <w:tr>
        <w:trPr>
          <w:cantSplit/>
        </w:trPr>
        <w:tc>
          <w:tcPr>
            <w:tcW w:type="dxa" w:w="2592"/>
            <w:tcMar>
              <w:top w:w="80" w:type="dxa"/>
              <w:start w:w="120" w:type="dxa"/>
              <w:bottom w:w="80" w:type="dxa"/>
              <w:end w:w="120" w:type="dxa"/>
            </w:tcMar>
            <w:vAlign w:val="center"/>
            <w:shd w:fill="FFFFFF"/>
          </w:tcPr>
          <w:p>
            <w:pPr>
              <w:spacing w:before="0" w:after="0"/>
            </w:pPr>
            <w:r/>
            <w:r>
              <w:rPr>
                <w:rFonts w:ascii="Calibri" w:hAnsi="Calibri"/>
                <w:b/>
                <w:i w:val="0"/>
                <w:color w:val="303846"/>
                <w:sz w:val="16"/>
              </w:rPr>
              <w:t>Accessibility</w:t>
            </w:r>
          </w:p>
        </w:tc>
        <w:tc>
          <w:tcPr>
            <w:tcW w:type="dxa" w:w="6768"/>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Keyboard operability, visible focus, labelled controls, WCAG 2.2 AA target</w:t>
            </w:r>
          </w:p>
        </w:tc>
      </w:tr>
      <w:tr>
        <w:trPr>
          <w:cantSplit/>
        </w:trPr>
        <w:tc>
          <w:tcPr>
            <w:tcW w:type="dxa" w:w="2592"/>
            <w:tcMar>
              <w:top w:w="80" w:type="dxa"/>
              <w:start w:w="120" w:type="dxa"/>
              <w:bottom w:w="80" w:type="dxa"/>
              <w:end w:w="120" w:type="dxa"/>
            </w:tcMar>
            <w:vAlign w:val="center"/>
            <w:shd w:fill="FFFFFF"/>
          </w:tcPr>
          <w:p>
            <w:pPr>
              <w:spacing w:before="0" w:after="0"/>
            </w:pPr>
            <w:r/>
            <w:r>
              <w:rPr>
                <w:rFonts w:ascii="Calibri" w:hAnsi="Calibri"/>
                <w:b/>
                <w:i w:val="0"/>
                <w:color w:val="303846"/>
                <w:sz w:val="16"/>
              </w:rPr>
              <w:t>Portability</w:t>
            </w:r>
          </w:p>
        </w:tc>
        <w:tc>
          <w:tcPr>
            <w:tcW w:type="dxa" w:w="6768"/>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Containerized services; environment-specific configuration</w:t>
            </w:r>
          </w:p>
        </w:tc>
      </w:tr>
      <w:tr>
        <w:trPr>
          <w:cantSplit/>
        </w:trPr>
        <w:tc>
          <w:tcPr>
            <w:tcW w:type="dxa" w:w="2592"/>
            <w:tcMar>
              <w:top w:w="80" w:type="dxa"/>
              <w:start w:w="120" w:type="dxa"/>
              <w:bottom w:w="80" w:type="dxa"/>
              <w:end w:w="120" w:type="dxa"/>
            </w:tcMar>
            <w:vAlign w:val="center"/>
            <w:shd w:fill="FFFFFF"/>
          </w:tcPr>
          <w:p>
            <w:pPr>
              <w:spacing w:before="0" w:after="0"/>
            </w:pPr>
            <w:r/>
            <w:r>
              <w:rPr>
                <w:rFonts w:ascii="Calibri" w:hAnsi="Calibri"/>
                <w:b/>
                <w:i w:val="0"/>
                <w:color w:val="303846"/>
                <w:sz w:val="16"/>
              </w:rPr>
              <w:t>Backup</w:t>
            </w:r>
          </w:p>
        </w:tc>
        <w:tc>
          <w:tcPr>
            <w:tcW w:type="dxa" w:w="6768"/>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Point-in-time database recovery and versioned object storage</w:t>
            </w:r>
          </w:p>
        </w:tc>
      </w:tr>
      <w:tr>
        <w:trPr>
          <w:cantSplit/>
        </w:trPr>
        <w:tc>
          <w:tcPr>
            <w:tcW w:type="dxa" w:w="2592"/>
            <w:tcMar>
              <w:top w:w="80" w:type="dxa"/>
              <w:start w:w="120" w:type="dxa"/>
              <w:bottom w:w="80" w:type="dxa"/>
              <w:end w:w="120" w:type="dxa"/>
            </w:tcMar>
            <w:vAlign w:val="center"/>
            <w:shd w:fill="FFFFFF"/>
          </w:tcPr>
          <w:p>
            <w:pPr>
              <w:spacing w:before="0" w:after="0"/>
            </w:pPr>
            <w:r/>
            <w:r>
              <w:rPr>
                <w:rFonts w:ascii="Calibri" w:hAnsi="Calibri"/>
                <w:b/>
                <w:i w:val="0"/>
                <w:color w:val="303846"/>
                <w:sz w:val="16"/>
              </w:rPr>
              <w:t>DR</w:t>
            </w:r>
          </w:p>
        </w:tc>
        <w:tc>
          <w:tcPr>
            <w:tcW w:type="dxa" w:w="6768"/>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Documented RPO/RTO and tested restore exercises</w:t>
            </w:r>
          </w:p>
        </w:tc>
      </w:tr>
      <w:tr>
        <w:trPr>
          <w:cantSplit/>
        </w:trPr>
        <w:tc>
          <w:tcPr>
            <w:tcW w:type="dxa" w:w="2592"/>
            <w:tcMar>
              <w:top w:w="80" w:type="dxa"/>
              <w:start w:w="120" w:type="dxa"/>
              <w:bottom w:w="80" w:type="dxa"/>
              <w:end w:w="120" w:type="dxa"/>
            </w:tcMar>
            <w:vAlign w:val="center"/>
            <w:shd w:fill="FFFFFF"/>
          </w:tcPr>
          <w:p>
            <w:pPr>
              <w:spacing w:before="0" w:after="0"/>
            </w:pPr>
            <w:r/>
            <w:r>
              <w:rPr>
                <w:rFonts w:ascii="Calibri" w:hAnsi="Calibri"/>
                <w:b/>
                <w:i w:val="0"/>
                <w:color w:val="303846"/>
                <w:sz w:val="16"/>
              </w:rPr>
              <w:t>Maintainability</w:t>
            </w:r>
          </w:p>
        </w:tc>
        <w:tc>
          <w:tcPr>
            <w:tcW w:type="dxa" w:w="6768"/>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Typed contracts, modular services, migrations, unit/integration/E2E tests</w:t>
            </w:r>
          </w:p>
        </w:tc>
      </w:tr>
      <w:tr>
        <w:trPr>
          <w:cantSplit/>
        </w:trPr>
        <w:tc>
          <w:tcPr>
            <w:tcW w:type="dxa" w:w="2592"/>
            <w:tcMar>
              <w:top w:w="80" w:type="dxa"/>
              <w:start w:w="120" w:type="dxa"/>
              <w:bottom w:w="80" w:type="dxa"/>
              <w:end w:w="120" w:type="dxa"/>
            </w:tcMar>
            <w:vAlign w:val="center"/>
            <w:shd w:fill="FFFFFF"/>
          </w:tcPr>
          <w:p>
            <w:pPr>
              <w:spacing w:before="0" w:after="0"/>
            </w:pPr>
            <w:r/>
            <w:r>
              <w:rPr>
                <w:rFonts w:ascii="Calibri" w:hAnsi="Calibri"/>
                <w:b/>
                <w:i w:val="0"/>
                <w:color w:val="303846"/>
                <w:sz w:val="16"/>
              </w:rPr>
              <w:t>Explainability</w:t>
            </w:r>
          </w:p>
        </w:tc>
        <w:tc>
          <w:tcPr>
            <w:tcW w:type="dxa" w:w="6768"/>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Every prioritization resolves inputs, versions, components, uncertainty, domain, and evidence</w:t>
            </w:r>
          </w:p>
        </w:tc>
      </w:tr>
    </w:tbl>
    <w:p>
      <w:pPr>
        <w:spacing w:after="0"/>
      </w:pPr>
    </w:p>
    <w:p>
      <w:pPr>
        <w:pStyle w:val="Heading1"/>
      </w:pPr>
      <w:r>
        <w:t>20. Deployment architecture</w:t>
      </w:r>
    </w:p>
    <w:p>
      <w:r>
        <w:rPr>
          <w:rFonts w:ascii="Calibri" w:hAnsi="Calibri"/>
          <w:b w:val="0"/>
          <w:i w:val="0"/>
          <w:color w:val="222222"/>
          <w:sz w:val="22"/>
        </w:rPr>
        <w:t>Recommended production topology:</w:t>
      </w:r>
    </w:p>
    <w:p>
      <w:pPr>
        <w:pStyle w:val="ListBullet"/>
      </w:pPr>
      <w:r>
        <w:rPr>
          <w:rFonts w:ascii="Calibri" w:hAnsi="Calibri"/>
          <w:b w:val="0"/>
          <w:i w:val="0"/>
          <w:color w:val="222222"/>
          <w:sz w:val="22"/>
        </w:rPr>
        <w:t>Next.js web application behind managed edge and OIDC.</w:t>
      </w:r>
    </w:p>
    <w:p>
      <w:pPr>
        <w:pStyle w:val="ListBullet"/>
      </w:pPr>
      <w:r>
        <w:rPr>
          <w:rFonts w:ascii="Calibri" w:hAnsi="Calibri"/>
          <w:b w:val="0"/>
          <w:i w:val="0"/>
          <w:color w:val="222222"/>
          <w:sz w:val="22"/>
        </w:rPr>
        <w:t>FastAPI service deployed as stateless containers.</w:t>
      </w:r>
    </w:p>
    <w:p>
      <w:pPr>
        <w:pStyle w:val="ListBullet"/>
      </w:pPr>
      <w:r>
        <w:rPr>
          <w:rFonts w:ascii="Calibri" w:hAnsi="Calibri"/>
          <w:b w:val="0"/>
          <w:i w:val="0"/>
          <w:color w:val="222222"/>
          <w:sz w:val="22"/>
        </w:rPr>
        <w:t>PostgreSQL with RDKit cartridge for operational chemical search.</w:t>
      </w:r>
    </w:p>
    <w:p>
      <w:pPr>
        <w:pStyle w:val="ListBullet"/>
      </w:pPr>
      <w:r>
        <w:rPr>
          <w:rFonts w:ascii="Calibri" w:hAnsi="Calibri"/>
          <w:b w:val="0"/>
          <w:i w:val="0"/>
          <w:color w:val="222222"/>
          <w:sz w:val="22"/>
        </w:rPr>
        <w:t>S3-compatible object storage and Iceberg/Parquet for immutable analytical snapshots.</w:t>
      </w:r>
    </w:p>
    <w:p>
      <w:pPr>
        <w:pStyle w:val="ListBullet"/>
      </w:pPr>
      <w:r>
        <w:rPr>
          <w:rFonts w:ascii="Calibri" w:hAnsi="Calibri"/>
          <w:b w:val="0"/>
          <w:i w:val="0"/>
          <w:color w:val="222222"/>
          <w:sz w:val="22"/>
        </w:rPr>
        <w:t>Redis only for bounded cache or distributed coordination.</w:t>
      </w:r>
    </w:p>
    <w:p>
      <w:pPr>
        <w:pStyle w:val="ListBullet"/>
      </w:pPr>
      <w:r>
        <w:rPr>
          <w:rFonts w:ascii="Calibri" w:hAnsi="Calibri"/>
          <w:b w:val="0"/>
          <w:i w:val="0"/>
          <w:color w:val="222222"/>
          <w:sz w:val="22"/>
        </w:rPr>
        <w:t>Prefect workers for offline ingestion, curation, feature, training, and evaluation flows.</w:t>
      </w:r>
    </w:p>
    <w:p>
      <w:pPr>
        <w:pStyle w:val="ListBullet"/>
      </w:pPr>
      <w:r>
        <w:rPr>
          <w:rFonts w:ascii="Calibri" w:hAnsi="Calibri"/>
          <w:b w:val="0"/>
          <w:i w:val="0"/>
          <w:color w:val="222222"/>
          <w:sz w:val="22"/>
        </w:rPr>
        <w:t>MLflow tracking and model registry.</w:t>
      </w:r>
    </w:p>
    <w:p>
      <w:pPr>
        <w:pStyle w:val="ListBullet"/>
      </w:pPr>
      <w:r>
        <w:rPr>
          <w:rFonts w:ascii="Calibri" w:hAnsi="Calibri"/>
          <w:b w:val="0"/>
          <w:i w:val="0"/>
          <w:color w:val="222222"/>
          <w:sz w:val="22"/>
        </w:rPr>
        <w:t>Kafka or a managed equivalent fed through a transactional outbox when event volume justifies it.</w:t>
      </w:r>
    </w:p>
    <w:p>
      <w:pPr>
        <w:pStyle w:val="ListBullet"/>
      </w:pPr>
      <w:r>
        <w:rPr>
          <w:rFonts w:ascii="Calibri" w:hAnsi="Calibri"/>
          <w:b w:val="0"/>
          <w:i w:val="0"/>
          <w:color w:val="222222"/>
          <w:sz w:val="22"/>
        </w:rPr>
        <w:t>OpenTelemetry, logs, metrics, alerting, and lineage integration.</w:t>
      </w:r>
    </w:p>
    <w:p>
      <w:pPr>
        <w:pStyle w:val="ListBullet"/>
      </w:pPr>
      <w:r>
        <w:rPr>
          <w:rFonts w:ascii="Calibri" w:hAnsi="Calibri"/>
          <w:b w:val="0"/>
          <w:i w:val="0"/>
          <w:color w:val="222222"/>
          <w:sz w:val="22"/>
        </w:rPr>
        <w:t>Separate development, test, staging, and production environments.</w:t>
      </w:r>
    </w:p>
    <w:p>
      <w:r>
        <w:rPr>
          <w:rFonts w:ascii="Calibri" w:hAnsi="Calibri"/>
          <w:b w:val="0"/>
          <w:i w:val="0"/>
          <w:color w:val="222222"/>
          <w:sz w:val="22"/>
        </w:rPr>
        <w:t>The Phase 1 reference uses a modular monolith because scientific boundaries matter more than premature microservice count. Components can be extracted after load, ownership, or security boundaries demonstrate the need.</w:t>
      </w:r>
    </w:p>
    <w:p>
      <w:pPr>
        <w:pStyle w:val="Heading1"/>
      </w:pPr>
      <w:r>
        <w:t>21. Repository specification</w:t>
      </w:r>
    </w:p>
    <w:p>
      <w:r>
        <w:rPr>
          <w:rFonts w:ascii="Calibri" w:hAnsi="Calibri"/>
          <w:b w:val="0"/>
          <w:i w:val="0"/>
          <w:color w:val="222222"/>
          <w:sz w:val="22"/>
        </w:rPr>
        <w:t>Key reference paths:</w:t>
      </w:r>
    </w:p>
    <w:tbl>
      <w:tblPr>
        <w:tblStyle w:val="TableGrid"/>
        <w:tblW w:type="dxa" w:w="9360"/>
        <w:jc w:val="left"/>
        <w:tblLayout w:type="fixed"/>
        <w:tblLook w:firstColumn="1" w:firstRow="1" w:lastColumn="0" w:lastRow="0" w:noHBand="0" w:noVBand="1" w:val="04A0"/>
        <w:tblInd w:w="120" w:type="dxa"/>
      </w:tblPr>
      <w:tblGrid>
        <w:gridCol w:w="2592"/>
        <w:gridCol w:w="6768"/>
      </w:tblGrid>
      <w:tr>
        <w:trPr>
          <w:tblHeader w:val="true"/>
          <w:cantSplit/>
        </w:trPr>
        <w:tc>
          <w:tcPr>
            <w:tcW w:type="dxa" w:w="2592"/>
            <w:tcMar>
              <w:top w:w="80" w:type="dxa"/>
              <w:start w:w="120" w:type="dxa"/>
              <w:bottom w:w="80" w:type="dxa"/>
              <w:end w:w="120" w:type="dxa"/>
            </w:tcMar>
            <w:vAlign w:val="center"/>
            <w:shd w:fill="F2F4F7"/>
          </w:tcPr>
          <w:p>
            <w:pPr>
              <w:spacing w:before="0" w:after="0"/>
            </w:pPr>
            <w:r/>
            <w:r>
              <w:rPr>
                <w:rFonts w:ascii="Calibri" w:hAnsi="Calibri"/>
                <w:b/>
                <w:i w:val="0"/>
                <w:color w:val="17233F"/>
                <w:sz w:val="17"/>
              </w:rPr>
              <w:t>Path</w:t>
            </w:r>
          </w:p>
        </w:tc>
        <w:tc>
          <w:tcPr>
            <w:tcW w:type="dxa" w:w="6768"/>
            <w:tcMar>
              <w:top w:w="80" w:type="dxa"/>
              <w:start w:w="120" w:type="dxa"/>
              <w:bottom w:w="80" w:type="dxa"/>
              <w:end w:w="120" w:type="dxa"/>
            </w:tcMar>
            <w:vAlign w:val="center"/>
            <w:shd w:fill="F2F4F7"/>
          </w:tcPr>
          <w:p>
            <w:pPr>
              <w:spacing w:before="0" w:after="0"/>
            </w:pPr>
            <w:r/>
            <w:r>
              <w:rPr>
                <w:rFonts w:ascii="Calibri" w:hAnsi="Calibri"/>
                <w:b/>
                <w:i w:val="0"/>
                <w:color w:val="17233F"/>
                <w:sz w:val="17"/>
              </w:rPr>
              <w:t>Responsibility</w:t>
            </w:r>
          </w:p>
        </w:tc>
      </w:tr>
      <w:tr>
        <w:trPr>
          <w:cantSplit/>
        </w:trPr>
        <w:tc>
          <w:tcPr>
            <w:tcW w:type="dxa" w:w="2592"/>
            <w:tcMar>
              <w:top w:w="80" w:type="dxa"/>
              <w:start w:w="120" w:type="dxa"/>
              <w:bottom w:w="80" w:type="dxa"/>
              <w:end w:w="120" w:type="dxa"/>
            </w:tcMar>
            <w:vAlign w:val="center"/>
            <w:shd w:fill="FFFFFF"/>
          </w:tcPr>
          <w:p>
            <w:pPr>
              <w:spacing w:before="0" w:after="0"/>
            </w:pPr>
            <w:r/>
            <w:r>
              <w:rPr>
                <w:rFonts w:ascii="Calibri" w:hAnsi="Calibri"/>
                <w:b/>
                <w:i w:val="0"/>
                <w:color w:val="303846"/>
                <w:sz w:val="16"/>
              </w:rPr>
              <w:t>app/page.tsx</w:t>
            </w:r>
          </w:p>
        </w:tc>
        <w:tc>
          <w:tcPr>
            <w:tcW w:type="dxa" w:w="6768"/>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Next.js research cockpit and interaction state</w:t>
            </w:r>
          </w:p>
        </w:tc>
      </w:tr>
      <w:tr>
        <w:trPr>
          <w:cantSplit/>
        </w:trPr>
        <w:tc>
          <w:tcPr>
            <w:tcW w:type="dxa" w:w="2592"/>
            <w:tcMar>
              <w:top w:w="80" w:type="dxa"/>
              <w:start w:w="120" w:type="dxa"/>
              <w:bottom w:w="80" w:type="dxa"/>
              <w:end w:w="120" w:type="dxa"/>
            </w:tcMar>
            <w:vAlign w:val="center"/>
            <w:shd w:fill="FFFFFF"/>
          </w:tcPr>
          <w:p>
            <w:pPr>
              <w:spacing w:before="0" w:after="0"/>
            </w:pPr>
            <w:r/>
            <w:r>
              <w:rPr>
                <w:rFonts w:ascii="Calibri" w:hAnsi="Calibri"/>
                <w:b/>
                <w:i w:val="0"/>
                <w:color w:val="303846"/>
                <w:sz w:val="16"/>
              </w:rPr>
              <w:t>app/lib/osiel-client.ts</w:t>
            </w:r>
          </w:p>
        </w:tc>
        <w:tc>
          <w:tcPr>
            <w:tcW w:type="dxa" w:w="6768"/>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Typed Python API client with labelled demo fallback</w:t>
            </w:r>
          </w:p>
        </w:tc>
      </w:tr>
      <w:tr>
        <w:trPr>
          <w:cantSplit/>
        </w:trPr>
        <w:tc>
          <w:tcPr>
            <w:tcW w:type="dxa" w:w="2592"/>
            <w:tcMar>
              <w:top w:w="80" w:type="dxa"/>
              <w:start w:w="120" w:type="dxa"/>
              <w:bottom w:w="80" w:type="dxa"/>
              <w:end w:w="120" w:type="dxa"/>
            </w:tcMar>
            <w:vAlign w:val="center"/>
            <w:shd w:fill="FFFFFF"/>
          </w:tcPr>
          <w:p>
            <w:pPr>
              <w:spacing w:before="0" w:after="0"/>
            </w:pPr>
            <w:r/>
            <w:r>
              <w:rPr>
                <w:rFonts w:ascii="Calibri" w:hAnsi="Calibri"/>
                <w:b/>
                <w:i w:val="0"/>
                <w:color w:val="303846"/>
                <w:sz w:val="16"/>
              </w:rPr>
              <w:t>app/lib/demo-data.ts</w:t>
            </w:r>
          </w:p>
        </w:tc>
        <w:tc>
          <w:tcPr>
            <w:tcW w:type="dxa" w:w="6768"/>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Embedded deterministic UI reference data</w:t>
            </w:r>
          </w:p>
        </w:tc>
      </w:tr>
      <w:tr>
        <w:trPr>
          <w:cantSplit/>
        </w:trPr>
        <w:tc>
          <w:tcPr>
            <w:tcW w:type="dxa" w:w="2592"/>
            <w:tcMar>
              <w:top w:w="80" w:type="dxa"/>
              <w:start w:w="120" w:type="dxa"/>
              <w:bottom w:w="80" w:type="dxa"/>
              <w:end w:w="120" w:type="dxa"/>
            </w:tcMar>
            <w:vAlign w:val="center"/>
            <w:shd w:fill="FFFFFF"/>
          </w:tcPr>
          <w:p>
            <w:pPr>
              <w:spacing w:before="0" w:after="0"/>
            </w:pPr>
            <w:r/>
            <w:r>
              <w:rPr>
                <w:rFonts w:ascii="Calibri" w:hAnsi="Calibri"/>
                <w:b/>
                <w:i w:val="0"/>
                <w:color w:val="303846"/>
                <w:sz w:val="16"/>
              </w:rPr>
              <w:t>backend/app/main.py</w:t>
            </w:r>
          </w:p>
        </w:tc>
        <w:tc>
          <w:tcPr>
            <w:tcW w:type="dxa" w:w="6768"/>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FastAPI routes and system boundaries</w:t>
            </w:r>
          </w:p>
        </w:tc>
      </w:tr>
      <w:tr>
        <w:trPr>
          <w:cantSplit/>
        </w:trPr>
        <w:tc>
          <w:tcPr>
            <w:tcW w:type="dxa" w:w="2592"/>
            <w:tcMar>
              <w:top w:w="80" w:type="dxa"/>
              <w:start w:w="120" w:type="dxa"/>
              <w:bottom w:w="80" w:type="dxa"/>
              <w:end w:w="120" w:type="dxa"/>
            </w:tcMar>
            <w:vAlign w:val="center"/>
            <w:shd w:fill="FFFFFF"/>
          </w:tcPr>
          <w:p>
            <w:pPr>
              <w:spacing w:before="0" w:after="0"/>
            </w:pPr>
            <w:r/>
            <w:r>
              <w:rPr>
                <w:rFonts w:ascii="Calibri" w:hAnsi="Calibri"/>
                <w:b/>
                <w:i w:val="0"/>
                <w:color w:val="303846"/>
                <w:sz w:val="16"/>
              </w:rPr>
              <w:t>backend/app/chemistry.py</w:t>
            </w:r>
          </w:p>
        </w:tc>
        <w:tc>
          <w:tcPr>
            <w:tcW w:type="dxa" w:w="6768"/>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RDKit standardization and descriptors</w:t>
            </w:r>
          </w:p>
        </w:tc>
      </w:tr>
      <w:tr>
        <w:trPr>
          <w:cantSplit/>
        </w:trPr>
        <w:tc>
          <w:tcPr>
            <w:tcW w:type="dxa" w:w="2592"/>
            <w:tcMar>
              <w:top w:w="80" w:type="dxa"/>
              <w:start w:w="120" w:type="dxa"/>
              <w:bottom w:w="80" w:type="dxa"/>
              <w:end w:w="120" w:type="dxa"/>
            </w:tcMar>
            <w:vAlign w:val="center"/>
            <w:shd w:fill="FFFFFF"/>
          </w:tcPr>
          <w:p>
            <w:pPr>
              <w:spacing w:before="0" w:after="0"/>
            </w:pPr>
            <w:r/>
            <w:r>
              <w:rPr>
                <w:rFonts w:ascii="Calibri" w:hAnsi="Calibri"/>
                <w:b/>
                <w:i w:val="0"/>
                <w:color w:val="303846"/>
                <w:sz w:val="16"/>
              </w:rPr>
              <w:t>backend/app/repository.py</w:t>
            </w:r>
          </w:p>
        </w:tc>
        <w:tc>
          <w:tcPr>
            <w:tcW w:type="dxa" w:w="6768"/>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SQLite reference persistence, audit, and seed</w:t>
            </w:r>
          </w:p>
        </w:tc>
      </w:tr>
      <w:tr>
        <w:trPr>
          <w:cantSplit/>
        </w:trPr>
        <w:tc>
          <w:tcPr>
            <w:tcW w:type="dxa" w:w="2592"/>
            <w:tcMar>
              <w:top w:w="80" w:type="dxa"/>
              <w:start w:w="120" w:type="dxa"/>
              <w:bottom w:w="80" w:type="dxa"/>
              <w:end w:w="120" w:type="dxa"/>
            </w:tcMar>
            <w:vAlign w:val="center"/>
            <w:shd w:fill="FFFFFF"/>
          </w:tcPr>
          <w:p>
            <w:pPr>
              <w:spacing w:before="0" w:after="0"/>
            </w:pPr>
            <w:r/>
            <w:r>
              <w:rPr>
                <w:rFonts w:ascii="Calibri" w:hAnsi="Calibri"/>
                <w:b/>
                <w:i w:val="0"/>
                <w:color w:val="303846"/>
                <w:sz w:val="16"/>
              </w:rPr>
              <w:t>backend/app/prediction.py</w:t>
            </w:r>
          </w:p>
        </w:tc>
        <w:tc>
          <w:tcPr>
            <w:tcW w:type="dxa" w:w="6768"/>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Deterministic hypothesis, uncertainty, domain, analogs, ADMET</w:t>
            </w:r>
          </w:p>
        </w:tc>
      </w:tr>
      <w:tr>
        <w:trPr>
          <w:cantSplit/>
        </w:trPr>
        <w:tc>
          <w:tcPr>
            <w:tcW w:type="dxa" w:w="2592"/>
            <w:tcMar>
              <w:top w:w="80" w:type="dxa"/>
              <w:start w:w="120" w:type="dxa"/>
              <w:bottom w:w="80" w:type="dxa"/>
              <w:end w:w="120" w:type="dxa"/>
            </w:tcMar>
            <w:vAlign w:val="center"/>
            <w:shd w:fill="FFFFFF"/>
          </w:tcPr>
          <w:p>
            <w:pPr>
              <w:spacing w:before="0" w:after="0"/>
            </w:pPr>
            <w:r/>
            <w:r>
              <w:rPr>
                <w:rFonts w:ascii="Calibri" w:hAnsi="Calibri"/>
                <w:b/>
                <w:i w:val="0"/>
                <w:color w:val="303846"/>
                <w:sz w:val="16"/>
              </w:rPr>
              <w:t>backend/app/ranking.py</w:t>
            </w:r>
          </w:p>
        </w:tc>
        <w:tc>
          <w:tcPr>
            <w:tcW w:type="dxa" w:w="6768"/>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Seven-component transparent ranking and diversity flags</w:t>
            </w:r>
          </w:p>
        </w:tc>
      </w:tr>
      <w:tr>
        <w:trPr>
          <w:cantSplit/>
        </w:trPr>
        <w:tc>
          <w:tcPr>
            <w:tcW w:type="dxa" w:w="2592"/>
            <w:tcMar>
              <w:top w:w="80" w:type="dxa"/>
              <w:start w:w="120" w:type="dxa"/>
              <w:bottom w:w="80" w:type="dxa"/>
              <w:end w:w="120" w:type="dxa"/>
            </w:tcMar>
            <w:vAlign w:val="center"/>
            <w:shd w:fill="FFFFFF"/>
          </w:tcPr>
          <w:p>
            <w:pPr>
              <w:spacing w:before="0" w:after="0"/>
            </w:pPr>
            <w:r/>
            <w:r>
              <w:rPr>
                <w:rFonts w:ascii="Calibri" w:hAnsi="Calibri"/>
                <w:b/>
                <w:i w:val="0"/>
                <w:color w:val="303846"/>
                <w:sz w:val="16"/>
              </w:rPr>
              <w:t>backend/app/experiments.py</w:t>
            </w:r>
          </w:p>
        </w:tc>
        <w:tc>
          <w:tcPr>
            <w:tcW w:type="dxa" w:w="6768"/>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Protocol, simulation, QC, review, snapshot gate</w:t>
            </w:r>
          </w:p>
        </w:tc>
      </w:tr>
      <w:tr>
        <w:trPr>
          <w:cantSplit/>
        </w:trPr>
        <w:tc>
          <w:tcPr>
            <w:tcW w:type="dxa" w:w="2592"/>
            <w:tcMar>
              <w:top w:w="80" w:type="dxa"/>
              <w:start w:w="120" w:type="dxa"/>
              <w:bottom w:w="80" w:type="dxa"/>
              <w:end w:w="120" w:type="dxa"/>
            </w:tcMar>
            <w:vAlign w:val="center"/>
            <w:shd w:fill="FFFFFF"/>
          </w:tcPr>
          <w:p>
            <w:pPr>
              <w:spacing w:before="0" w:after="0"/>
            </w:pPr>
            <w:r/>
            <w:r>
              <w:rPr>
                <w:rFonts w:ascii="Calibri" w:hAnsi="Calibri"/>
                <w:b/>
                <w:i w:val="0"/>
                <w:color w:val="303846"/>
                <w:sz w:val="16"/>
              </w:rPr>
              <w:t>backend/app/governance.py</w:t>
            </w:r>
          </w:p>
        </w:tc>
        <w:tc>
          <w:tcPr>
            <w:tcW w:type="dxa" w:w="6768"/>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Champion/challenger and promotion boundary</w:t>
            </w:r>
          </w:p>
        </w:tc>
      </w:tr>
      <w:tr>
        <w:trPr>
          <w:cantSplit/>
        </w:trPr>
        <w:tc>
          <w:tcPr>
            <w:tcW w:type="dxa" w:w="2592"/>
            <w:tcMar>
              <w:top w:w="80" w:type="dxa"/>
              <w:start w:w="120" w:type="dxa"/>
              <w:bottom w:w="80" w:type="dxa"/>
              <w:end w:w="120" w:type="dxa"/>
            </w:tcMar>
            <w:vAlign w:val="center"/>
            <w:shd w:fill="FFFFFF"/>
          </w:tcPr>
          <w:p>
            <w:pPr>
              <w:spacing w:before="0" w:after="0"/>
            </w:pPr>
            <w:r/>
            <w:r>
              <w:rPr>
                <w:rFonts w:ascii="Calibri" w:hAnsi="Calibri"/>
                <w:b/>
                <w:i w:val="0"/>
                <w:color w:val="303846"/>
                <w:sz w:val="16"/>
              </w:rPr>
              <w:t>backend/app/model_lab.py</w:t>
            </w:r>
          </w:p>
        </w:tc>
        <w:tc>
          <w:tcPr>
            <w:tcW w:type="dxa" w:w="6768"/>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Immutable ChEMBL endpoint snapshots, scaffold-separated baseline, prediction and active-learning proposals</w:t>
            </w:r>
          </w:p>
        </w:tc>
      </w:tr>
      <w:tr>
        <w:trPr>
          <w:cantSplit/>
        </w:trPr>
        <w:tc>
          <w:tcPr>
            <w:tcW w:type="dxa" w:w="2592"/>
            <w:tcMar>
              <w:top w:w="80" w:type="dxa"/>
              <w:start w:w="120" w:type="dxa"/>
              <w:bottom w:w="80" w:type="dxa"/>
              <w:end w:w="120" w:type="dxa"/>
            </w:tcMar>
            <w:vAlign w:val="center"/>
            <w:shd w:fill="FFFFFF"/>
          </w:tcPr>
          <w:p>
            <w:pPr>
              <w:spacing w:before="0" w:after="0"/>
            </w:pPr>
            <w:r/>
            <w:r>
              <w:rPr>
                <w:rFonts w:ascii="Calibri" w:hAnsi="Calibri"/>
                <w:b/>
                <w:i w:val="0"/>
                <w:color w:val="303846"/>
                <w:sz w:val="16"/>
              </w:rPr>
              <w:t>backend/app/docking_benchmark.py</w:t>
            </w:r>
          </w:p>
        </w:tc>
        <w:tc>
          <w:tcPr>
            <w:tcW w:type="dxa" w:w="6768"/>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Heavy-atom redocking alignment and RMSD qualification gate</w:t>
            </w:r>
          </w:p>
        </w:tc>
      </w:tr>
      <w:tr>
        <w:trPr>
          <w:cantSplit/>
        </w:trPr>
        <w:tc>
          <w:tcPr>
            <w:tcW w:type="dxa" w:w="2592"/>
            <w:tcMar>
              <w:top w:w="80" w:type="dxa"/>
              <w:start w:w="120" w:type="dxa"/>
              <w:bottom w:w="80" w:type="dxa"/>
              <w:end w:w="120" w:type="dxa"/>
            </w:tcMar>
            <w:vAlign w:val="center"/>
            <w:shd w:fill="FFFFFF"/>
          </w:tcPr>
          <w:p>
            <w:pPr>
              <w:spacing w:before="0" w:after="0"/>
            </w:pPr>
            <w:r/>
            <w:r>
              <w:rPr>
                <w:rFonts w:ascii="Calibri" w:hAnsi="Calibri"/>
                <w:b/>
                <w:i w:val="0"/>
                <w:color w:val="303846"/>
                <w:sz w:val="16"/>
              </w:rPr>
              <w:t>backend/app/assistant.py</w:t>
            </w:r>
          </w:p>
        </w:tc>
        <w:tc>
          <w:tcPr>
            <w:tcW w:type="dxa" w:w="6768"/>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Evidence-bound research assistant</w:t>
            </w:r>
          </w:p>
        </w:tc>
      </w:tr>
      <w:tr>
        <w:trPr>
          <w:cantSplit/>
        </w:trPr>
        <w:tc>
          <w:tcPr>
            <w:tcW w:type="dxa" w:w="2592"/>
            <w:tcMar>
              <w:top w:w="80" w:type="dxa"/>
              <w:start w:w="120" w:type="dxa"/>
              <w:bottom w:w="80" w:type="dxa"/>
              <w:end w:w="120" w:type="dxa"/>
            </w:tcMar>
            <w:vAlign w:val="center"/>
            <w:shd w:fill="FFFFFF"/>
          </w:tcPr>
          <w:p>
            <w:pPr>
              <w:spacing w:before="0" w:after="0"/>
            </w:pPr>
            <w:r/>
            <w:r>
              <w:rPr>
                <w:rFonts w:ascii="Calibri" w:hAnsi="Calibri"/>
                <w:b/>
                <w:i w:val="0"/>
                <w:color w:val="303846"/>
                <w:sz w:val="16"/>
              </w:rPr>
              <w:t>backend/app/connectors</w:t>
            </w:r>
          </w:p>
        </w:tc>
        <w:tc>
          <w:tcPr>
            <w:tcW w:type="dxa" w:w="6768"/>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Official-source adapter examples</w:t>
            </w:r>
          </w:p>
        </w:tc>
      </w:tr>
      <w:tr>
        <w:trPr>
          <w:cantSplit/>
        </w:trPr>
        <w:tc>
          <w:tcPr>
            <w:tcW w:type="dxa" w:w="2592"/>
            <w:tcMar>
              <w:top w:w="80" w:type="dxa"/>
              <w:start w:w="120" w:type="dxa"/>
              <w:bottom w:w="80" w:type="dxa"/>
              <w:end w:w="120" w:type="dxa"/>
            </w:tcMar>
            <w:vAlign w:val="center"/>
            <w:shd w:fill="FFFFFF"/>
          </w:tcPr>
          <w:p>
            <w:pPr>
              <w:spacing w:before="0" w:after="0"/>
            </w:pPr>
            <w:r/>
            <w:r>
              <w:rPr>
                <w:rFonts w:ascii="Calibri" w:hAnsi="Calibri"/>
                <w:b/>
                <w:i w:val="0"/>
                <w:color w:val="303846"/>
                <w:sz w:val="16"/>
              </w:rPr>
              <w:t>backend/app/data/compounds.json</w:t>
            </w:r>
          </w:p>
        </w:tc>
        <w:tc>
          <w:tcPr>
            <w:tcW w:type="dxa" w:w="6768"/>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192 validated development structures</w:t>
            </w:r>
          </w:p>
        </w:tc>
      </w:tr>
      <w:tr>
        <w:trPr>
          <w:cantSplit/>
        </w:trPr>
        <w:tc>
          <w:tcPr>
            <w:tcW w:type="dxa" w:w="2592"/>
            <w:tcMar>
              <w:top w:w="80" w:type="dxa"/>
              <w:start w:w="120" w:type="dxa"/>
              <w:bottom w:w="80" w:type="dxa"/>
              <w:end w:w="120" w:type="dxa"/>
            </w:tcMar>
            <w:vAlign w:val="center"/>
            <w:shd w:fill="FFFFFF"/>
          </w:tcPr>
          <w:p>
            <w:pPr>
              <w:spacing w:before="0" w:after="0"/>
            </w:pPr>
            <w:r/>
            <w:r>
              <w:rPr>
                <w:rFonts w:ascii="Calibri" w:hAnsi="Calibri"/>
                <w:b/>
                <w:i w:val="0"/>
                <w:color w:val="303846"/>
                <w:sz w:val="16"/>
              </w:rPr>
              <w:t>backend/tests</w:t>
            </w:r>
          </w:p>
        </w:tc>
        <w:tc>
          <w:tcPr>
            <w:tcW w:type="dxa" w:w="6768"/>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Unit, API, governance, and experiment tests</w:t>
            </w:r>
          </w:p>
        </w:tc>
      </w:tr>
      <w:tr>
        <w:trPr>
          <w:cantSplit/>
        </w:trPr>
        <w:tc>
          <w:tcPr>
            <w:tcW w:type="dxa" w:w="2592"/>
            <w:tcMar>
              <w:top w:w="80" w:type="dxa"/>
              <w:start w:w="120" w:type="dxa"/>
              <w:bottom w:w="80" w:type="dxa"/>
              <w:end w:w="120" w:type="dxa"/>
            </w:tcMar>
            <w:vAlign w:val="center"/>
            <w:shd w:fill="FFFFFF"/>
          </w:tcPr>
          <w:p>
            <w:pPr>
              <w:spacing w:before="0" w:after="0"/>
            </w:pPr>
            <w:r/>
            <w:r>
              <w:rPr>
                <w:rFonts w:ascii="Calibri" w:hAnsi="Calibri"/>
                <w:b/>
                <w:i w:val="0"/>
                <w:color w:val="303846"/>
                <w:sz w:val="16"/>
              </w:rPr>
              <w:t>contracts/openapi.json</w:t>
            </w:r>
          </w:p>
        </w:tc>
        <w:tc>
          <w:tcPr>
            <w:tcW w:type="dxa" w:w="6768"/>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Generated API contract</w:t>
            </w:r>
          </w:p>
        </w:tc>
      </w:tr>
      <w:tr>
        <w:trPr>
          <w:cantSplit/>
        </w:trPr>
        <w:tc>
          <w:tcPr>
            <w:tcW w:type="dxa" w:w="2592"/>
            <w:tcMar>
              <w:top w:w="80" w:type="dxa"/>
              <w:start w:w="120" w:type="dxa"/>
              <w:bottom w:w="80" w:type="dxa"/>
              <w:end w:w="120" w:type="dxa"/>
            </w:tcMar>
            <w:vAlign w:val="center"/>
            <w:shd w:fill="FFFFFF"/>
          </w:tcPr>
          <w:p>
            <w:pPr>
              <w:spacing w:before="0" w:after="0"/>
            </w:pPr>
            <w:r/>
            <w:r>
              <w:rPr>
                <w:rFonts w:ascii="Calibri" w:hAnsi="Calibri"/>
                <w:b/>
                <w:i w:val="0"/>
                <w:color w:val="303846"/>
                <w:sz w:val="16"/>
              </w:rPr>
              <w:t>docs/OSIEL_Developer_SRS.md</w:t>
            </w:r>
          </w:p>
        </w:tc>
        <w:tc>
          <w:tcPr>
            <w:tcW w:type="dxa" w:w="6768"/>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Authoritative developer specification</w:t>
            </w:r>
          </w:p>
        </w:tc>
      </w:tr>
    </w:tbl>
    <w:p>
      <w:pPr>
        <w:spacing w:after="0"/>
      </w:pPr>
    </w:p>
    <w:p>
      <w:pPr>
        <w:pStyle w:val="Heading1"/>
      </w:pPr>
      <w:r>
        <w:t>22. Verification and acceptance plan</w:t>
      </w:r>
    </w:p>
    <w:p>
      <w:pPr>
        <w:pStyle w:val="Heading2"/>
      </w:pPr>
      <w:r>
        <w:t>22.1 Automated tests</w:t>
      </w:r>
    </w:p>
    <w:p>
      <w:pPr>
        <w:pStyle w:val="ListBullet"/>
      </w:pPr>
      <w:r>
        <w:rPr>
          <w:rFonts w:ascii="Calibri" w:hAnsi="Calibri"/>
          <w:b w:val="0"/>
          <w:i w:val="0"/>
          <w:color w:val="222222"/>
          <w:sz w:val="22"/>
        </w:rPr>
        <w:t>Chemistry: valid parsing, invalid quarantine, salt parent selection, deterministic identity.</w:t>
      </w:r>
    </w:p>
    <w:p>
      <w:pPr>
        <w:pStyle w:val="ListBullet"/>
      </w:pPr>
      <w:r>
        <w:rPr>
          <w:rFonts w:ascii="Calibri" w:hAnsi="Calibri"/>
          <w:b w:val="0"/>
          <w:i w:val="0"/>
          <w:color w:val="222222"/>
          <w:sz w:val="22"/>
        </w:rPr>
        <w:t>Repository: seed count at least 150, unique stable IDs, searchable records.</w:t>
      </w:r>
    </w:p>
    <w:p>
      <w:pPr>
        <w:pStyle w:val="ListBullet"/>
      </w:pPr>
      <w:r>
        <w:rPr>
          <w:rFonts w:ascii="Calibri" w:hAnsi="Calibri"/>
          <w:b w:val="0"/>
          <w:i w:val="0"/>
          <w:color w:val="222222"/>
          <w:sz w:val="22"/>
        </w:rPr>
        <w:t>Prediction: bounded values, intervals, uncertainty, domain state, model and dataset metadata.</w:t>
      </w:r>
    </w:p>
    <w:p>
      <w:pPr>
        <w:pStyle w:val="ListBullet"/>
      </w:pPr>
      <w:r>
        <w:rPr>
          <w:rFonts w:ascii="Calibri" w:hAnsi="Calibri"/>
          <w:b w:val="0"/>
          <w:i w:val="0"/>
          <w:color w:val="222222"/>
          <w:sz w:val="22"/>
        </w:rPr>
        <w:t>Ranking: component transparency, score order, uncertainty penalty, flags, policy version.</w:t>
      </w:r>
    </w:p>
    <w:p>
      <w:pPr>
        <w:pStyle w:val="ListBullet"/>
      </w:pPr>
      <w:r>
        <w:rPr>
          <w:rFonts w:ascii="Calibri" w:hAnsi="Calibri"/>
          <w:b w:val="0"/>
          <w:i w:val="0"/>
          <w:color w:val="222222"/>
          <w:sz w:val="22"/>
        </w:rPr>
        <w:t>Experiment: protocol validation, deterministic observation count, dose range, replicates, QC.</w:t>
      </w:r>
    </w:p>
    <w:p>
      <w:pPr>
        <w:pStyle w:val="ListBullet"/>
      </w:pPr>
      <w:r>
        <w:rPr>
          <w:rFonts w:ascii="Calibri" w:hAnsi="Calibri"/>
          <w:b w:val="0"/>
          <w:i w:val="0"/>
          <w:color w:val="222222"/>
          <w:sz w:val="22"/>
        </w:rPr>
        <w:t>Governance: simulation-only result cannot become training eligible; demo model cannot be promoted.</w:t>
      </w:r>
    </w:p>
    <w:p>
      <w:pPr>
        <w:pStyle w:val="ListBullet"/>
      </w:pPr>
      <w:r>
        <w:rPr>
          <w:rFonts w:ascii="Calibri" w:hAnsi="Calibri"/>
          <w:b w:val="0"/>
          <w:i w:val="0"/>
          <w:color w:val="222222"/>
          <w:sz w:val="22"/>
        </w:rPr>
        <w:t>API: health, compounds, standardization, ranking, experiment, assistant, model-lab, active-learning, docking benchmark, and governance routes.</w:t>
      </w:r>
    </w:p>
    <w:p>
      <w:pPr>
        <w:pStyle w:val="ListBullet"/>
      </w:pPr>
      <w:r>
        <w:rPr>
          <w:rFonts w:ascii="Calibri" w:hAnsi="Calibri"/>
          <w:b w:val="0"/>
          <w:i w:val="0"/>
          <w:color w:val="222222"/>
          <w:sz w:val="22"/>
        </w:rPr>
        <w:t>Model lab: exact endpoint retention, grey-zone removal, duplicate/conflict handling, immutable hashes, no scaffold overlap, calibration, metrics, domain and proposal gating.</w:t>
      </w:r>
    </w:p>
    <w:p>
      <w:pPr>
        <w:pStyle w:val="ListBullet"/>
      </w:pPr>
      <w:r>
        <w:rPr>
          <w:rFonts w:ascii="Calibri" w:hAnsi="Calibri"/>
          <w:b w:val="0"/>
          <w:i w:val="0"/>
          <w:color w:val="222222"/>
          <w:sz w:val="22"/>
        </w:rPr>
        <w:t xml:space="preserve">Docking qualification: matching heavy-atom order, rigid-body alignment, RMSD pass/fail and permanent </w:t>
      </w:r>
      <w:r>
        <w:rPr>
          <w:rFonts w:ascii="Consolas" w:hAnsi="Consolas"/>
          <w:b w:val="0"/>
          <w:i w:val="0"/>
          <w:color w:val="1F4D78"/>
          <w:sz w:val="20"/>
        </w:rPr>
        <w:t>scoring_qualified=false</w:t>
      </w:r>
      <w:r>
        <w:rPr>
          <w:rFonts w:ascii="Calibri" w:hAnsi="Calibri"/>
          <w:b w:val="0"/>
          <w:i w:val="0"/>
          <w:color w:val="222222"/>
          <w:sz w:val="22"/>
        </w:rPr>
        <w:t xml:space="preserve"> for a single-complex check.</w:t>
      </w:r>
    </w:p>
    <w:p>
      <w:pPr>
        <w:pStyle w:val="ListBullet"/>
      </w:pPr>
      <w:r>
        <w:rPr>
          <w:rFonts w:ascii="Calibri" w:hAnsi="Calibri"/>
          <w:b w:val="0"/>
          <w:i w:val="0"/>
          <w:color w:val="222222"/>
          <w:sz w:val="22"/>
        </w:rPr>
        <w:t>Frontend: production build, rendered HTML, eight-row fallback, no viewport-level overflow.</w:t>
      </w:r>
    </w:p>
    <w:p>
      <w:pPr>
        <w:pStyle w:val="Heading2"/>
      </w:pPr>
      <w:r>
        <w:t>22.2 Reference end-to-end scenario</w:t>
      </w:r>
    </w:p>
    <w:p>
      <w:pPr>
        <w:numPr>
          <w:ilvl w:val="0"/>
          <w:numId w:val="12"/>
        </w:numPr>
        <w:pStyle w:val="ListNumber"/>
      </w:pPr>
      <w:r>
        <w:rPr>
          <w:rFonts w:ascii="Calibri" w:hAnsi="Calibri"/>
          <w:b w:val="0"/>
          <w:i w:val="0"/>
          <w:color w:val="222222"/>
          <w:sz w:val="22"/>
        </w:rPr>
        <w:t>Health response reports a healthy service and at least 150 compounds.</w:t>
      </w:r>
    </w:p>
    <w:p>
      <w:pPr>
        <w:numPr>
          <w:ilvl w:val="0"/>
          <w:numId w:val="12"/>
        </w:numPr>
        <w:pStyle w:val="ListNumber"/>
      </w:pPr>
      <w:r>
        <w:rPr>
          <w:rFonts w:ascii="Calibri" w:hAnsi="Calibri"/>
          <w:b w:val="0"/>
          <w:i w:val="0"/>
          <w:color w:val="222222"/>
          <w:sz w:val="22"/>
        </w:rPr>
        <w:t>Resolve at least six compounds from the registry.</w:t>
      </w:r>
    </w:p>
    <w:p>
      <w:pPr>
        <w:numPr>
          <w:ilvl w:val="0"/>
          <w:numId w:val="12"/>
        </w:numPr>
        <w:pStyle w:val="ListNumber"/>
      </w:pPr>
      <w:r>
        <w:rPr>
          <w:rFonts w:ascii="Calibri" w:hAnsi="Calibri"/>
          <w:b w:val="0"/>
          <w:i w:val="0"/>
          <w:color w:val="222222"/>
          <w:sz w:val="22"/>
        </w:rPr>
        <w:t>Rank them for non-small cell lung cancer and A549 with policy version 1.0.</w:t>
      </w:r>
    </w:p>
    <w:p>
      <w:pPr>
        <w:numPr>
          <w:ilvl w:val="0"/>
          <w:numId w:val="12"/>
        </w:numPr>
        <w:pStyle w:val="ListNumber"/>
      </w:pPr>
      <w:r>
        <w:rPr>
          <w:rFonts w:ascii="Calibri" w:hAnsi="Calibri"/>
          <w:b w:val="0"/>
          <w:i w:val="0"/>
          <w:color w:val="222222"/>
          <w:sz w:val="22"/>
        </w:rPr>
        <w:t>Verify every ranked item includes prediction, interval, uncertainty, domain, ADMET, evidence, and component contributions.</w:t>
      </w:r>
    </w:p>
    <w:p>
      <w:pPr>
        <w:numPr>
          <w:ilvl w:val="0"/>
          <w:numId w:val="12"/>
        </w:numPr>
        <w:pStyle w:val="ListNumber"/>
      </w:pPr>
      <w:r>
        <w:rPr>
          <w:rFonts w:ascii="Calibri" w:hAnsi="Calibri"/>
          <w:b w:val="0"/>
          <w:i w:val="0"/>
          <w:color w:val="222222"/>
          <w:sz w:val="22"/>
        </w:rPr>
        <w:t>Select three candidates.</w:t>
      </w:r>
    </w:p>
    <w:p>
      <w:pPr>
        <w:numPr>
          <w:ilvl w:val="0"/>
          <w:numId w:val="12"/>
        </w:numPr>
        <w:pStyle w:val="ListNumber"/>
      </w:pPr>
      <w:r>
        <w:rPr>
          <w:rFonts w:ascii="Calibri" w:hAnsi="Calibri"/>
          <w:b w:val="0"/>
          <w:i w:val="0"/>
          <w:color w:val="222222"/>
          <w:sz w:val="22"/>
        </w:rPr>
        <w:t>Create a CellTiter-Glo IC50 protocol with eight doses and three replicates.</w:t>
      </w:r>
    </w:p>
    <w:p>
      <w:pPr>
        <w:numPr>
          <w:ilvl w:val="0"/>
          <w:numId w:val="12"/>
        </w:numPr>
        <w:pStyle w:val="ListNumber"/>
      </w:pPr>
      <w:r>
        <w:rPr>
          <w:rFonts w:ascii="Calibri" w:hAnsi="Calibri"/>
          <w:b w:val="0"/>
          <w:i w:val="0"/>
          <w:color w:val="222222"/>
          <w:sz w:val="22"/>
        </w:rPr>
        <w:t>Run the computational dry-run.</w:t>
      </w:r>
    </w:p>
    <w:p>
      <w:pPr>
        <w:numPr>
          <w:ilvl w:val="0"/>
          <w:numId w:val="12"/>
        </w:numPr>
        <w:pStyle w:val="ListNumber"/>
      </w:pPr>
      <w:r>
        <w:rPr>
          <w:rFonts w:ascii="Calibri" w:hAnsi="Calibri"/>
          <w:b w:val="0"/>
          <w:i w:val="0"/>
          <w:color w:val="222222"/>
          <w:sz w:val="22"/>
        </w:rPr>
        <w:t>Verify 72 synthetic observations, QC checks, controls, and simulation-only notice.</w:t>
      </w:r>
    </w:p>
    <w:p>
      <w:pPr>
        <w:numPr>
          <w:ilvl w:val="0"/>
          <w:numId w:val="12"/>
        </w:numPr>
        <w:pStyle w:val="ListNumber"/>
      </w:pPr>
      <w:r>
        <w:rPr>
          <w:rFonts w:ascii="Calibri" w:hAnsi="Calibri"/>
          <w:b w:val="0"/>
          <w:i w:val="0"/>
          <w:color w:val="222222"/>
          <w:sz w:val="22"/>
        </w:rPr>
        <w:t>Attempt training eligibility and confirm rejection.</w:t>
      </w:r>
    </w:p>
    <w:p>
      <w:pPr>
        <w:numPr>
          <w:ilvl w:val="0"/>
          <w:numId w:val="12"/>
        </w:numPr>
        <w:pStyle w:val="ListNumber"/>
      </w:pPr>
      <w:r>
        <w:rPr>
          <w:rFonts w:ascii="Calibri" w:hAnsi="Calibri"/>
          <w:b w:val="0"/>
          <w:i w:val="0"/>
          <w:color w:val="222222"/>
          <w:sz w:val="22"/>
        </w:rPr>
        <w:t>Confirm the champion version did not change.</w:t>
      </w:r>
    </w:p>
    <w:p>
      <w:pPr>
        <w:numPr>
          <w:ilvl w:val="0"/>
          <w:numId w:val="12"/>
        </w:numPr>
        <w:pStyle w:val="ListNumber"/>
      </w:pPr>
      <w:r>
        <w:rPr>
          <w:rFonts w:ascii="Calibri" w:hAnsi="Calibri"/>
          <w:b w:val="0"/>
          <w:i w:val="0"/>
          <w:color w:val="222222"/>
          <w:sz w:val="22"/>
        </w:rPr>
        <w:t>Confirm audit events cover ranking, experiment creation, simulation, and rejected governance mutation.</w:t>
      </w:r>
    </w:p>
    <w:p>
      <w:pPr>
        <w:pStyle w:val="Heading2"/>
      </w:pPr>
      <w:r>
        <w:t>22.3 Release gates</w:t>
      </w:r>
    </w:p>
    <w:p>
      <w:r>
        <w:rPr>
          <w:rFonts w:ascii="Calibri" w:hAnsi="Calibri"/>
          <w:b w:val="0"/>
          <w:i w:val="0"/>
          <w:color w:val="222222"/>
          <w:sz w:val="22"/>
        </w:rPr>
        <w:t>A production release requires:</w:t>
      </w:r>
    </w:p>
    <w:p>
      <w:pPr>
        <w:pStyle w:val="ListBullet"/>
      </w:pPr>
      <w:r>
        <w:rPr>
          <w:rFonts w:ascii="Calibri" w:hAnsi="Calibri"/>
          <w:b w:val="0"/>
          <w:i w:val="0"/>
          <w:color w:val="222222"/>
          <w:sz w:val="22"/>
        </w:rPr>
        <w:t>all tests passing;</w:t>
      </w:r>
    </w:p>
    <w:p>
      <w:pPr>
        <w:pStyle w:val="ListBullet"/>
      </w:pPr>
      <w:r>
        <w:rPr>
          <w:rFonts w:ascii="Calibri" w:hAnsi="Calibri"/>
          <w:b w:val="0"/>
          <w:i w:val="0"/>
          <w:color w:val="222222"/>
          <w:sz w:val="22"/>
        </w:rPr>
        <w:t>database migrations reviewed and reversible;</w:t>
      </w:r>
    </w:p>
    <w:p>
      <w:pPr>
        <w:pStyle w:val="ListBullet"/>
      </w:pPr>
      <w:r>
        <w:rPr>
          <w:rFonts w:ascii="Calibri" w:hAnsi="Calibri"/>
          <w:b w:val="0"/>
          <w:i w:val="0"/>
          <w:color w:val="222222"/>
          <w:sz w:val="22"/>
        </w:rPr>
        <w:t>contract compatibility checked;</w:t>
      </w:r>
    </w:p>
    <w:p>
      <w:pPr>
        <w:pStyle w:val="ListBullet"/>
      </w:pPr>
      <w:r>
        <w:rPr>
          <w:rFonts w:ascii="Calibri" w:hAnsi="Calibri"/>
          <w:b w:val="0"/>
          <w:i w:val="0"/>
          <w:color w:val="222222"/>
          <w:sz w:val="22"/>
        </w:rPr>
        <w:t>security and licence scans passing;</w:t>
      </w:r>
    </w:p>
    <w:p>
      <w:pPr>
        <w:pStyle w:val="ListBullet"/>
      </w:pPr>
      <w:r>
        <w:rPr>
          <w:rFonts w:ascii="Calibri" w:hAnsi="Calibri"/>
          <w:b w:val="0"/>
          <w:i w:val="0"/>
          <w:color w:val="222222"/>
          <w:sz w:val="22"/>
        </w:rPr>
        <w:t>model card and snapshot lineage complete;</w:t>
      </w:r>
    </w:p>
    <w:p>
      <w:pPr>
        <w:pStyle w:val="ListBullet"/>
      </w:pPr>
      <w:r>
        <w:rPr>
          <w:rFonts w:ascii="Calibri" w:hAnsi="Calibri"/>
          <w:b w:val="0"/>
          <w:i w:val="0"/>
          <w:color w:val="222222"/>
          <w:sz w:val="22"/>
        </w:rPr>
        <w:t>calibration and slice gates passing;</w:t>
      </w:r>
    </w:p>
    <w:p>
      <w:pPr>
        <w:pStyle w:val="ListBullet"/>
      </w:pPr>
      <w:r>
        <w:rPr>
          <w:rFonts w:ascii="Calibri" w:hAnsi="Calibri"/>
          <w:b w:val="0"/>
          <w:i w:val="0"/>
          <w:color w:val="222222"/>
          <w:sz w:val="22"/>
        </w:rPr>
        <w:t>named scientific and model approvals;</w:t>
      </w:r>
    </w:p>
    <w:p>
      <w:pPr>
        <w:pStyle w:val="ListBullet"/>
      </w:pPr>
      <w:r>
        <w:rPr>
          <w:rFonts w:ascii="Calibri" w:hAnsi="Calibri"/>
          <w:b w:val="0"/>
          <w:i w:val="0"/>
          <w:color w:val="222222"/>
          <w:sz w:val="22"/>
        </w:rPr>
        <w:t>backup/restore and rollback verified;</w:t>
      </w:r>
    </w:p>
    <w:p>
      <w:pPr>
        <w:pStyle w:val="ListBullet"/>
      </w:pPr>
      <w:r>
        <w:rPr>
          <w:rFonts w:ascii="Calibri" w:hAnsi="Calibri"/>
          <w:b w:val="0"/>
          <w:i w:val="0"/>
          <w:color w:val="222222"/>
          <w:sz w:val="22"/>
        </w:rPr>
        <w:t>no unresolved critical data-quality or security findings;</w:t>
      </w:r>
    </w:p>
    <w:p>
      <w:pPr>
        <w:pStyle w:val="ListBullet"/>
      </w:pPr>
      <w:r>
        <w:rPr>
          <w:rFonts w:ascii="Calibri" w:hAnsi="Calibri"/>
          <w:b w:val="0"/>
          <w:i w:val="0"/>
          <w:color w:val="222222"/>
          <w:sz w:val="22"/>
        </w:rPr>
        <w:t>user-facing claim review completed.</w:t>
      </w:r>
    </w:p>
    <w:p>
      <w:pPr>
        <w:pStyle w:val="Heading1"/>
      </w:pPr>
      <w:r>
        <w:t>23. Current implementation evaluation</w:t>
      </w:r>
    </w:p>
    <w:p>
      <w:pPr>
        <w:pStyle w:val="Heading2"/>
      </w:pPr>
      <w:r>
        <w:t>23.1 What is complete in the developer reference</w:t>
      </w:r>
    </w:p>
    <w:p>
      <w:pPr>
        <w:pStyle w:val="ListBullet"/>
      </w:pPr>
      <w:r>
        <w:rPr>
          <w:rFonts w:ascii="Calibri" w:hAnsi="Calibri"/>
          <w:b w:val="0"/>
          <w:i w:val="0"/>
          <w:color w:val="222222"/>
          <w:sz w:val="22"/>
        </w:rPr>
        <w:t>FastAPI application with typed Pydantic contracts and generated OpenAPI.</w:t>
      </w:r>
    </w:p>
    <w:p>
      <w:pPr>
        <w:pStyle w:val="ListBullet"/>
      </w:pPr>
      <w:r>
        <w:rPr>
          <w:rFonts w:ascii="Calibri" w:hAnsi="Calibri"/>
          <w:b w:val="0"/>
          <w:i w:val="0"/>
          <w:color w:val="222222"/>
          <w:sz w:val="22"/>
        </w:rPr>
        <w:t>RDKit parsing, parent selection, standardized identifiers, stereo state, and descriptors.</w:t>
      </w:r>
    </w:p>
    <w:p>
      <w:pPr>
        <w:pStyle w:val="ListBullet"/>
      </w:pPr>
      <w:r>
        <w:rPr>
          <w:rFonts w:ascii="Calibri" w:hAnsi="Calibri"/>
          <w:b w:val="0"/>
          <w:i w:val="0"/>
          <w:color w:val="222222"/>
          <w:sz w:val="22"/>
        </w:rPr>
        <w:t>Seed registry of 192 RDKit-validated structures.</w:t>
      </w:r>
    </w:p>
    <w:p>
      <w:pPr>
        <w:pStyle w:val="ListBullet"/>
      </w:pPr>
      <w:r>
        <w:rPr>
          <w:rFonts w:ascii="Calibri" w:hAnsi="Calibri"/>
          <w:b w:val="0"/>
          <w:i w:val="0"/>
          <w:color w:val="222222"/>
          <w:sz w:val="22"/>
        </w:rPr>
        <w:t>Official PubChem and ChEMBL connector examples and a governed source registry.</w:t>
      </w:r>
    </w:p>
    <w:p>
      <w:pPr>
        <w:pStyle w:val="ListBullet"/>
      </w:pPr>
      <w:r>
        <w:rPr>
          <w:rFonts w:ascii="Calibri" w:hAnsi="Calibri"/>
          <w:b w:val="0"/>
          <w:i w:val="0"/>
          <w:color w:val="222222"/>
          <w:sz w:val="22"/>
        </w:rPr>
        <w:t>Deterministic task-specific demonstration prediction with confidence, uncertainty, interval, and domain status.</w:t>
      </w:r>
    </w:p>
    <w:p>
      <w:pPr>
        <w:pStyle w:val="ListBullet"/>
      </w:pPr>
      <w:r>
        <w:rPr>
          <w:rFonts w:ascii="Calibri" w:hAnsi="Calibri"/>
          <w:b w:val="0"/>
          <w:i w:val="0"/>
          <w:color w:val="222222"/>
          <w:sz w:val="22"/>
        </w:rPr>
        <w:t>Nearest-analog evidence and endpoint-level demonstration ADMET.</w:t>
      </w:r>
    </w:p>
    <w:p>
      <w:pPr>
        <w:pStyle w:val="ListBullet"/>
      </w:pPr>
      <w:r>
        <w:rPr>
          <w:rFonts w:ascii="Calibri" w:hAnsi="Calibri"/>
          <w:b w:val="0"/>
          <w:i w:val="0"/>
          <w:color w:val="222222"/>
          <w:sz w:val="22"/>
        </w:rPr>
        <w:t>Transparent seven-component ranking, hard flags, Pareto label, and diversity policy.</w:t>
      </w:r>
    </w:p>
    <w:p>
      <w:pPr>
        <w:pStyle w:val="ListBullet"/>
      </w:pPr>
      <w:r>
        <w:rPr>
          <w:rFonts w:ascii="Calibri" w:hAnsi="Calibri"/>
          <w:b w:val="0"/>
          <w:i w:val="0"/>
          <w:color w:val="222222"/>
          <w:sz w:val="22"/>
        </w:rPr>
        <w:t>Experiment protocol creation and deterministic computational dose-response dry-run.</w:t>
      </w:r>
    </w:p>
    <w:p>
      <w:pPr>
        <w:pStyle w:val="ListBullet"/>
      </w:pPr>
      <w:r>
        <w:rPr>
          <w:rFonts w:ascii="Calibri" w:hAnsi="Calibri"/>
          <w:b w:val="0"/>
          <w:i w:val="0"/>
          <w:color w:val="222222"/>
          <w:sz w:val="22"/>
        </w:rPr>
        <w:t>QC, named review, audit, immutable snapshot gate, and simulation training prohibition.</w:t>
      </w:r>
    </w:p>
    <w:p>
      <w:pPr>
        <w:pStyle w:val="ListBullet"/>
      </w:pPr>
      <w:r>
        <w:rPr>
          <w:rFonts w:ascii="Calibri" w:hAnsi="Calibri"/>
          <w:b w:val="0"/>
          <w:i w:val="0"/>
          <w:color w:val="222222"/>
          <w:sz w:val="22"/>
        </w:rPr>
        <w:t>Champion/challenger governance boundary.</w:t>
      </w:r>
    </w:p>
    <w:p>
      <w:pPr>
        <w:pStyle w:val="ListBullet"/>
      </w:pPr>
      <w:r>
        <w:rPr>
          <w:rFonts w:ascii="Calibri" w:hAnsi="Calibri"/>
          <w:b w:val="0"/>
          <w:i w:val="0"/>
          <w:color w:val="222222"/>
          <w:sz w:val="22"/>
        </w:rPr>
        <w:t>Evidence-bound deterministic assistant plus an opt-in local Ollama/Qwen3 composer with supplied-ID citation validation, abstention and safe fallback.</w:t>
      </w:r>
    </w:p>
    <w:p>
      <w:pPr>
        <w:pStyle w:val="ListBullet"/>
      </w:pPr>
      <w:r>
        <w:rPr>
          <w:rFonts w:ascii="Calibri" w:hAnsi="Calibri"/>
          <w:b w:val="0"/>
          <w:i w:val="0"/>
          <w:color w:val="222222"/>
          <w:sz w:val="22"/>
        </w:rPr>
        <w:t>Bounded live SmallWorld query against a provider-advertised multi-billion chemical map, with map counts, result checksum and local RDKit triage.</w:t>
      </w:r>
    </w:p>
    <w:p>
      <w:pPr>
        <w:pStyle w:val="ListBullet"/>
      </w:pPr>
      <w:r>
        <w:rPr>
          <w:rFonts w:ascii="Calibri" w:hAnsi="Calibri"/>
          <w:b w:val="0"/>
          <w:i w:val="0"/>
          <w:color w:val="222222"/>
          <w:sz w:val="22"/>
        </w:rPr>
        <w:t>Operator-gated AutoDock Vina 1.2.7 child-process execution with immutable prepared inputs, downloadable poses and a co-crystal redocking RMSD gate.</w:t>
      </w:r>
    </w:p>
    <w:p>
      <w:pPr>
        <w:pStyle w:val="ListBullet"/>
      </w:pPr>
      <w:r>
        <w:rPr>
          <w:rFonts w:ascii="Calibri" w:hAnsi="Calibri"/>
          <w:b w:val="0"/>
          <w:i w:val="0"/>
          <w:color w:val="222222"/>
          <w:sz w:val="22"/>
        </w:rPr>
        <w:t>Operator-gated ChEMBL endpoint retrieval with immutable raw and normalized snapshots, exact-relation filtering, pChEMBL grey-zone removal, duplicate aggregation, label-conflict removal and scaffold accounting.</w:t>
      </w:r>
    </w:p>
    <w:p>
      <w:pPr>
        <w:pStyle w:val="ListBullet"/>
      </w:pPr>
      <w:r>
        <w:rPr>
          <w:rFonts w:ascii="Calibri" w:hAnsi="Calibri"/>
          <w:b w:val="0"/>
          <w:i w:val="0"/>
          <w:color w:val="222222"/>
          <w:sz w:val="22"/>
        </w:rPr>
        <w:t>ECFP4 logistic-regression baseline with class balancing, disjoint train/calibration/test scaffold groups, Platt calibration, frozen-test AUROC/AP/balanced-accuracy/Brier/ECE metrics, and portable immutable JSON artifact.</w:t>
      </w:r>
    </w:p>
    <w:p>
      <w:pPr>
        <w:pStyle w:val="ListBullet"/>
      </w:pPr>
      <w:r>
        <w:rPr>
          <w:rFonts w:ascii="Calibri" w:hAnsi="Calibri"/>
          <w:b w:val="0"/>
          <w:i w:val="0"/>
          <w:color w:val="222222"/>
          <w:sz w:val="22"/>
        </w:rPr>
        <w:t>Model-lab predictions with entropy/domain uncertainty, nearest-training similarity and explicit inside/borderline/outside status.</w:t>
      </w:r>
    </w:p>
    <w:p>
      <w:pPr>
        <w:pStyle w:val="ListBullet"/>
      </w:pPr>
      <w:r>
        <w:rPr>
          <w:rFonts w:ascii="Calibri" w:hAnsi="Calibri"/>
          <w:b w:val="0"/>
          <w:i w:val="0"/>
          <w:color w:val="222222"/>
          <w:sz w:val="22"/>
        </w:rPr>
        <w:t>Active-learning proposals using uncertainty, distance-to-training, QED and greedy fingerprint diversity; no experiment, procurement or model promotion starts automatically.</w:t>
      </w:r>
    </w:p>
    <w:p>
      <w:pPr>
        <w:pStyle w:val="ListBullet"/>
      </w:pPr>
      <w:r>
        <w:rPr>
          <w:rFonts w:ascii="Calibri" w:hAnsi="Calibri"/>
          <w:b w:val="0"/>
          <w:i w:val="0"/>
          <w:color w:val="222222"/>
          <w:sz w:val="22"/>
        </w:rPr>
        <w:t>Connected, responsive Next.js research cockpit with embedded fallback.</w:t>
      </w:r>
    </w:p>
    <w:p>
      <w:pPr>
        <w:pStyle w:val="ListBullet"/>
      </w:pPr>
      <w:r>
        <w:rPr>
          <w:rFonts w:ascii="Calibri" w:hAnsi="Calibri"/>
          <w:b w:val="0"/>
          <w:i w:val="0"/>
          <w:color w:val="222222"/>
          <w:sz w:val="22"/>
        </w:rPr>
        <w:t>Dockerfiles, Compose configuration, test suite, and developer documentation.</w:t>
      </w:r>
    </w:p>
    <w:p>
      <w:r>
        <w:rPr>
          <w:rFonts w:ascii="Calibri" w:hAnsi="Calibri"/>
          <w:b w:val="0"/>
          <w:i w:val="0"/>
          <w:color w:val="222222"/>
          <w:sz w:val="22"/>
        </w:rPr>
        <w:t>On 22 August 2026, the live model-lab smoke run retrieved ChEMBL 37 EGFR binding IC50 records, retained 603 unique threshold-separated structures across 200 scaffolds, created a 325/121/157 train/calibration/test split with zero scaffold overlap, and completed local baseline evaluation. The internal frozen-test metrics were AUROC 0.9526, average precision 0.9948, balanced accuracy 0.7841, Brier score 0.0706, and ECE 0.0771. Promotion remained false. These figures prove executable wiring for that bounded retrieval and split; they are not a locked external or prospective biological validation.</w:t>
      </w:r>
    </w:p>
    <w:p>
      <w:pPr>
        <w:pStyle w:val="Heading2"/>
      </w:pPr>
      <w:r>
        <w:t>23.2 What is adapter-ready but not falsely claimed as complete</w:t>
      </w:r>
    </w:p>
    <w:p>
      <w:pPr>
        <w:pStyle w:val="ListBullet"/>
      </w:pPr>
      <w:r>
        <w:rPr>
          <w:rFonts w:ascii="Calibri" w:hAnsi="Calibri"/>
          <w:b w:val="0"/>
          <w:i w:val="0"/>
          <w:color w:val="222222"/>
          <w:sz w:val="22"/>
        </w:rPr>
        <w:t>Production PostgreSQL plus RDKit cartridge.</w:t>
      </w:r>
    </w:p>
    <w:p>
      <w:pPr>
        <w:pStyle w:val="ListBullet"/>
      </w:pPr>
      <w:r>
        <w:rPr>
          <w:rFonts w:ascii="Calibri" w:hAnsi="Calibri"/>
          <w:b w:val="0"/>
          <w:i w:val="0"/>
          <w:color w:val="222222"/>
          <w:sz w:val="22"/>
        </w:rPr>
        <w:t>Object-store lakehouse and immutable release pipelines.</w:t>
      </w:r>
    </w:p>
    <w:p>
      <w:pPr>
        <w:pStyle w:val="ListBullet"/>
      </w:pPr>
      <w:r>
        <w:rPr>
          <w:rFonts w:ascii="Calibri" w:hAnsi="Calibri"/>
          <w:b w:val="0"/>
          <w:i w:val="0"/>
          <w:color w:val="222222"/>
          <w:sz w:val="22"/>
        </w:rPr>
        <w:t>Prefect orchestration and Kafka/outbox delivery.</w:t>
      </w:r>
    </w:p>
    <w:p>
      <w:pPr>
        <w:pStyle w:val="ListBullet"/>
      </w:pPr>
      <w:r>
        <w:rPr>
          <w:rFonts w:ascii="Calibri" w:hAnsi="Calibri"/>
          <w:b w:val="0"/>
          <w:i w:val="0"/>
          <w:color w:val="222222"/>
          <w:sz w:val="22"/>
        </w:rPr>
        <w:t>MLflow-backed model registry and aliases.</w:t>
      </w:r>
    </w:p>
    <w:p>
      <w:pPr>
        <w:pStyle w:val="ListBullet"/>
      </w:pPr>
      <w:r>
        <w:rPr>
          <w:rFonts w:ascii="Calibri" w:hAnsi="Calibri"/>
          <w:b w:val="0"/>
          <w:i w:val="0"/>
          <w:color w:val="222222"/>
          <w:sz w:val="22"/>
        </w:rPr>
        <w:t>Real Chemprop and ADMET-AI serving.</w:t>
      </w:r>
    </w:p>
    <w:p>
      <w:pPr>
        <w:pStyle w:val="ListBullet"/>
      </w:pPr>
      <w:r>
        <w:rPr>
          <w:rFonts w:ascii="Calibri" w:hAnsi="Calibri"/>
          <w:b w:val="0"/>
          <w:i w:val="0"/>
          <w:color w:val="222222"/>
          <w:sz w:val="22"/>
        </w:rPr>
        <w:t>OIDC, RBAC, RLS, production audit integrity, and secret management.</w:t>
      </w:r>
    </w:p>
    <w:p>
      <w:pPr>
        <w:pStyle w:val="ListBullet"/>
      </w:pPr>
      <w:r>
        <w:rPr>
          <w:rFonts w:ascii="Calibri" w:hAnsi="Calibri"/>
          <w:b w:val="0"/>
          <w:i w:val="0"/>
          <w:color w:val="222222"/>
          <w:sz w:val="22"/>
        </w:rPr>
        <w:t>Full release-level PubChem, ChEMBL, NCI-60, TDC, COCONUT, NPASS, ANPDB, LOTUS, Tox21, and ToxCast ingestion beyond the bounded ChEMBL endpoint snapshot.</w:t>
      </w:r>
    </w:p>
    <w:p>
      <w:pPr>
        <w:pStyle w:val="ListBullet"/>
      </w:pPr>
      <w:r>
        <w:rPr>
          <w:rFonts w:ascii="Calibri" w:hAnsi="Calibri"/>
          <w:b w:val="0"/>
          <w:i w:val="0"/>
          <w:color w:val="222222"/>
          <w:sz w:val="22"/>
        </w:rPr>
        <w:t>Independently validated, production-approved oncology task models beyond the implemented research baseline.</w:t>
      </w:r>
    </w:p>
    <w:p>
      <w:pPr>
        <w:pStyle w:val="ListBullet"/>
      </w:pPr>
      <w:r>
        <w:rPr>
          <w:rFonts w:ascii="Calibri" w:hAnsi="Calibri"/>
          <w:b w:val="0"/>
          <w:i w:val="0"/>
          <w:color w:val="222222"/>
          <w:sz w:val="22"/>
        </w:rPr>
        <w:t>Laboratory information management or robotic instrument integration.</w:t>
      </w:r>
    </w:p>
    <w:p>
      <w:pPr>
        <w:pStyle w:val="Heading2"/>
      </w:pPr>
      <w:r>
        <w:t>23.3 Overall judgement</w:t>
      </w:r>
    </w:p>
    <w:p>
      <w:r>
        <w:rPr>
          <w:rFonts w:ascii="Calibri" w:hAnsi="Calibri"/>
          <w:b w:val="0"/>
          <w:i w:val="0"/>
          <w:color w:val="222222"/>
          <w:sz w:val="22"/>
        </w:rPr>
        <w:t>The reference is suitable as a developer handoff, architecture demonstrator, contract baseline, investor/product demo, and controlled foundation for Phase 1 implementation. It is not suitable for therapeutic decisions or scientific claims of compound efficacy. Production scientific credibility depends on curated task data, leakage-safe evaluation, calibrated models, domain validation, and qualified laboratory evidence.</w:t>
      </w:r>
    </w:p>
    <w:p>
      <w:pPr>
        <w:pStyle w:val="Heading2"/>
      </w:pPr>
      <w:r>
        <w:t>23.4 Open Discovery implementation addendum</w:t>
      </w:r>
    </w:p>
    <w:p>
      <w:r>
        <w:rPr>
          <w:rFonts w:ascii="Calibri" w:hAnsi="Calibri"/>
          <w:b w:val="0"/>
          <w:i w:val="0"/>
          <w:color w:val="222222"/>
          <w:sz w:val="22"/>
        </w:rPr>
        <w:t>The public-source Open Discovery extension adds the following developer contracts without changing the frozen numbering of OSIEL-REQ-001 through OSIEL-REQ-067:</w:t>
      </w:r>
    </w:p>
    <w:tbl>
      <w:tblPr>
        <w:tblStyle w:val="TableGrid"/>
        <w:tblW w:type="dxa" w:w="9360"/>
        <w:jc w:val="left"/>
        <w:tblLayout w:type="fixed"/>
        <w:tblLook w:firstColumn="1" w:firstRow="1" w:lastColumn="0" w:lastRow="0" w:noHBand="0" w:noVBand="1" w:val="04A0"/>
        <w:tblInd w:w="120" w:type="dxa"/>
      </w:tblPr>
      <w:tblGrid>
        <w:gridCol w:w="1944"/>
        <w:gridCol w:w="2592"/>
        <w:gridCol w:w="3240"/>
        <w:gridCol w:w="1584"/>
      </w:tblGrid>
      <w:tr>
        <w:trPr>
          <w:tblHeader w:val="true"/>
          <w:cantSplit/>
        </w:trPr>
        <w:tc>
          <w:tcPr>
            <w:tcW w:type="dxa" w:w="1944"/>
            <w:tcMar>
              <w:top w:w="80" w:type="dxa"/>
              <w:start w:w="120" w:type="dxa"/>
              <w:bottom w:w="80" w:type="dxa"/>
              <w:end w:w="120" w:type="dxa"/>
            </w:tcMar>
            <w:vAlign w:val="center"/>
            <w:shd w:fill="F2F4F7"/>
          </w:tcPr>
          <w:p>
            <w:pPr>
              <w:spacing w:before="0" w:after="0"/>
            </w:pPr>
            <w:r/>
            <w:r>
              <w:rPr>
                <w:rFonts w:ascii="Calibri" w:hAnsi="Calibri"/>
                <w:b/>
                <w:i w:val="0"/>
                <w:color w:val="17233F"/>
                <w:sz w:val="17"/>
              </w:rPr>
              <w:t>Addendum ID</w:t>
            </w:r>
          </w:p>
        </w:tc>
        <w:tc>
          <w:tcPr>
            <w:tcW w:type="dxa" w:w="2592"/>
            <w:tcMar>
              <w:top w:w="80" w:type="dxa"/>
              <w:start w:w="120" w:type="dxa"/>
              <w:bottom w:w="80" w:type="dxa"/>
              <w:end w:w="120" w:type="dxa"/>
            </w:tcMar>
            <w:vAlign w:val="center"/>
            <w:shd w:fill="F2F4F7"/>
          </w:tcPr>
          <w:p>
            <w:pPr>
              <w:spacing w:before="0" w:after="0"/>
            </w:pPr>
            <w:r/>
            <w:r>
              <w:rPr>
                <w:rFonts w:ascii="Calibri" w:hAnsi="Calibri"/>
                <w:b/>
                <w:i w:val="0"/>
                <w:color w:val="17233F"/>
                <w:sz w:val="17"/>
              </w:rPr>
              <w:t>Requirement</w:t>
            </w:r>
          </w:p>
        </w:tc>
        <w:tc>
          <w:tcPr>
            <w:tcW w:type="dxa" w:w="3240"/>
            <w:tcMar>
              <w:top w:w="80" w:type="dxa"/>
              <w:start w:w="120" w:type="dxa"/>
              <w:bottom w:w="80" w:type="dxa"/>
              <w:end w:w="120" w:type="dxa"/>
            </w:tcMar>
            <w:vAlign w:val="center"/>
            <w:shd w:fill="F2F4F7"/>
          </w:tcPr>
          <w:p>
            <w:pPr>
              <w:spacing w:before="0" w:after="0"/>
            </w:pPr>
            <w:r/>
            <w:r>
              <w:rPr>
                <w:rFonts w:ascii="Calibri" w:hAnsi="Calibri"/>
                <w:b/>
                <w:i w:val="0"/>
                <w:color w:val="17233F"/>
                <w:sz w:val="17"/>
              </w:rPr>
              <w:t>Acceptance condition</w:t>
            </w:r>
          </w:p>
        </w:tc>
        <w:tc>
          <w:tcPr>
            <w:tcW w:type="dxa" w:w="1584"/>
            <w:tcMar>
              <w:top w:w="80" w:type="dxa"/>
              <w:start w:w="120" w:type="dxa"/>
              <w:bottom w:w="80" w:type="dxa"/>
              <w:end w:w="120" w:type="dxa"/>
            </w:tcMar>
            <w:vAlign w:val="center"/>
            <w:shd w:fill="F2F4F7"/>
          </w:tcPr>
          <w:p>
            <w:pPr>
              <w:spacing w:before="0" w:after="0"/>
            </w:pPr>
            <w:r/>
            <w:r>
              <w:rPr>
                <w:rFonts w:ascii="Calibri" w:hAnsi="Calibri"/>
                <w:b/>
                <w:i w:val="0"/>
                <w:color w:val="17233F"/>
                <w:sz w:val="17"/>
              </w:rPr>
              <w:t>Disposition</w:t>
            </w:r>
          </w:p>
        </w:tc>
      </w:tr>
      <w:tr>
        <w:trPr>
          <w:cantSplit/>
        </w:trPr>
        <w:tc>
          <w:tcPr>
            <w:tcW w:type="dxa" w:w="1944"/>
            <w:tcMar>
              <w:top w:w="80" w:type="dxa"/>
              <w:start w:w="120" w:type="dxa"/>
              <w:bottom w:w="80" w:type="dxa"/>
              <w:end w:w="120" w:type="dxa"/>
            </w:tcMar>
            <w:vAlign w:val="center"/>
            <w:shd w:fill="FFFFFF"/>
          </w:tcPr>
          <w:p>
            <w:pPr>
              <w:spacing w:before="0" w:after="0"/>
            </w:pPr>
            <w:r/>
            <w:r>
              <w:rPr>
                <w:rFonts w:ascii="Calibri" w:hAnsi="Calibri"/>
                <w:b/>
                <w:i w:val="0"/>
                <w:color w:val="303846"/>
                <w:sz w:val="16"/>
              </w:rPr>
              <w:t>OSIEL-OD-001</w:t>
            </w:r>
          </w:p>
        </w:tc>
        <w:tc>
          <w:tcPr>
            <w:tcW w:type="dxa" w:w="259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The system shall accept disease, target, seed name/SMILES, optional PDB/UniProt identifiers, candidate limit, and connector mode.</w:t>
            </w:r>
          </w:p>
        </w:tc>
        <w:tc>
          <w:tcPr>
            <w:tcW w:type="dxa" w:w="324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Invalid identifiers and missing seed inputs return typed validation errors.</w:t>
            </w:r>
          </w:p>
        </w:tc>
        <w:tc>
          <w:tcPr>
            <w:tcW w:type="dxa" w:w="15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Implemented</w:t>
            </w:r>
          </w:p>
        </w:tc>
      </w:tr>
      <w:tr>
        <w:trPr>
          <w:cantSplit/>
        </w:trPr>
        <w:tc>
          <w:tcPr>
            <w:tcW w:type="dxa" w:w="1944"/>
            <w:tcMar>
              <w:top w:w="80" w:type="dxa"/>
              <w:start w:w="120" w:type="dxa"/>
              <w:bottom w:w="80" w:type="dxa"/>
              <w:end w:w="120" w:type="dxa"/>
            </w:tcMar>
            <w:vAlign w:val="center"/>
            <w:shd w:fill="FFFFFF"/>
          </w:tcPr>
          <w:p>
            <w:pPr>
              <w:spacing w:before="0" w:after="0"/>
            </w:pPr>
            <w:r/>
            <w:r>
              <w:rPr>
                <w:rFonts w:ascii="Calibri" w:hAnsi="Calibri"/>
                <w:b/>
                <w:i w:val="0"/>
                <w:color w:val="303846"/>
                <w:sz w:val="16"/>
              </w:rPr>
              <w:t>OSIEL-OD-002</w:t>
            </w:r>
          </w:p>
        </w:tc>
        <w:tc>
          <w:tcPr>
            <w:tcW w:type="dxa" w:w="259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Outbound public connectors shall be disabled by default and require both request and server-operator gates.</w:t>
            </w:r>
          </w:p>
        </w:tc>
        <w:tc>
          <w:tcPr>
            <w:tcW w:type="dxa" w:w="324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 xml:space="preserve">A client request cannot override </w:t>
            </w:r>
            <w:r>
              <w:rPr>
                <w:rFonts w:ascii="Consolas" w:hAnsi="Consolas"/>
                <w:b w:val="0"/>
                <w:i w:val="0"/>
                <w:color w:val="1F4D78"/>
                <w:sz w:val="16"/>
              </w:rPr>
              <w:t>OSIEL_PUBLIC_CONNECTORS_ENABLED=false</w:t>
            </w:r>
            <w:r>
              <w:rPr>
                <w:rFonts w:ascii="Calibri" w:hAnsi="Calibri"/>
                <w:b w:val="0"/>
                <w:i w:val="0"/>
                <w:color w:val="303846"/>
                <w:sz w:val="16"/>
              </w:rPr>
              <w:t>.</w:t>
            </w:r>
          </w:p>
        </w:tc>
        <w:tc>
          <w:tcPr>
            <w:tcW w:type="dxa" w:w="15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Implemented</w:t>
            </w:r>
          </w:p>
        </w:tc>
      </w:tr>
      <w:tr>
        <w:trPr>
          <w:cantSplit/>
        </w:trPr>
        <w:tc>
          <w:tcPr>
            <w:tcW w:type="dxa" w:w="1944"/>
            <w:tcMar>
              <w:top w:w="80" w:type="dxa"/>
              <w:start w:w="120" w:type="dxa"/>
              <w:bottom w:w="80" w:type="dxa"/>
              <w:end w:w="120" w:type="dxa"/>
            </w:tcMar>
            <w:vAlign w:val="center"/>
            <w:shd w:fill="FFFFFF"/>
          </w:tcPr>
          <w:p>
            <w:pPr>
              <w:spacing w:before="0" w:after="0"/>
            </w:pPr>
            <w:r/>
            <w:r>
              <w:rPr>
                <w:rFonts w:ascii="Calibri" w:hAnsi="Calibri"/>
                <w:b/>
                <w:i w:val="0"/>
                <w:color w:val="303846"/>
                <w:sz w:val="16"/>
              </w:rPr>
              <w:t>OSIEL-OD-003</w:t>
            </w:r>
          </w:p>
        </w:tc>
        <w:tc>
          <w:tcPr>
            <w:tcW w:type="dxa" w:w="259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Supported live retrieval shall use official Open Targets, PubChem, ChEMBL, RCSB, and AlphaFold interfaces.</w:t>
            </w:r>
          </w:p>
        </w:tc>
        <w:tc>
          <w:tcPr>
            <w:tcW w:type="dxa" w:w="324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Connector code records mode, URL, source record, status, retrieval time, and licence note.</w:t>
            </w:r>
          </w:p>
        </w:tc>
        <w:tc>
          <w:tcPr>
            <w:tcW w:type="dxa" w:w="15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Implemented</w:t>
            </w:r>
          </w:p>
        </w:tc>
      </w:tr>
      <w:tr>
        <w:trPr>
          <w:cantSplit/>
        </w:trPr>
        <w:tc>
          <w:tcPr>
            <w:tcW w:type="dxa" w:w="1944"/>
            <w:tcMar>
              <w:top w:w="80" w:type="dxa"/>
              <w:start w:w="120" w:type="dxa"/>
              <w:bottom w:w="80" w:type="dxa"/>
              <w:end w:w="120" w:type="dxa"/>
            </w:tcMar>
            <w:vAlign w:val="center"/>
            <w:shd w:fill="FFFFFF"/>
          </w:tcPr>
          <w:p>
            <w:pPr>
              <w:spacing w:before="0" w:after="0"/>
            </w:pPr>
            <w:r/>
            <w:r>
              <w:rPr>
                <w:rFonts w:ascii="Calibri" w:hAnsi="Calibri"/>
                <w:b/>
                <w:i w:val="0"/>
                <w:color w:val="303846"/>
                <w:sz w:val="16"/>
              </w:rPr>
              <w:t>OSIEL-OD-004</w:t>
            </w:r>
          </w:p>
        </w:tc>
        <w:tc>
          <w:tcPr>
            <w:tcW w:type="dxa" w:w="259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Shared/search services without an approved bulk contract shall not be crawled.</w:t>
            </w:r>
          </w:p>
        </w:tc>
        <w:tc>
          <w:tcPr>
            <w:tcW w:type="dxa" w:w="324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ZINC22 uses one bounded provider-side query with a 100-hit ceiling; Chemspace remains a hand-off. No bulk enumeration occurs.</w:t>
            </w:r>
          </w:p>
        </w:tc>
        <w:tc>
          <w:tcPr>
            <w:tcW w:type="dxa" w:w="15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Implemented</w:t>
            </w:r>
          </w:p>
        </w:tc>
      </w:tr>
      <w:tr>
        <w:trPr>
          <w:cantSplit/>
        </w:trPr>
        <w:tc>
          <w:tcPr>
            <w:tcW w:type="dxa" w:w="1944"/>
            <w:tcMar>
              <w:top w:w="80" w:type="dxa"/>
              <w:start w:w="120" w:type="dxa"/>
              <w:bottom w:w="80" w:type="dxa"/>
              <w:end w:w="120" w:type="dxa"/>
            </w:tcMar>
            <w:vAlign w:val="center"/>
            <w:shd w:fill="FFFFFF"/>
          </w:tcPr>
          <w:p>
            <w:pPr>
              <w:spacing w:before="0" w:after="0"/>
            </w:pPr>
            <w:r/>
            <w:r>
              <w:rPr>
                <w:rFonts w:ascii="Calibri" w:hAnsi="Calibri"/>
                <w:b/>
                <w:i w:val="0"/>
                <w:color w:val="303846"/>
                <w:sz w:val="16"/>
              </w:rPr>
              <w:t>OSIEL-OD-005</w:t>
            </w:r>
          </w:p>
        </w:tc>
        <w:tc>
          <w:tcPr>
            <w:tcW w:type="dxa" w:w="259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Candidate chemistry shall be computed locally with versioned RDKit standardization and fingerprints.</w:t>
            </w:r>
          </w:p>
        </w:tc>
        <w:tc>
          <w:tcPr>
            <w:tcW w:type="dxa" w:w="324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Canonical parent, InChIKey, descriptors, QED, similarity, and identity flags are returned.</w:t>
            </w:r>
          </w:p>
        </w:tc>
        <w:tc>
          <w:tcPr>
            <w:tcW w:type="dxa" w:w="15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Implemented</w:t>
            </w:r>
          </w:p>
        </w:tc>
      </w:tr>
      <w:tr>
        <w:trPr>
          <w:cantSplit/>
        </w:trPr>
        <w:tc>
          <w:tcPr>
            <w:tcW w:type="dxa" w:w="1944"/>
            <w:tcMar>
              <w:top w:w="80" w:type="dxa"/>
              <w:start w:w="120" w:type="dxa"/>
              <w:bottom w:w="80" w:type="dxa"/>
              <w:end w:w="120" w:type="dxa"/>
            </w:tcMar>
            <w:vAlign w:val="center"/>
            <w:shd w:fill="FFFFFF"/>
          </w:tcPr>
          <w:p>
            <w:pPr>
              <w:spacing w:before="0" w:after="0"/>
            </w:pPr>
            <w:r/>
            <w:r>
              <w:rPr>
                <w:rFonts w:ascii="Calibri" w:hAnsi="Calibri"/>
                <w:b/>
                <w:i w:val="0"/>
                <w:color w:val="303846"/>
                <w:sz w:val="16"/>
              </w:rPr>
              <w:t>OSIEL-OD-006</w:t>
            </w:r>
          </w:p>
        </w:tc>
        <w:tc>
          <w:tcPr>
            <w:tcW w:type="dxa" w:w="259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PAINS, Brenk, NIH, and Rule-of-Five matches shall be visible review flags, not silently destructive filters.</w:t>
            </w:r>
          </w:p>
        </w:tc>
        <w:tc>
          <w:tcPr>
            <w:tcW w:type="dxa" w:w="324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Each candidate retains named alert lists and a human-readable disposition reason.</w:t>
            </w:r>
          </w:p>
        </w:tc>
        <w:tc>
          <w:tcPr>
            <w:tcW w:type="dxa" w:w="15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Implemented</w:t>
            </w:r>
          </w:p>
        </w:tc>
      </w:tr>
      <w:tr>
        <w:trPr>
          <w:cantSplit/>
        </w:trPr>
        <w:tc>
          <w:tcPr>
            <w:tcW w:type="dxa" w:w="1944"/>
            <w:tcMar>
              <w:top w:w="80" w:type="dxa"/>
              <w:start w:w="120" w:type="dxa"/>
              <w:bottom w:w="80" w:type="dxa"/>
              <w:end w:w="120" w:type="dxa"/>
            </w:tcMar>
            <w:vAlign w:val="center"/>
            <w:shd w:fill="FFFFFF"/>
          </w:tcPr>
          <w:p>
            <w:pPr>
              <w:spacing w:before="0" w:after="0"/>
            </w:pPr>
            <w:r/>
            <w:r>
              <w:rPr>
                <w:rFonts w:ascii="Calibri" w:hAnsi="Calibri"/>
                <w:b/>
                <w:i w:val="0"/>
                <w:color w:val="303846"/>
                <w:sz w:val="16"/>
              </w:rPr>
              <w:t>OSIEL-OD-007</w:t>
            </w:r>
          </w:p>
        </w:tc>
        <w:tc>
          <w:tcPr>
            <w:tcW w:type="dxa" w:w="259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Candidate priority shall use a transparent, component-level chemistry heuristic and shall not be labelled activity, affinity, IC50, or probability of success.</w:t>
            </w:r>
          </w:p>
        </w:tc>
        <w:tc>
          <w:tcPr>
            <w:tcW w:type="dxa" w:w="324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Every weighted contribution and explanation is returned and bounded.</w:t>
            </w:r>
          </w:p>
        </w:tc>
        <w:tc>
          <w:tcPr>
            <w:tcW w:type="dxa" w:w="15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Implemented</w:t>
            </w:r>
          </w:p>
        </w:tc>
      </w:tr>
      <w:tr>
        <w:trPr>
          <w:cantSplit/>
        </w:trPr>
        <w:tc>
          <w:tcPr>
            <w:tcW w:type="dxa" w:w="1944"/>
            <w:tcMar>
              <w:top w:w="80" w:type="dxa"/>
              <w:start w:w="120" w:type="dxa"/>
              <w:bottom w:w="80" w:type="dxa"/>
              <w:end w:w="120" w:type="dxa"/>
            </w:tcMar>
            <w:vAlign w:val="center"/>
            <w:shd w:fill="FFFFFF"/>
          </w:tcPr>
          <w:p>
            <w:pPr>
              <w:spacing w:before="0" w:after="0"/>
            </w:pPr>
            <w:r/>
            <w:r>
              <w:rPr>
                <w:rFonts w:ascii="Calibri" w:hAnsi="Calibri"/>
                <w:b/>
                <w:i w:val="0"/>
                <w:color w:val="303846"/>
                <w:sz w:val="16"/>
              </w:rPr>
              <w:t>OSIEL-OD-008</w:t>
            </w:r>
          </w:p>
        </w:tc>
        <w:tc>
          <w:tcPr>
            <w:tcW w:type="dxa" w:w="259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Docking shall emit no score until a real qualified process completes.</w:t>
            </w:r>
          </w:p>
        </w:tc>
        <w:tc>
          <w:tcPr>
            <w:tcW w:type="dxa" w:w="324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 xml:space="preserve">Readiness emits null; the separate gated job endpoint returns scores only after </w:t>
            </w:r>
            <w:r>
              <w:rPr>
                <w:rFonts w:ascii="Consolas" w:hAnsi="Consolas"/>
                <w:b w:val="0"/>
                <w:i w:val="0"/>
                <w:color w:val="1F4D78"/>
                <w:sz w:val="16"/>
              </w:rPr>
              <w:t>vina==1.2.7</w:t>
            </w:r>
            <w:r>
              <w:rPr>
                <w:rFonts w:ascii="Calibri" w:hAnsi="Calibri"/>
                <w:b w:val="0"/>
                <w:i w:val="0"/>
                <w:color w:val="303846"/>
                <w:sz w:val="16"/>
              </w:rPr>
              <w:t xml:space="preserve"> completes with validated prepared PDBQT inputs and persists output/checksums.</w:t>
            </w:r>
          </w:p>
        </w:tc>
        <w:tc>
          <w:tcPr>
            <w:tcW w:type="dxa" w:w="15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Implemented execution contract</w:t>
            </w:r>
          </w:p>
        </w:tc>
      </w:tr>
      <w:tr>
        <w:trPr>
          <w:cantSplit/>
        </w:trPr>
        <w:tc>
          <w:tcPr>
            <w:tcW w:type="dxa" w:w="1944"/>
            <w:tcMar>
              <w:top w:w="80" w:type="dxa"/>
              <w:start w:w="120" w:type="dxa"/>
              <w:bottom w:w="80" w:type="dxa"/>
              <w:end w:w="120" w:type="dxa"/>
            </w:tcMar>
            <w:vAlign w:val="center"/>
            <w:shd w:fill="FFFFFF"/>
          </w:tcPr>
          <w:p>
            <w:pPr>
              <w:spacing w:before="0" w:after="0"/>
            </w:pPr>
            <w:r/>
            <w:r>
              <w:rPr>
                <w:rFonts w:ascii="Calibri" w:hAnsi="Calibri"/>
                <w:b/>
                <w:i w:val="0"/>
                <w:color w:val="303846"/>
                <w:sz w:val="16"/>
              </w:rPr>
              <w:t>OSIEL-OD-009</w:t>
            </w:r>
          </w:p>
        </w:tc>
        <w:tc>
          <w:tcPr>
            <w:tcW w:type="dxa" w:w="259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Scientists shall see an operational trace rather than hidden chain-of-thought.</w:t>
            </w:r>
          </w:p>
        </w:tc>
        <w:tc>
          <w:tcPr>
            <w:tcW w:type="dxa" w:w="324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Ten ordered stages show status, message, duration, metrics, and evidence IDs.</w:t>
            </w:r>
          </w:p>
        </w:tc>
        <w:tc>
          <w:tcPr>
            <w:tcW w:type="dxa" w:w="15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Implemented</w:t>
            </w:r>
          </w:p>
        </w:tc>
      </w:tr>
      <w:tr>
        <w:trPr>
          <w:cantSplit/>
        </w:trPr>
        <w:tc>
          <w:tcPr>
            <w:tcW w:type="dxa" w:w="1944"/>
            <w:tcMar>
              <w:top w:w="80" w:type="dxa"/>
              <w:start w:w="120" w:type="dxa"/>
              <w:bottom w:w="80" w:type="dxa"/>
              <w:end w:w="120" w:type="dxa"/>
            </w:tcMar>
            <w:vAlign w:val="center"/>
            <w:shd w:fill="FFFFFF"/>
          </w:tcPr>
          <w:p>
            <w:pPr>
              <w:spacing w:before="0" w:after="0"/>
            </w:pPr>
            <w:r/>
            <w:r>
              <w:rPr>
                <w:rFonts w:ascii="Calibri" w:hAnsi="Calibri"/>
                <w:b/>
                <w:i w:val="0"/>
                <w:color w:val="303846"/>
                <w:sz w:val="16"/>
              </w:rPr>
              <w:t>OSIEL-OD-010</w:t>
            </w:r>
          </w:p>
        </w:tc>
        <w:tc>
          <w:tcPr>
            <w:tcW w:type="dxa" w:w="259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Every run shall be persisted and audited, and end at a human review gate.</w:t>
            </w:r>
          </w:p>
        </w:tc>
        <w:tc>
          <w:tcPr>
            <w:tcW w:type="dxa" w:w="324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POST/GET round trip, audit record, E2E scenario, and no automatic procurement/lab execution.</w:t>
            </w:r>
          </w:p>
        </w:tc>
        <w:tc>
          <w:tcPr>
            <w:tcW w:type="dxa" w:w="15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Implemented reference</w:t>
            </w:r>
          </w:p>
        </w:tc>
      </w:tr>
      <w:tr>
        <w:trPr>
          <w:cantSplit/>
        </w:trPr>
        <w:tc>
          <w:tcPr>
            <w:tcW w:type="dxa" w:w="1944"/>
            <w:tcMar>
              <w:top w:w="80" w:type="dxa"/>
              <w:start w:w="120" w:type="dxa"/>
              <w:bottom w:w="80" w:type="dxa"/>
              <w:end w:w="120" w:type="dxa"/>
            </w:tcMar>
            <w:vAlign w:val="center"/>
            <w:shd w:fill="FFFFFF"/>
          </w:tcPr>
          <w:p>
            <w:pPr>
              <w:spacing w:before="0" w:after="0"/>
            </w:pPr>
            <w:r/>
            <w:r>
              <w:rPr>
                <w:rFonts w:ascii="Calibri" w:hAnsi="Calibri"/>
                <w:b/>
                <w:i w:val="0"/>
                <w:color w:val="303846"/>
                <w:sz w:val="16"/>
              </w:rPr>
              <w:t>OSIEL-OD-011</w:t>
            </w:r>
          </w:p>
        </w:tc>
        <w:tc>
          <w:tcPr>
            <w:tcW w:type="dxa" w:w="259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 multi-billion search claim shall be tied to provider-reported map metadata, not local row count.</w:t>
            </w:r>
          </w:p>
        </w:tc>
        <w:tc>
          <w:tcPr>
            <w:tcW w:type="dxa" w:w="324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 xml:space="preserve">The service verifies the configured </w:t>
            </w:r>
            <w:r>
              <w:rPr>
                <w:rFonts w:ascii="Consolas" w:hAnsi="Consolas"/>
                <w:b w:val="0"/>
                <w:i w:val="0"/>
                <w:color w:val="1F4D78"/>
                <w:sz w:val="16"/>
              </w:rPr>
              <w:t>/search/maps</w:t>
            </w:r>
            <w:r>
              <w:rPr>
                <w:rFonts w:ascii="Calibri" w:hAnsi="Calibri"/>
                <w:b w:val="0"/>
                <w:i w:val="0"/>
                <w:color w:val="303846"/>
                <w:sz w:val="16"/>
              </w:rPr>
              <w:t xml:space="preserve"> record, records index and mapped counts, sends one seed, imports at most 100 hits, and stores response SHA-256.</w:t>
            </w:r>
          </w:p>
        </w:tc>
        <w:tc>
          <w:tcPr>
            <w:tcW w:type="dxa" w:w="15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Implemented</w:t>
            </w:r>
          </w:p>
        </w:tc>
      </w:tr>
      <w:tr>
        <w:trPr>
          <w:cantSplit/>
        </w:trPr>
        <w:tc>
          <w:tcPr>
            <w:tcW w:type="dxa" w:w="1944"/>
            <w:tcMar>
              <w:top w:w="80" w:type="dxa"/>
              <w:start w:w="120" w:type="dxa"/>
              <w:bottom w:w="80" w:type="dxa"/>
              <w:end w:w="120" w:type="dxa"/>
            </w:tcMar>
            <w:vAlign w:val="center"/>
            <w:shd w:fill="FFFFFF"/>
          </w:tcPr>
          <w:p>
            <w:pPr>
              <w:spacing w:before="0" w:after="0"/>
            </w:pPr>
            <w:r/>
            <w:r>
              <w:rPr>
                <w:rFonts w:ascii="Calibri" w:hAnsi="Calibri"/>
                <w:b/>
                <w:i w:val="0"/>
                <w:color w:val="303846"/>
                <w:sz w:val="16"/>
              </w:rPr>
              <w:t>OSIEL-OD-012</w:t>
            </w:r>
          </w:p>
        </w:tc>
        <w:tc>
          <w:tcPr>
            <w:tcW w:type="dxa" w:w="259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Remote chemical-space hits shall be standardized and assessed locally before display.</w:t>
            </w:r>
          </w:p>
        </w:tc>
        <w:tc>
          <w:tcPr>
            <w:tcW w:type="dxa" w:w="324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Invalid structures are quarantined; parent identity is deduplicated; Morgan similarity, QED, Rule-of-Five and named alerts are returned.</w:t>
            </w:r>
          </w:p>
        </w:tc>
        <w:tc>
          <w:tcPr>
            <w:tcW w:type="dxa" w:w="15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Implemented</w:t>
            </w:r>
          </w:p>
        </w:tc>
      </w:tr>
      <w:tr>
        <w:trPr>
          <w:cantSplit/>
        </w:trPr>
        <w:tc>
          <w:tcPr>
            <w:tcW w:type="dxa" w:w="1944"/>
            <w:tcMar>
              <w:top w:w="80" w:type="dxa"/>
              <w:start w:w="120" w:type="dxa"/>
              <w:bottom w:w="80" w:type="dxa"/>
              <w:end w:w="120" w:type="dxa"/>
            </w:tcMar>
            <w:vAlign w:val="center"/>
            <w:shd w:fill="FFFFFF"/>
          </w:tcPr>
          <w:p>
            <w:pPr>
              <w:spacing w:before="0" w:after="0"/>
            </w:pPr>
            <w:r/>
            <w:r>
              <w:rPr>
                <w:rFonts w:ascii="Calibri" w:hAnsi="Calibri"/>
                <w:b/>
                <w:i w:val="0"/>
                <w:color w:val="303846"/>
                <w:sz w:val="16"/>
              </w:rPr>
              <w:t>OSIEL-OD-013</w:t>
            </w:r>
          </w:p>
        </w:tc>
        <w:tc>
          <w:tcPr>
            <w:tcW w:type="dxa" w:w="259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Long or external scientific operations shall expose genuine pending/failure states and shall never substitute fabricated results.</w:t>
            </w:r>
          </w:p>
        </w:tc>
        <w:tc>
          <w:tcPr>
            <w:tcW w:type="dxa" w:w="324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ZINC/Vina/frontend errors preserve the boundary; no embedded remote hit or docking score is generated.</w:t>
            </w:r>
          </w:p>
        </w:tc>
        <w:tc>
          <w:tcPr>
            <w:tcW w:type="dxa" w:w="15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Implemented</w:t>
            </w:r>
          </w:p>
        </w:tc>
      </w:tr>
      <w:tr>
        <w:trPr>
          <w:cantSplit/>
        </w:trPr>
        <w:tc>
          <w:tcPr>
            <w:tcW w:type="dxa" w:w="1944"/>
            <w:tcMar>
              <w:top w:w="80" w:type="dxa"/>
              <w:start w:w="120" w:type="dxa"/>
              <w:bottom w:w="80" w:type="dxa"/>
              <w:end w:w="120" w:type="dxa"/>
            </w:tcMar>
            <w:vAlign w:val="center"/>
            <w:shd w:fill="FFFFFF"/>
          </w:tcPr>
          <w:p>
            <w:pPr>
              <w:spacing w:before="0" w:after="0"/>
            </w:pPr>
            <w:r/>
            <w:r>
              <w:rPr>
                <w:rFonts w:ascii="Calibri" w:hAnsi="Calibri"/>
                <w:b/>
                <w:i w:val="0"/>
                <w:color w:val="303846"/>
                <w:sz w:val="16"/>
              </w:rPr>
              <w:t>OSIEL-OD-014</w:t>
            </w:r>
          </w:p>
        </w:tc>
        <w:tc>
          <w:tcPr>
            <w:tcW w:type="dxa" w:w="259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Optional local LLM prose shall be restricted to retrieved evidence and validated citations.</w:t>
            </w:r>
          </w:p>
        </w:tc>
        <w:tc>
          <w:tcPr>
            <w:tcW w:type="dxa" w:w="324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Operator gate, evidence-only system instruction, JSON schema, allowed-ID citation check, abstention, prompt-override/clinical screen and deterministic fallback are tested.</w:t>
            </w:r>
          </w:p>
        </w:tc>
        <w:tc>
          <w:tcPr>
            <w:tcW w:type="dxa" w:w="15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Implemented reference</w:t>
            </w:r>
          </w:p>
        </w:tc>
      </w:tr>
      <w:tr>
        <w:trPr>
          <w:cantSplit/>
        </w:trPr>
        <w:tc>
          <w:tcPr>
            <w:tcW w:type="dxa" w:w="1944"/>
            <w:tcMar>
              <w:top w:w="80" w:type="dxa"/>
              <w:start w:w="120" w:type="dxa"/>
              <w:bottom w:w="80" w:type="dxa"/>
              <w:end w:w="120" w:type="dxa"/>
            </w:tcMar>
            <w:vAlign w:val="center"/>
            <w:shd w:fill="FFFFFF"/>
          </w:tcPr>
          <w:p>
            <w:pPr>
              <w:spacing w:before="0" w:after="0"/>
            </w:pPr>
            <w:r/>
            <w:r>
              <w:rPr>
                <w:rFonts w:ascii="Calibri" w:hAnsi="Calibri"/>
                <w:b/>
                <w:i w:val="0"/>
                <w:color w:val="303846"/>
                <w:sz w:val="16"/>
              </w:rPr>
              <w:t>OSIEL-OD-015</w:t>
            </w:r>
          </w:p>
        </w:tc>
        <w:tc>
          <w:tcPr>
            <w:tcW w:type="dxa" w:w="259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LLM output shall not be represented as a scientific prediction or final experiment authorization.</w:t>
            </w:r>
          </w:p>
        </w:tc>
        <w:tc>
          <w:tcPr>
            <w:tcW w:type="dxa" w:w="324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Maximum model confidence is medium, warnings and sources are visible, and named supervisor review remains required.</w:t>
            </w:r>
          </w:p>
        </w:tc>
        <w:tc>
          <w:tcPr>
            <w:tcW w:type="dxa" w:w="15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Implemented reference</w:t>
            </w:r>
          </w:p>
        </w:tc>
      </w:tr>
    </w:tbl>
    <w:p>
      <w:pPr>
        <w:spacing w:after="0"/>
      </w:pPr>
    </w:p>
    <w:p>
      <w:r>
        <w:rPr>
          <w:rFonts w:ascii="Calibri" w:hAnsi="Calibri"/>
          <w:b w:val="0"/>
          <w:i w:val="0"/>
          <w:color w:val="222222"/>
          <w:sz w:val="22"/>
        </w:rPr>
        <w:t xml:space="preserve">The extension remains a public-source chemistry triage workflow. A real multi-billion structural query and real docking process do not turn it into a target-activity model or wet laboratory. It is not a substitute for proprietary phenomics, validated compound-protein interaction prediction, generative medicinal chemistry, robotic laboratory execution, or prospective experimental validation. The source-level design and Recursion capability/funding gap are maintained in </w:t>
      </w:r>
      <w:r>
        <w:rPr>
          <w:rFonts w:ascii="Consolas" w:hAnsi="Consolas"/>
          <w:b w:val="0"/>
          <w:i w:val="0"/>
          <w:color w:val="1F4D78"/>
          <w:sz w:val="20"/>
        </w:rPr>
        <w:t>docs/OPEN_DISCOVERY_WORKFLOW.md</w:t>
      </w:r>
      <w:r>
        <w:rPr>
          <w:rFonts w:ascii="Calibri" w:hAnsi="Calibri"/>
          <w:b w:val="0"/>
          <w:i w:val="0"/>
          <w:color w:val="222222"/>
          <w:sz w:val="22"/>
        </w:rPr>
        <w:t xml:space="preserve"> and </w:t>
      </w:r>
      <w:r>
        <w:rPr>
          <w:rFonts w:ascii="Consolas" w:hAnsi="Consolas"/>
          <w:b w:val="0"/>
          <w:i w:val="0"/>
          <w:color w:val="1F4D78"/>
          <w:sz w:val="20"/>
        </w:rPr>
        <w:t>docs/RECURSION_FREE_ALTERNATIVES_ROADMAP.md</w:t>
      </w:r>
      <w:r>
        <w:rPr>
          <w:rFonts w:ascii="Calibri" w:hAnsi="Calibri"/>
          <w:b w:val="0"/>
          <w:i w:val="0"/>
          <w:color w:val="222222"/>
          <w:sz w:val="22"/>
        </w:rPr>
        <w:t>.</w:t>
      </w:r>
    </w:p>
    <w:p>
      <w:pPr>
        <w:pStyle w:val="Heading2"/>
      </w:pPr>
      <w:r>
        <w:t>23.5 Model laboratory, active learning, and docking qualification addendum</w:t>
      </w:r>
    </w:p>
    <w:tbl>
      <w:tblPr>
        <w:tblStyle w:val="TableGrid"/>
        <w:tblW w:type="dxa" w:w="9360"/>
        <w:jc w:val="left"/>
        <w:tblLayout w:type="fixed"/>
        <w:tblLook w:firstColumn="1" w:firstRow="1" w:lastColumn="0" w:lastRow="0" w:noHBand="0" w:noVBand="1" w:val="04A0"/>
        <w:tblInd w:w="120" w:type="dxa"/>
      </w:tblPr>
      <w:tblGrid>
        <w:gridCol w:w="1944"/>
        <w:gridCol w:w="2592"/>
        <w:gridCol w:w="3240"/>
        <w:gridCol w:w="1584"/>
      </w:tblGrid>
      <w:tr>
        <w:trPr>
          <w:tblHeader w:val="true"/>
          <w:cantSplit/>
        </w:trPr>
        <w:tc>
          <w:tcPr>
            <w:tcW w:type="dxa" w:w="1944"/>
            <w:tcMar>
              <w:top w:w="80" w:type="dxa"/>
              <w:start w:w="120" w:type="dxa"/>
              <w:bottom w:w="80" w:type="dxa"/>
              <w:end w:w="120" w:type="dxa"/>
            </w:tcMar>
            <w:vAlign w:val="center"/>
            <w:shd w:fill="F2F4F7"/>
          </w:tcPr>
          <w:p>
            <w:pPr>
              <w:spacing w:before="0" w:after="0"/>
            </w:pPr>
            <w:r/>
            <w:r>
              <w:rPr>
                <w:rFonts w:ascii="Calibri" w:hAnsi="Calibri"/>
                <w:b/>
                <w:i w:val="0"/>
                <w:color w:val="17233F"/>
                <w:sz w:val="17"/>
              </w:rPr>
              <w:t>Addendum ID</w:t>
            </w:r>
          </w:p>
        </w:tc>
        <w:tc>
          <w:tcPr>
            <w:tcW w:type="dxa" w:w="2592"/>
            <w:tcMar>
              <w:top w:w="80" w:type="dxa"/>
              <w:start w:w="120" w:type="dxa"/>
              <w:bottom w:w="80" w:type="dxa"/>
              <w:end w:w="120" w:type="dxa"/>
            </w:tcMar>
            <w:vAlign w:val="center"/>
            <w:shd w:fill="F2F4F7"/>
          </w:tcPr>
          <w:p>
            <w:pPr>
              <w:spacing w:before="0" w:after="0"/>
            </w:pPr>
            <w:r/>
            <w:r>
              <w:rPr>
                <w:rFonts w:ascii="Calibri" w:hAnsi="Calibri"/>
                <w:b/>
                <w:i w:val="0"/>
                <w:color w:val="17233F"/>
                <w:sz w:val="17"/>
              </w:rPr>
              <w:t>Requirement</w:t>
            </w:r>
          </w:p>
        </w:tc>
        <w:tc>
          <w:tcPr>
            <w:tcW w:type="dxa" w:w="3240"/>
            <w:tcMar>
              <w:top w:w="80" w:type="dxa"/>
              <w:start w:w="120" w:type="dxa"/>
              <w:bottom w:w="80" w:type="dxa"/>
              <w:end w:w="120" w:type="dxa"/>
            </w:tcMar>
            <w:vAlign w:val="center"/>
            <w:shd w:fill="F2F4F7"/>
          </w:tcPr>
          <w:p>
            <w:pPr>
              <w:spacing w:before="0" w:after="0"/>
            </w:pPr>
            <w:r/>
            <w:r>
              <w:rPr>
                <w:rFonts w:ascii="Calibri" w:hAnsi="Calibri"/>
                <w:b/>
                <w:i w:val="0"/>
                <w:color w:val="17233F"/>
                <w:sz w:val="17"/>
              </w:rPr>
              <w:t>Acceptance condition</w:t>
            </w:r>
          </w:p>
        </w:tc>
        <w:tc>
          <w:tcPr>
            <w:tcW w:type="dxa" w:w="1584"/>
            <w:tcMar>
              <w:top w:w="80" w:type="dxa"/>
              <w:start w:w="120" w:type="dxa"/>
              <w:bottom w:w="80" w:type="dxa"/>
              <w:end w:w="120" w:type="dxa"/>
            </w:tcMar>
            <w:vAlign w:val="center"/>
            <w:shd w:fill="F2F4F7"/>
          </w:tcPr>
          <w:p>
            <w:pPr>
              <w:spacing w:before="0" w:after="0"/>
            </w:pPr>
            <w:r/>
            <w:r>
              <w:rPr>
                <w:rFonts w:ascii="Calibri" w:hAnsi="Calibri"/>
                <w:b/>
                <w:i w:val="0"/>
                <w:color w:val="17233F"/>
                <w:sz w:val="17"/>
              </w:rPr>
              <w:t>Disposition</w:t>
            </w:r>
          </w:p>
        </w:tc>
      </w:tr>
      <w:tr>
        <w:trPr>
          <w:cantSplit/>
        </w:trPr>
        <w:tc>
          <w:tcPr>
            <w:tcW w:type="dxa" w:w="1944"/>
            <w:tcMar>
              <w:top w:w="80" w:type="dxa"/>
              <w:start w:w="120" w:type="dxa"/>
              <w:bottom w:w="80" w:type="dxa"/>
              <w:end w:w="120" w:type="dxa"/>
            </w:tcMar>
            <w:vAlign w:val="center"/>
            <w:shd w:fill="FFFFFF"/>
          </w:tcPr>
          <w:p>
            <w:pPr>
              <w:spacing w:before="0" w:after="0"/>
            </w:pPr>
            <w:r/>
            <w:r>
              <w:rPr>
                <w:rFonts w:ascii="Calibri" w:hAnsi="Calibri"/>
                <w:b/>
                <w:i w:val="0"/>
                <w:color w:val="303846"/>
                <w:sz w:val="16"/>
              </w:rPr>
              <w:t>OSIEL-ML-001</w:t>
            </w:r>
          </w:p>
        </w:tc>
        <w:tc>
          <w:tcPr>
            <w:tcW w:type="dxa" w:w="259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Public activity retrieval shall be operator-gated, bounded and directed only at the official configured service.</w:t>
            </w:r>
          </w:p>
        </w:tc>
        <w:tc>
          <w:tcPr>
            <w:tcW w:type="dxa" w:w="3240"/>
            <w:tcMar>
              <w:top w:w="80" w:type="dxa"/>
              <w:start w:w="120" w:type="dxa"/>
              <w:bottom w:w="80" w:type="dxa"/>
              <w:end w:w="120" w:type="dxa"/>
            </w:tcMar>
            <w:vAlign w:val="center"/>
            <w:shd w:fill="FFFFFF"/>
          </w:tcPr>
          <w:p>
            <w:pPr>
              <w:spacing w:before="0" w:after="0"/>
            </w:pPr>
            <w:r/>
            <w:r>
              <w:rPr>
                <w:rFonts w:ascii="Consolas" w:hAnsi="Consolas"/>
                <w:b w:val="0"/>
                <w:i w:val="0"/>
                <w:color w:val="1F4D78"/>
                <w:sz w:val="16"/>
              </w:rPr>
              <w:t>OSIEL_MODEL_LAB_ENABLED=false</w:t>
            </w:r>
            <w:r>
              <w:rPr>
                <w:rFonts w:ascii="Calibri" w:hAnsi="Calibri"/>
                <w:b w:val="0"/>
                <w:i w:val="0"/>
                <w:color w:val="303846"/>
                <w:sz w:val="16"/>
              </w:rPr>
              <w:t xml:space="preserve"> returns 503; maximum source records are server-enforced; request URLs are retained.</w:t>
            </w:r>
          </w:p>
        </w:tc>
        <w:tc>
          <w:tcPr>
            <w:tcW w:type="dxa" w:w="15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Implemented</w:t>
            </w:r>
          </w:p>
        </w:tc>
      </w:tr>
      <w:tr>
        <w:trPr>
          <w:cantSplit/>
        </w:trPr>
        <w:tc>
          <w:tcPr>
            <w:tcW w:type="dxa" w:w="1944"/>
            <w:tcMar>
              <w:top w:w="80" w:type="dxa"/>
              <w:start w:w="120" w:type="dxa"/>
              <w:bottom w:w="80" w:type="dxa"/>
              <w:end w:w="120" w:type="dxa"/>
            </w:tcMar>
            <w:vAlign w:val="center"/>
            <w:shd w:fill="FFFFFF"/>
          </w:tcPr>
          <w:p>
            <w:pPr>
              <w:spacing w:before="0" w:after="0"/>
            </w:pPr>
            <w:r/>
            <w:r>
              <w:rPr>
                <w:rFonts w:ascii="Calibri" w:hAnsi="Calibri"/>
                <w:b/>
                <w:i w:val="0"/>
                <w:color w:val="303846"/>
                <w:sz w:val="16"/>
              </w:rPr>
              <w:t>OSIEL-ML-002</w:t>
            </w:r>
          </w:p>
        </w:tc>
        <w:tc>
          <w:tcPr>
            <w:tcW w:type="dxa" w:w="259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 dataset task shall freeze one target, target label, endpoint and assay type with separate active and inactive pChEMBL thresholds.</w:t>
            </w:r>
          </w:p>
        </w:tc>
        <w:tc>
          <w:tcPr>
            <w:tcW w:type="dxa" w:w="324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Inactive threshold must be below active threshold; the grey zone is counted and excluded.</w:t>
            </w:r>
          </w:p>
        </w:tc>
        <w:tc>
          <w:tcPr>
            <w:tcW w:type="dxa" w:w="15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Implemented</w:t>
            </w:r>
          </w:p>
        </w:tc>
      </w:tr>
      <w:tr>
        <w:trPr>
          <w:cantSplit/>
        </w:trPr>
        <w:tc>
          <w:tcPr>
            <w:tcW w:type="dxa" w:w="1944"/>
            <w:tcMar>
              <w:top w:w="80" w:type="dxa"/>
              <w:start w:w="120" w:type="dxa"/>
              <w:bottom w:w="80" w:type="dxa"/>
              <w:end w:w="120" w:type="dxa"/>
            </w:tcMar>
            <w:vAlign w:val="center"/>
            <w:shd w:fill="FFFFFF"/>
          </w:tcPr>
          <w:p>
            <w:pPr>
              <w:spacing w:before="0" w:after="0"/>
            </w:pPr>
            <w:r/>
            <w:r>
              <w:rPr>
                <w:rFonts w:ascii="Calibri" w:hAnsi="Calibri"/>
                <w:b/>
                <w:i w:val="0"/>
                <w:color w:val="303846"/>
                <w:sz w:val="16"/>
              </w:rPr>
              <w:t>OSIEL-ML-003</w:t>
            </w:r>
          </w:p>
        </w:tc>
        <w:tc>
          <w:tcPr>
            <w:tcW w:type="dxa" w:w="259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Exact source bytes and normalized model rows shall be independently content-addressed.</w:t>
            </w:r>
          </w:p>
        </w:tc>
        <w:tc>
          <w:tcPr>
            <w:tcW w:type="dxa" w:w="324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Both object URIs and SHA-256 values are returned and checksum-verified on read.</w:t>
            </w:r>
          </w:p>
        </w:tc>
        <w:tc>
          <w:tcPr>
            <w:tcW w:type="dxa" w:w="15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Implemented reference storage</w:t>
            </w:r>
          </w:p>
        </w:tc>
      </w:tr>
      <w:tr>
        <w:trPr>
          <w:cantSplit/>
        </w:trPr>
        <w:tc>
          <w:tcPr>
            <w:tcW w:type="dxa" w:w="1944"/>
            <w:tcMar>
              <w:top w:w="80" w:type="dxa"/>
              <w:start w:w="120" w:type="dxa"/>
              <w:bottom w:w="80" w:type="dxa"/>
              <w:end w:w="120" w:type="dxa"/>
            </w:tcMar>
            <w:vAlign w:val="center"/>
            <w:shd w:fill="FFFFFF"/>
          </w:tcPr>
          <w:p>
            <w:pPr>
              <w:spacing w:before="0" w:after="0"/>
            </w:pPr>
            <w:r/>
            <w:r>
              <w:rPr>
                <w:rFonts w:ascii="Calibri" w:hAnsi="Calibri"/>
                <w:b/>
                <w:i w:val="0"/>
                <w:color w:val="303846"/>
                <w:sz w:val="16"/>
              </w:rPr>
              <w:t>OSIEL-ML-004</w:t>
            </w:r>
          </w:p>
        </w:tc>
        <w:tc>
          <w:tcPr>
            <w:tcW w:type="dxa" w:w="259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Structure, relation, assay-confidence, duplicate and conflicting-label controls shall execute before training.</w:t>
            </w:r>
          </w:p>
        </w:tc>
        <w:tc>
          <w:tcPr>
            <w:tcW w:type="dxa" w:w="324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Invalid/non-exact rows are excluded; same-label duplicates aggregate by median; opposite labels for one parent are removed.</w:t>
            </w:r>
          </w:p>
        </w:tc>
        <w:tc>
          <w:tcPr>
            <w:tcW w:type="dxa" w:w="15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Implemented</w:t>
            </w:r>
          </w:p>
        </w:tc>
      </w:tr>
      <w:tr>
        <w:trPr>
          <w:cantSplit/>
        </w:trPr>
        <w:tc>
          <w:tcPr>
            <w:tcW w:type="dxa" w:w="1944"/>
            <w:tcMar>
              <w:top w:w="80" w:type="dxa"/>
              <w:start w:w="120" w:type="dxa"/>
              <w:bottom w:w="80" w:type="dxa"/>
              <w:end w:w="120" w:type="dxa"/>
            </w:tcMar>
            <w:vAlign w:val="center"/>
            <w:shd w:fill="FFFFFF"/>
          </w:tcPr>
          <w:p>
            <w:pPr>
              <w:spacing w:before="0" w:after="0"/>
            </w:pPr>
            <w:r/>
            <w:r>
              <w:rPr>
                <w:rFonts w:ascii="Calibri" w:hAnsi="Calibri"/>
                <w:b/>
                <w:i w:val="0"/>
                <w:color w:val="303846"/>
                <w:sz w:val="16"/>
              </w:rPr>
              <w:t>OSIEL-ML-005</w:t>
            </w:r>
          </w:p>
        </w:tc>
        <w:tc>
          <w:tcPr>
            <w:tcW w:type="dxa" w:w="259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Train, calibration and test rows shall be separated by Bemis–Murcko scaffold.</w:t>
            </w:r>
          </w:p>
        </w:tc>
        <w:tc>
          <w:tcPr>
            <w:tcW w:type="dxa" w:w="324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Each split contains both classes; scaffold overlap count is exactly zero or training fails.</w:t>
            </w:r>
          </w:p>
        </w:tc>
        <w:tc>
          <w:tcPr>
            <w:tcW w:type="dxa" w:w="15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Implemented</w:t>
            </w:r>
          </w:p>
        </w:tc>
      </w:tr>
      <w:tr>
        <w:trPr>
          <w:cantSplit/>
        </w:trPr>
        <w:tc>
          <w:tcPr>
            <w:tcW w:type="dxa" w:w="1944"/>
            <w:tcMar>
              <w:top w:w="80" w:type="dxa"/>
              <w:start w:w="120" w:type="dxa"/>
              <w:bottom w:w="80" w:type="dxa"/>
              <w:end w:w="120" w:type="dxa"/>
            </w:tcMar>
            <w:vAlign w:val="center"/>
            <w:shd w:fill="FFFFFF"/>
          </w:tcPr>
          <w:p>
            <w:pPr>
              <w:spacing w:before="0" w:after="0"/>
            </w:pPr>
            <w:r/>
            <w:r>
              <w:rPr>
                <w:rFonts w:ascii="Calibri" w:hAnsi="Calibri"/>
                <w:b/>
                <w:i w:val="0"/>
                <w:color w:val="303846"/>
                <w:sz w:val="16"/>
              </w:rPr>
              <w:t>OSIEL-ML-006</w:t>
            </w:r>
          </w:p>
        </w:tc>
        <w:tc>
          <w:tcPr>
            <w:tcW w:type="dxa" w:w="259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The first accepted model shall be a transparent baseline with separate calibration.</w:t>
            </w:r>
          </w:p>
        </w:tc>
        <w:tc>
          <w:tcPr>
            <w:tcW w:type="dxa" w:w="324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Class-balanced ECFP4 logistic regression trains only on train scaffolds; Platt scaling fits only on calibration scaffolds.</w:t>
            </w:r>
          </w:p>
        </w:tc>
        <w:tc>
          <w:tcPr>
            <w:tcW w:type="dxa" w:w="15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Implemented</w:t>
            </w:r>
          </w:p>
        </w:tc>
      </w:tr>
      <w:tr>
        <w:trPr>
          <w:cantSplit/>
        </w:trPr>
        <w:tc>
          <w:tcPr>
            <w:tcW w:type="dxa" w:w="1944"/>
            <w:tcMar>
              <w:top w:w="80" w:type="dxa"/>
              <w:start w:w="120" w:type="dxa"/>
              <w:bottom w:w="80" w:type="dxa"/>
              <w:end w:w="120" w:type="dxa"/>
            </w:tcMar>
            <w:vAlign w:val="center"/>
            <w:shd w:fill="FFFFFF"/>
          </w:tcPr>
          <w:p>
            <w:pPr>
              <w:spacing w:before="0" w:after="0"/>
            </w:pPr>
            <w:r/>
            <w:r>
              <w:rPr>
                <w:rFonts w:ascii="Calibri" w:hAnsi="Calibri"/>
                <w:b/>
                <w:i w:val="0"/>
                <w:color w:val="303846"/>
                <w:sz w:val="16"/>
              </w:rPr>
              <w:t>OSIEL-ML-007</w:t>
            </w:r>
          </w:p>
        </w:tc>
        <w:tc>
          <w:tcPr>
            <w:tcW w:type="dxa" w:w="259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Final metrics shall be calculated once on the frozen scaffold test split.</w:t>
            </w:r>
          </w:p>
        </w:tc>
        <w:tc>
          <w:tcPr>
            <w:tcW w:type="dxa" w:w="324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AUROC, average precision, balanced accuracy, sensitivity, specificity, Brier score, ECE, prevalence and count are persisted.</w:t>
            </w:r>
          </w:p>
        </w:tc>
        <w:tc>
          <w:tcPr>
            <w:tcW w:type="dxa" w:w="15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Implemented</w:t>
            </w:r>
          </w:p>
        </w:tc>
      </w:tr>
      <w:tr>
        <w:trPr>
          <w:cantSplit/>
        </w:trPr>
        <w:tc>
          <w:tcPr>
            <w:tcW w:type="dxa" w:w="1944"/>
            <w:tcMar>
              <w:top w:w="80" w:type="dxa"/>
              <w:start w:w="120" w:type="dxa"/>
              <w:bottom w:w="80" w:type="dxa"/>
              <w:end w:w="120" w:type="dxa"/>
            </w:tcMar>
            <w:vAlign w:val="center"/>
            <w:shd w:fill="FFFFFF"/>
          </w:tcPr>
          <w:p>
            <w:pPr>
              <w:spacing w:before="0" w:after="0"/>
            </w:pPr>
            <w:r/>
            <w:r>
              <w:rPr>
                <w:rFonts w:ascii="Calibri" w:hAnsi="Calibri"/>
                <w:b/>
                <w:i w:val="0"/>
                <w:color w:val="303846"/>
                <w:sz w:val="16"/>
              </w:rPr>
              <w:t>OSIEL-ML-008</w:t>
            </w:r>
          </w:p>
        </w:tc>
        <w:tc>
          <w:tcPr>
            <w:tcW w:type="dxa" w:w="259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Model inference shall expose confidence limitations and training-space proximity.</w:t>
            </w:r>
          </w:p>
        </w:tc>
        <w:tc>
          <w:tcPr>
            <w:tcW w:type="dxa" w:w="324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Each candidate returns probability, uncertainty, nearest-training similarity and inside/borderline/outside domain.</w:t>
            </w:r>
          </w:p>
        </w:tc>
        <w:tc>
          <w:tcPr>
            <w:tcW w:type="dxa" w:w="15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Implemented</w:t>
            </w:r>
          </w:p>
        </w:tc>
      </w:tr>
      <w:tr>
        <w:trPr>
          <w:cantSplit/>
        </w:trPr>
        <w:tc>
          <w:tcPr>
            <w:tcW w:type="dxa" w:w="1944"/>
            <w:tcMar>
              <w:top w:w="80" w:type="dxa"/>
              <w:start w:w="120" w:type="dxa"/>
              <w:bottom w:w="80" w:type="dxa"/>
              <w:end w:w="120" w:type="dxa"/>
            </w:tcMar>
            <w:vAlign w:val="center"/>
            <w:shd w:fill="FFFFFF"/>
          </w:tcPr>
          <w:p>
            <w:pPr>
              <w:spacing w:before="0" w:after="0"/>
            </w:pPr>
            <w:r/>
            <w:r>
              <w:rPr>
                <w:rFonts w:ascii="Calibri" w:hAnsi="Calibri"/>
                <w:b/>
                <w:i w:val="0"/>
                <w:color w:val="303846"/>
                <w:sz w:val="16"/>
              </w:rPr>
              <w:t>OSIEL-ML-009</w:t>
            </w:r>
          </w:p>
        </w:tc>
        <w:tc>
          <w:tcPr>
            <w:tcW w:type="dxa" w:w="259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Active learning shall balance information gain with chemical diversity.</w:t>
            </w:r>
          </w:p>
        </w:tc>
        <w:tc>
          <w:tcPr>
            <w:tcW w:type="dxa" w:w="324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Acquisition combines uncertainty, distance-to-training and QED, then applies a maximum pair-similarity selection rule.</w:t>
            </w:r>
          </w:p>
        </w:tc>
        <w:tc>
          <w:tcPr>
            <w:tcW w:type="dxa" w:w="15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Implemented reference</w:t>
            </w:r>
          </w:p>
        </w:tc>
      </w:tr>
      <w:tr>
        <w:trPr>
          <w:cantSplit/>
        </w:trPr>
        <w:tc>
          <w:tcPr>
            <w:tcW w:type="dxa" w:w="1944"/>
            <w:tcMar>
              <w:top w:w="80" w:type="dxa"/>
              <w:start w:w="120" w:type="dxa"/>
              <w:bottom w:w="80" w:type="dxa"/>
              <w:end w:w="120" w:type="dxa"/>
            </w:tcMar>
            <w:vAlign w:val="center"/>
            <w:shd w:fill="FFFFFF"/>
          </w:tcPr>
          <w:p>
            <w:pPr>
              <w:spacing w:before="0" w:after="0"/>
            </w:pPr>
            <w:r/>
            <w:r>
              <w:rPr>
                <w:rFonts w:ascii="Calibri" w:hAnsi="Calibri"/>
                <w:b/>
                <w:i w:val="0"/>
                <w:color w:val="303846"/>
                <w:sz w:val="16"/>
              </w:rPr>
              <w:t>OSIEL-ML-010</w:t>
            </w:r>
          </w:p>
        </w:tc>
        <w:tc>
          <w:tcPr>
            <w:tcW w:type="dxa" w:w="259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Active-learning output shall be a proposal only.</w:t>
            </w:r>
          </w:p>
        </w:tc>
        <w:tc>
          <w:tcPr>
            <w:tcW w:type="dxa" w:w="3240"/>
            <w:tcMar>
              <w:top w:w="80" w:type="dxa"/>
              <w:start w:w="120" w:type="dxa"/>
              <w:bottom w:w="80" w:type="dxa"/>
              <w:end w:w="120" w:type="dxa"/>
            </w:tcMar>
            <w:vAlign w:val="center"/>
            <w:shd w:fill="FFFFFF"/>
          </w:tcPr>
          <w:p>
            <w:pPr>
              <w:spacing w:before="0" w:after="0"/>
            </w:pPr>
            <w:r/>
            <w:r>
              <w:rPr>
                <w:rFonts w:ascii="Consolas" w:hAnsi="Consolas"/>
                <w:b w:val="0"/>
                <w:i w:val="0"/>
                <w:color w:val="1F4D78"/>
                <w:sz w:val="16"/>
              </w:rPr>
              <w:t>approval_required=true</w:t>
            </w:r>
            <w:r>
              <w:rPr>
                <w:rFonts w:ascii="Calibri" w:hAnsi="Calibri"/>
                <w:b w:val="0"/>
                <w:i w:val="0"/>
                <w:color w:val="303846"/>
                <w:sz w:val="16"/>
              </w:rPr>
              <w:t xml:space="preserve">, </w:t>
            </w:r>
            <w:r>
              <w:rPr>
                <w:rFonts w:ascii="Consolas" w:hAnsi="Consolas"/>
                <w:b w:val="0"/>
                <w:i w:val="0"/>
                <w:color w:val="1F4D78"/>
                <w:sz w:val="16"/>
              </w:rPr>
              <w:t>experiment_started=false</w:t>
            </w:r>
            <w:r>
              <w:rPr>
                <w:rFonts w:ascii="Calibri" w:hAnsi="Calibri"/>
                <w:b w:val="0"/>
                <w:i w:val="0"/>
                <w:color w:val="303846"/>
                <w:sz w:val="16"/>
              </w:rPr>
              <w:t>, and no order, assay or model mutation is invoked.</w:t>
            </w:r>
          </w:p>
        </w:tc>
        <w:tc>
          <w:tcPr>
            <w:tcW w:type="dxa" w:w="15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Implemented</w:t>
            </w:r>
          </w:p>
        </w:tc>
      </w:tr>
      <w:tr>
        <w:trPr>
          <w:cantSplit/>
        </w:trPr>
        <w:tc>
          <w:tcPr>
            <w:tcW w:type="dxa" w:w="1944"/>
            <w:tcMar>
              <w:top w:w="80" w:type="dxa"/>
              <w:start w:w="120" w:type="dxa"/>
              <w:bottom w:w="80" w:type="dxa"/>
              <w:end w:w="120" w:type="dxa"/>
            </w:tcMar>
            <w:vAlign w:val="center"/>
            <w:shd w:fill="FFFFFF"/>
          </w:tcPr>
          <w:p>
            <w:pPr>
              <w:spacing w:before="0" w:after="0"/>
            </w:pPr>
            <w:r/>
            <w:r>
              <w:rPr>
                <w:rFonts w:ascii="Calibri" w:hAnsi="Calibri"/>
                <w:b/>
                <w:i w:val="0"/>
                <w:color w:val="303846"/>
                <w:sz w:val="16"/>
              </w:rPr>
              <w:t>OSIEL-DBM-001</w:t>
            </w:r>
          </w:p>
        </w:tc>
        <w:tc>
          <w:tcPr>
            <w:tcW w:type="dxa" w:w="259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Completed Vina poses shall support a redocking pose-recovery check against the exact prepared reference ligand.</w:t>
            </w:r>
          </w:p>
        </w:tc>
        <w:tc>
          <w:tcPr>
            <w:tcW w:type="dxa" w:w="324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Compatible heavy atoms are Kabsch-aligned and per-pose RMSD plus best-pose pass/fail is persisted.</w:t>
            </w:r>
          </w:p>
        </w:tc>
        <w:tc>
          <w:tcPr>
            <w:tcW w:type="dxa" w:w="15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Implemented</w:t>
            </w:r>
          </w:p>
        </w:tc>
      </w:tr>
      <w:tr>
        <w:trPr>
          <w:cantSplit/>
        </w:trPr>
        <w:tc>
          <w:tcPr>
            <w:tcW w:type="dxa" w:w="1944"/>
            <w:tcMar>
              <w:top w:w="80" w:type="dxa"/>
              <w:start w:w="120" w:type="dxa"/>
              <w:bottom w:w="80" w:type="dxa"/>
              <w:end w:w="120" w:type="dxa"/>
            </w:tcMar>
            <w:vAlign w:val="center"/>
            <w:shd w:fill="FFFFFF"/>
          </w:tcPr>
          <w:p>
            <w:pPr>
              <w:spacing w:before="0" w:after="0"/>
            </w:pPr>
            <w:r/>
            <w:r>
              <w:rPr>
                <w:rFonts w:ascii="Calibri" w:hAnsi="Calibri"/>
                <w:b/>
                <w:i w:val="0"/>
                <w:color w:val="303846"/>
                <w:sz w:val="16"/>
              </w:rPr>
              <w:t>OSIEL-DBM-002</w:t>
            </w:r>
          </w:p>
        </w:tc>
        <w:tc>
          <w:tcPr>
            <w:tcW w:type="dxa" w:w="259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 single successful redocking check shall never qualify affinity scoring.</w:t>
            </w:r>
          </w:p>
        </w:tc>
        <w:tc>
          <w:tcPr>
            <w:tcW w:type="dxa" w:w="3240"/>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 xml:space="preserve">Every benchmark returns </w:t>
            </w:r>
            <w:r>
              <w:rPr>
                <w:rFonts w:ascii="Consolas" w:hAnsi="Consolas"/>
                <w:b w:val="0"/>
                <w:i w:val="0"/>
                <w:color w:val="1F4D78"/>
                <w:sz w:val="16"/>
              </w:rPr>
              <w:t>scoring_qualified=false</w:t>
            </w:r>
            <w:r>
              <w:rPr>
                <w:rFonts w:ascii="Calibri" w:hAnsi="Calibri"/>
                <w:b w:val="0"/>
                <w:i w:val="0"/>
                <w:color w:val="303846"/>
                <w:sz w:val="16"/>
              </w:rPr>
              <w:t xml:space="preserve"> and the multi-complex/enrichment limitation.</w:t>
            </w:r>
          </w:p>
        </w:tc>
        <w:tc>
          <w:tcPr>
            <w:tcW w:type="dxa" w:w="1584"/>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Implemented</w:t>
            </w:r>
          </w:p>
        </w:tc>
      </w:tr>
    </w:tbl>
    <w:p>
      <w:pPr>
        <w:spacing w:after="0"/>
      </w:pPr>
    </w:p>
    <w:p>
      <w:r>
        <w:rPr>
          <w:rFonts w:ascii="Calibri" w:hAnsi="Calibri"/>
          <w:b w:val="0"/>
          <w:i w:val="0"/>
          <w:color w:val="222222"/>
          <w:sz w:val="22"/>
        </w:rPr>
        <w:t xml:space="preserve">The bounded model-lab baseline is scientifically more credible than the deterministic cockpit scorer, but it remains a research hypothesis generator. Promotion requires a faculty-approved inclusion protocol, a locked external dataset, independent reproduction, prospective assays, a signed model card and institutional acceptance. Detailed operation is in </w:t>
      </w:r>
      <w:r>
        <w:rPr>
          <w:rFonts w:ascii="Consolas" w:hAnsi="Consolas"/>
          <w:b w:val="0"/>
          <w:i w:val="0"/>
          <w:color w:val="1F4D78"/>
          <w:sz w:val="20"/>
        </w:rPr>
        <w:t>docs/MODEL_LAB_AND_ACTIVE_LEARNING.md</w:t>
      </w:r>
      <w:r>
        <w:rPr>
          <w:rFonts w:ascii="Calibri" w:hAnsi="Calibri"/>
          <w:b w:val="0"/>
          <w:i w:val="0"/>
          <w:color w:val="222222"/>
          <w:sz w:val="22"/>
        </w:rPr>
        <w:t>.</w:t>
      </w:r>
    </w:p>
    <w:p>
      <w:pPr>
        <w:pStyle w:val="Heading1"/>
      </w:pPr>
      <w:r>
        <w:t>24. Risks and controls</w:t>
      </w:r>
    </w:p>
    <w:tbl>
      <w:tblPr>
        <w:tblStyle w:val="TableGrid"/>
        <w:tblW w:type="dxa" w:w="9360"/>
        <w:jc w:val="left"/>
        <w:tblLayout w:type="fixed"/>
        <w:tblLook w:firstColumn="1" w:firstRow="1" w:lastColumn="0" w:lastRow="0" w:noHBand="0" w:noVBand="1" w:val="04A0"/>
        <w:tblInd w:w="120" w:type="dxa"/>
      </w:tblPr>
      <w:tblGrid>
        <w:gridCol w:w="2232"/>
        <w:gridCol w:w="5256"/>
        <w:gridCol w:w="1872"/>
      </w:tblGrid>
      <w:tr>
        <w:trPr>
          <w:tblHeader w:val="true"/>
          <w:cantSplit/>
        </w:trPr>
        <w:tc>
          <w:tcPr>
            <w:tcW w:type="dxa" w:w="2232"/>
            <w:tcMar>
              <w:top w:w="80" w:type="dxa"/>
              <w:start w:w="120" w:type="dxa"/>
              <w:bottom w:w="80" w:type="dxa"/>
              <w:end w:w="120" w:type="dxa"/>
            </w:tcMar>
            <w:vAlign w:val="center"/>
            <w:shd w:fill="F2F4F7"/>
          </w:tcPr>
          <w:p>
            <w:pPr>
              <w:spacing w:before="0" w:after="0"/>
            </w:pPr>
            <w:r/>
            <w:r>
              <w:rPr>
                <w:rFonts w:ascii="Calibri" w:hAnsi="Calibri"/>
                <w:b/>
                <w:i w:val="0"/>
                <w:color w:val="17233F"/>
                <w:sz w:val="17"/>
              </w:rPr>
              <w:t>Risk</w:t>
            </w:r>
          </w:p>
        </w:tc>
        <w:tc>
          <w:tcPr>
            <w:tcW w:type="dxa" w:w="5256"/>
            <w:tcMar>
              <w:top w:w="80" w:type="dxa"/>
              <w:start w:w="120" w:type="dxa"/>
              <w:bottom w:w="80" w:type="dxa"/>
              <w:end w:w="120" w:type="dxa"/>
            </w:tcMar>
            <w:vAlign w:val="center"/>
            <w:shd w:fill="F2F4F7"/>
          </w:tcPr>
          <w:p>
            <w:pPr>
              <w:spacing w:before="0" w:after="0"/>
            </w:pPr>
            <w:r/>
            <w:r>
              <w:rPr>
                <w:rFonts w:ascii="Calibri" w:hAnsi="Calibri"/>
                <w:b/>
                <w:i w:val="0"/>
                <w:color w:val="17233F"/>
                <w:sz w:val="17"/>
              </w:rPr>
              <w:t>Consequence</w:t>
            </w:r>
          </w:p>
        </w:tc>
        <w:tc>
          <w:tcPr>
            <w:tcW w:type="dxa" w:w="1872"/>
            <w:tcMar>
              <w:top w:w="80" w:type="dxa"/>
              <w:start w:w="120" w:type="dxa"/>
              <w:bottom w:w="80" w:type="dxa"/>
              <w:end w:w="120" w:type="dxa"/>
            </w:tcMar>
            <w:vAlign w:val="center"/>
            <w:shd w:fill="F2F4F7"/>
          </w:tcPr>
          <w:p>
            <w:pPr>
              <w:spacing w:before="0" w:after="0"/>
            </w:pPr>
            <w:r/>
            <w:r>
              <w:rPr>
                <w:rFonts w:ascii="Calibri" w:hAnsi="Calibri"/>
                <w:b/>
                <w:i w:val="0"/>
                <w:color w:val="17233F"/>
                <w:sz w:val="17"/>
              </w:rPr>
              <w:t>Control</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Endpoint conflation</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Invalid labels and misleading performance</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Governed endpoint dictionary and separate tasks</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Duplicate/analog leakage</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Inflated model metrics</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Identity tiers, scaffold/group splits, leakage audit</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Source licence breach</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Legal and redistribution exposure</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Source registry, manifest approval, export policy</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Missing assay context</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Non-comparable measurements</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Minimum context eligibility and quarantine</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Domain extrapolation</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Confident wrong predictions</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Applicability domain and uncertainty penalty</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One-score bias</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Hidden trade-offs</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Component view, Pareto fronts, adjustable policy</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Simulated evidence confusion</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False efficacy interpretation</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simulation_only flag and training prohibition</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Automatic model replacement</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Uncontrolled scientific change</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Offline challenger and named promotion gate</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Assistant hallucination</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Unsupported research claims</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Evidence-bound response, missing-information list</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Cross-tenant exposure</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Confidentiality breach</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OIDC, RBAC, RLS, scoped object references</w:t>
            </w:r>
          </w:p>
        </w:tc>
      </w:tr>
      <w:tr>
        <w:trPr>
          <w:cantSplit/>
        </w:trPr>
        <w:tc>
          <w:tcPr>
            <w:tcW w:type="dxa" w:w="2232"/>
            <w:tcMar>
              <w:top w:w="80" w:type="dxa"/>
              <w:start w:w="120" w:type="dxa"/>
              <w:bottom w:w="80" w:type="dxa"/>
              <w:end w:w="120" w:type="dxa"/>
            </w:tcMar>
            <w:vAlign w:val="center"/>
            <w:shd w:fill="FFFFFF"/>
          </w:tcPr>
          <w:p>
            <w:pPr>
              <w:spacing w:before="0" w:after="0"/>
            </w:pPr>
            <w:r/>
            <w:r>
              <w:rPr>
                <w:rFonts w:ascii="Calibri" w:hAnsi="Calibri"/>
                <w:b/>
                <w:i w:val="0"/>
                <w:color w:val="303846"/>
                <w:sz w:val="16"/>
              </w:rPr>
              <w:t>Premature architecture complexity</w:t>
            </w:r>
          </w:p>
        </w:tc>
        <w:tc>
          <w:tcPr>
            <w:tcW w:type="dxa" w:w="5256"/>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Slow delivery and fragile operations</w:t>
            </w:r>
          </w:p>
        </w:tc>
        <w:tc>
          <w:tcPr>
            <w:tcW w:type="dxa" w:w="1872"/>
            <w:tcMar>
              <w:top w:w="80" w:type="dxa"/>
              <w:start w:w="120" w:type="dxa"/>
              <w:bottom w:w="80" w:type="dxa"/>
              <w:end w:w="120" w:type="dxa"/>
            </w:tcMar>
            <w:vAlign w:val="center"/>
            <w:shd w:fill="FFFFFF"/>
          </w:tcPr>
          <w:p>
            <w:pPr>
              <w:spacing w:before="0" w:after="0"/>
            </w:pPr>
            <w:r/>
            <w:r>
              <w:rPr>
                <w:rFonts w:ascii="Calibri" w:hAnsi="Calibri"/>
                <w:b w:val="0"/>
                <w:i w:val="0"/>
                <w:color w:val="303846"/>
                <w:sz w:val="16"/>
              </w:rPr>
              <w:t>Modular monolith first; extract by proven need</w:t>
            </w:r>
          </w:p>
        </w:tc>
      </w:tr>
    </w:tbl>
    <w:p>
      <w:pPr>
        <w:spacing w:after="0"/>
      </w:pPr>
    </w:p>
    <w:p>
      <w:pPr>
        <w:pStyle w:val="Heading1"/>
      </w:pPr>
      <w:r>
        <w:t>25. Definition of done for Phase 1</w:t>
      </w:r>
    </w:p>
    <w:p>
      <w:r>
        <w:rPr>
          <w:rFonts w:ascii="Calibri" w:hAnsi="Calibri"/>
          <w:b w:val="0"/>
          <w:i w:val="0"/>
          <w:color w:val="222222"/>
          <w:sz w:val="22"/>
        </w:rPr>
        <w:t>Phase 1 is complete only when:</w:t>
      </w:r>
    </w:p>
    <w:p>
      <w:pPr>
        <w:pStyle w:val="ListBullet"/>
      </w:pPr>
      <w:r>
        <w:rPr>
          <w:rFonts w:ascii="Calibri" w:hAnsi="Calibri"/>
          <w:b w:val="0"/>
          <w:i w:val="0"/>
          <w:color w:val="222222"/>
          <w:sz w:val="22"/>
        </w:rPr>
        <w:t>all 67 frozen core requirements and every versioned addendum have an owner, test, and implementation disposition;</w:t>
      </w:r>
    </w:p>
    <w:p>
      <w:pPr>
        <w:pStyle w:val="ListBullet"/>
      </w:pPr>
      <w:r>
        <w:rPr>
          <w:rFonts w:ascii="Calibri" w:hAnsi="Calibri"/>
          <w:b w:val="0"/>
          <w:i w:val="0"/>
          <w:color w:val="222222"/>
          <w:sz w:val="22"/>
        </w:rPr>
        <w:t>at least one approved oncology task has curated, licensed, traceable data;</w:t>
      </w:r>
    </w:p>
    <w:p>
      <w:pPr>
        <w:pStyle w:val="ListBullet"/>
      </w:pPr>
      <w:r>
        <w:rPr>
          <w:rFonts w:ascii="Calibri" w:hAnsi="Calibri"/>
          <w:b w:val="0"/>
          <w:i w:val="0"/>
          <w:color w:val="222222"/>
          <w:sz w:val="22"/>
        </w:rPr>
        <w:t>baseline and graph models are compared on the same leakage-safe split;</w:t>
      </w:r>
    </w:p>
    <w:p>
      <w:pPr>
        <w:pStyle w:val="ListBullet"/>
      </w:pPr>
      <w:r>
        <w:rPr>
          <w:rFonts w:ascii="Calibri" w:hAnsi="Calibri"/>
          <w:b w:val="0"/>
          <w:i w:val="0"/>
          <w:color w:val="222222"/>
          <w:sz w:val="22"/>
        </w:rPr>
        <w:t>predictions show uncertainty, calibration, domain, analogs, evidence, and versions;</w:t>
      </w:r>
    </w:p>
    <w:p>
      <w:pPr>
        <w:pStyle w:val="ListBullet"/>
      </w:pPr>
      <w:r>
        <w:rPr>
          <w:rFonts w:ascii="Calibri" w:hAnsi="Calibri"/>
          <w:b w:val="0"/>
          <w:i w:val="0"/>
          <w:color w:val="222222"/>
          <w:sz w:val="22"/>
        </w:rPr>
        <w:t>ranking is transparent and produces a diverse, reviewable shortlist;</w:t>
      </w:r>
    </w:p>
    <w:p>
      <w:pPr>
        <w:pStyle w:val="ListBullet"/>
      </w:pPr>
      <w:r>
        <w:rPr>
          <w:rFonts w:ascii="Calibri" w:hAnsi="Calibri"/>
          <w:b w:val="0"/>
          <w:i w:val="0"/>
          <w:color w:val="222222"/>
          <w:sz w:val="22"/>
        </w:rPr>
        <w:t>real laboratory results can be ingested with raw provenance, QC, and named approval;</w:t>
      </w:r>
    </w:p>
    <w:p>
      <w:pPr>
        <w:pStyle w:val="ListBullet"/>
      </w:pPr>
      <w:r>
        <w:rPr>
          <w:rFonts w:ascii="Calibri" w:hAnsi="Calibri"/>
          <w:b w:val="0"/>
          <w:i w:val="0"/>
          <w:color w:val="222222"/>
          <w:sz w:val="22"/>
        </w:rPr>
        <w:t>approved results can create an immutable snapshot without automatic training;</w:t>
      </w:r>
    </w:p>
    <w:p>
      <w:pPr>
        <w:pStyle w:val="ListBullet"/>
      </w:pPr>
      <w:r>
        <w:rPr>
          <w:rFonts w:ascii="Calibri" w:hAnsi="Calibri"/>
          <w:b w:val="0"/>
          <w:i w:val="0"/>
          <w:color w:val="222222"/>
          <w:sz w:val="22"/>
        </w:rPr>
        <w:t>an independently evaluated challenger can be promoted and rolled back;</w:t>
      </w:r>
    </w:p>
    <w:p>
      <w:pPr>
        <w:pStyle w:val="ListBullet"/>
      </w:pPr>
      <w:r>
        <w:rPr>
          <w:rFonts w:ascii="Calibri" w:hAnsi="Calibri"/>
          <w:b w:val="0"/>
          <w:i w:val="0"/>
          <w:color w:val="222222"/>
          <w:sz w:val="22"/>
        </w:rPr>
        <w:t>frontend, API, data, model, security, and operations acceptance gates pass;</w:t>
      </w:r>
    </w:p>
    <w:p>
      <w:pPr>
        <w:pStyle w:val="ListBullet"/>
      </w:pPr>
      <w:r>
        <w:rPr>
          <w:rFonts w:ascii="Calibri" w:hAnsi="Calibri"/>
          <w:b w:val="0"/>
          <w:i w:val="0"/>
          <w:color w:val="222222"/>
          <w:sz w:val="22"/>
        </w:rPr>
        <w:t>research-use and simulation claim boundaries are verified in every surface.</w:t>
      </w:r>
    </w:p>
    <w:p>
      <w:pPr>
        <w:pStyle w:val="Heading1"/>
      </w:pPr>
      <w:r>
        <w:t>Appendix A — Official technical references</w:t>
      </w:r>
    </w:p>
    <w:p>
      <w:pPr>
        <w:pStyle w:val="ListBullet"/>
      </w:pPr>
      <w:r>
        <w:rPr>
          <w:rFonts w:ascii="Calibri" w:hAnsi="Calibri"/>
          <w:b w:val="0"/>
          <w:i w:val="0"/>
          <w:color w:val="222222"/>
          <w:sz w:val="22"/>
        </w:rPr>
        <w:t xml:space="preserve">RDKit: </w:t>
      </w:r>
      <w:r>
        <w:rPr>
          <w:rFonts w:ascii="Calibri" w:hAnsi="Calibri"/>
          <w:b w:val="0"/>
          <w:i w:val="0"/>
          <w:color w:val="222222"/>
          <w:sz w:val="22"/>
        </w:rPr>
        <w:t>https://github.com/rdkit/rdkit</w:t>
      </w:r>
    </w:p>
    <w:p>
      <w:pPr>
        <w:pStyle w:val="ListBullet"/>
      </w:pPr>
      <w:r>
        <w:rPr>
          <w:rFonts w:ascii="Calibri" w:hAnsi="Calibri"/>
          <w:b w:val="0"/>
          <w:i w:val="0"/>
          <w:color w:val="222222"/>
          <w:sz w:val="22"/>
        </w:rPr>
        <w:t xml:space="preserve">Datamol: </w:t>
      </w:r>
      <w:r>
        <w:rPr>
          <w:rFonts w:ascii="Calibri" w:hAnsi="Calibri"/>
          <w:b w:val="0"/>
          <w:i w:val="0"/>
          <w:color w:val="222222"/>
          <w:sz w:val="22"/>
        </w:rPr>
        <w:t>https://github.com/datamol-io/datamol</w:t>
      </w:r>
    </w:p>
    <w:p>
      <w:pPr>
        <w:pStyle w:val="ListBullet"/>
      </w:pPr>
      <w:r>
        <w:rPr>
          <w:rFonts w:ascii="Calibri" w:hAnsi="Calibri"/>
          <w:b w:val="0"/>
          <w:i w:val="0"/>
          <w:color w:val="222222"/>
          <w:sz w:val="22"/>
        </w:rPr>
        <w:t xml:space="preserve">Chemprop: </w:t>
      </w:r>
      <w:r>
        <w:rPr>
          <w:rFonts w:ascii="Calibri" w:hAnsi="Calibri"/>
          <w:b w:val="0"/>
          <w:i w:val="0"/>
          <w:color w:val="222222"/>
          <w:sz w:val="22"/>
        </w:rPr>
        <w:t>https://github.com/chemprop/chemprop</w:t>
      </w:r>
    </w:p>
    <w:p>
      <w:pPr>
        <w:pStyle w:val="ListBullet"/>
      </w:pPr>
      <w:r>
        <w:rPr>
          <w:rFonts w:ascii="Calibri" w:hAnsi="Calibri"/>
          <w:b w:val="0"/>
          <w:i w:val="0"/>
          <w:color w:val="222222"/>
          <w:sz w:val="22"/>
        </w:rPr>
        <w:t xml:space="preserve">ADMET-AI: </w:t>
      </w:r>
      <w:r>
        <w:rPr>
          <w:rFonts w:ascii="Calibri" w:hAnsi="Calibri"/>
          <w:b w:val="0"/>
          <w:i w:val="0"/>
          <w:color w:val="222222"/>
          <w:sz w:val="22"/>
        </w:rPr>
        <w:t>https://github.com/swansonk14/admet_ai</w:t>
      </w:r>
    </w:p>
    <w:p>
      <w:pPr>
        <w:pStyle w:val="ListBullet"/>
      </w:pPr>
      <w:r>
        <w:rPr>
          <w:rFonts w:ascii="Calibri" w:hAnsi="Calibri"/>
          <w:b w:val="0"/>
          <w:i w:val="0"/>
          <w:color w:val="222222"/>
          <w:sz w:val="22"/>
        </w:rPr>
        <w:t xml:space="preserve">Therapeutics Data Commons: </w:t>
      </w:r>
      <w:r>
        <w:rPr>
          <w:rFonts w:ascii="Calibri" w:hAnsi="Calibri"/>
          <w:b w:val="0"/>
          <w:i w:val="0"/>
          <w:color w:val="222222"/>
          <w:sz w:val="22"/>
        </w:rPr>
        <w:t>https://github.com/mims-harvard/TDC</w:t>
      </w:r>
    </w:p>
    <w:p>
      <w:pPr>
        <w:pStyle w:val="ListBullet"/>
      </w:pPr>
      <w:r>
        <w:rPr>
          <w:rFonts w:ascii="Calibri" w:hAnsi="Calibri"/>
          <w:b w:val="0"/>
          <w:i w:val="0"/>
          <w:color w:val="222222"/>
          <w:sz w:val="22"/>
        </w:rPr>
        <w:t xml:space="preserve">PubChem PUG REST: </w:t>
      </w:r>
      <w:r>
        <w:rPr>
          <w:rFonts w:ascii="Calibri" w:hAnsi="Calibri"/>
          <w:b w:val="0"/>
          <w:i w:val="0"/>
          <w:color w:val="222222"/>
          <w:sz w:val="22"/>
        </w:rPr>
        <w:t>https://pubchem.ncbi.nlm.nih.gov/docs/pug-rest</w:t>
      </w:r>
    </w:p>
    <w:p>
      <w:pPr>
        <w:pStyle w:val="ListBullet"/>
      </w:pPr>
      <w:r>
        <w:rPr>
          <w:rFonts w:ascii="Calibri" w:hAnsi="Calibri"/>
          <w:b w:val="0"/>
          <w:i w:val="0"/>
          <w:color w:val="222222"/>
          <w:sz w:val="22"/>
        </w:rPr>
        <w:t xml:space="preserve">ChEMBL API: </w:t>
      </w:r>
      <w:r>
        <w:rPr>
          <w:rFonts w:ascii="Calibri" w:hAnsi="Calibri"/>
          <w:b w:val="0"/>
          <w:i w:val="0"/>
          <w:color w:val="222222"/>
          <w:sz w:val="22"/>
        </w:rPr>
        <w:t>https://www.ebi.ac.uk/chembl/api/data/docs</w:t>
      </w:r>
    </w:p>
    <w:p>
      <w:pPr>
        <w:pStyle w:val="ListBullet"/>
      </w:pPr>
      <w:r>
        <w:rPr>
          <w:rFonts w:ascii="Calibri" w:hAnsi="Calibri"/>
          <w:b w:val="0"/>
          <w:i w:val="0"/>
          <w:color w:val="222222"/>
          <w:sz w:val="22"/>
        </w:rPr>
        <w:t xml:space="preserve">ZINC-22: </w:t>
      </w:r>
      <w:r>
        <w:rPr>
          <w:rFonts w:ascii="Calibri" w:hAnsi="Calibri"/>
          <w:b w:val="0"/>
          <w:i w:val="0"/>
          <w:color w:val="222222"/>
          <w:sz w:val="22"/>
        </w:rPr>
        <w:t>https://doi.org/10.1021/acs.jcim.2c01253</w:t>
      </w:r>
    </w:p>
    <w:p>
      <w:pPr>
        <w:pStyle w:val="ListBullet"/>
      </w:pPr>
      <w:r>
        <w:rPr>
          <w:rFonts w:ascii="Calibri" w:hAnsi="Calibri"/>
          <w:b w:val="0"/>
          <w:i w:val="0"/>
          <w:color w:val="222222"/>
          <w:sz w:val="22"/>
        </w:rPr>
        <w:t xml:space="preserve">CartBlanche22: </w:t>
      </w:r>
      <w:r>
        <w:rPr>
          <w:rFonts w:ascii="Calibri" w:hAnsi="Calibri"/>
          <w:b w:val="0"/>
          <w:i w:val="0"/>
          <w:color w:val="222222"/>
          <w:sz w:val="22"/>
        </w:rPr>
        <w:t>https://github.com/docking-org/cartblanche22</w:t>
      </w:r>
    </w:p>
    <w:p>
      <w:pPr>
        <w:pStyle w:val="ListBullet"/>
      </w:pPr>
      <w:r>
        <w:rPr>
          <w:rFonts w:ascii="Calibri" w:hAnsi="Calibri"/>
          <w:b w:val="0"/>
          <w:i w:val="0"/>
          <w:color w:val="222222"/>
          <w:sz w:val="22"/>
        </w:rPr>
        <w:t xml:space="preserve">AutoDock Vina: </w:t>
      </w:r>
      <w:r>
        <w:rPr>
          <w:rFonts w:ascii="Calibri" w:hAnsi="Calibri"/>
          <w:b w:val="0"/>
          <w:i w:val="0"/>
          <w:color w:val="222222"/>
          <w:sz w:val="22"/>
        </w:rPr>
        <w:t>https://github.com/ccsb-scripps/AutoDock-Vina</w:t>
      </w:r>
    </w:p>
    <w:p>
      <w:pPr>
        <w:pStyle w:val="ListBullet"/>
      </w:pPr>
      <w:r>
        <w:rPr>
          <w:rFonts w:ascii="Calibri" w:hAnsi="Calibri"/>
          <w:b w:val="0"/>
          <w:i w:val="0"/>
          <w:color w:val="222222"/>
          <w:sz w:val="22"/>
        </w:rPr>
        <w:t xml:space="preserve">Ollama API: </w:t>
      </w:r>
      <w:r>
        <w:rPr>
          <w:rFonts w:ascii="Calibri" w:hAnsi="Calibri"/>
          <w:b w:val="0"/>
          <w:i w:val="0"/>
          <w:color w:val="222222"/>
          <w:sz w:val="22"/>
        </w:rPr>
        <w:t>https://docs.ollama.com/api/generate</w:t>
      </w:r>
    </w:p>
    <w:p>
      <w:pPr>
        <w:pStyle w:val="ListBullet"/>
      </w:pPr>
      <w:r>
        <w:rPr>
          <w:rFonts w:ascii="Calibri" w:hAnsi="Calibri"/>
          <w:b w:val="0"/>
          <w:i w:val="0"/>
          <w:color w:val="222222"/>
          <w:sz w:val="22"/>
        </w:rPr>
        <w:t xml:space="preserve">Qwen3: </w:t>
      </w:r>
      <w:r>
        <w:rPr>
          <w:rFonts w:ascii="Calibri" w:hAnsi="Calibri"/>
          <w:b w:val="0"/>
          <w:i w:val="0"/>
          <w:color w:val="222222"/>
          <w:sz w:val="22"/>
        </w:rPr>
        <w:t>https://qwenlm.github.io/blog/qwen3/</w:t>
      </w:r>
    </w:p>
    <w:p>
      <w:pPr>
        <w:pStyle w:val="ListBullet"/>
      </w:pPr>
      <w:r>
        <w:rPr>
          <w:rFonts w:ascii="Calibri" w:hAnsi="Calibri"/>
          <w:b w:val="0"/>
          <w:i w:val="0"/>
          <w:color w:val="222222"/>
          <w:sz w:val="22"/>
        </w:rPr>
        <w:t xml:space="preserve">COCONUT: </w:t>
      </w:r>
      <w:r>
        <w:rPr>
          <w:rFonts w:ascii="Calibri" w:hAnsi="Calibri"/>
          <w:b w:val="0"/>
          <w:i w:val="0"/>
          <w:color w:val="222222"/>
          <w:sz w:val="22"/>
        </w:rPr>
        <w:t>https://coconut.naturalproducts.net/download</w:t>
      </w:r>
    </w:p>
    <w:p>
      <w:pPr>
        <w:pStyle w:val="ListBullet"/>
      </w:pPr>
      <w:r>
        <w:rPr>
          <w:rFonts w:ascii="Calibri" w:hAnsi="Calibri"/>
          <w:b w:val="0"/>
          <w:i w:val="0"/>
          <w:color w:val="222222"/>
          <w:sz w:val="22"/>
        </w:rPr>
        <w:t xml:space="preserve">NPASS: </w:t>
      </w:r>
      <w:r>
        <w:rPr>
          <w:rFonts w:ascii="Calibri" w:hAnsi="Calibri"/>
          <w:b w:val="0"/>
          <w:i w:val="0"/>
          <w:color w:val="222222"/>
          <w:sz w:val="22"/>
        </w:rPr>
        <w:t>https://bidd.group/NPASS/</w:t>
      </w:r>
    </w:p>
    <w:p>
      <w:pPr>
        <w:pStyle w:val="ListBullet"/>
      </w:pPr>
      <w:r>
        <w:rPr>
          <w:rFonts w:ascii="Calibri" w:hAnsi="Calibri"/>
          <w:b w:val="0"/>
          <w:i w:val="0"/>
          <w:color w:val="222222"/>
          <w:sz w:val="22"/>
        </w:rPr>
        <w:t xml:space="preserve">ANPDB: </w:t>
      </w:r>
      <w:r>
        <w:rPr>
          <w:rFonts w:ascii="Calibri" w:hAnsi="Calibri"/>
          <w:b w:val="0"/>
          <w:i w:val="0"/>
          <w:color w:val="222222"/>
          <w:sz w:val="22"/>
        </w:rPr>
        <w:t>https://phabidb.vm.uni-freiburg.de/anpdb/</w:t>
      </w:r>
    </w:p>
    <w:p>
      <w:pPr>
        <w:pStyle w:val="ListBullet"/>
      </w:pPr>
      <w:r>
        <w:rPr>
          <w:rFonts w:ascii="Calibri" w:hAnsi="Calibri"/>
          <w:b w:val="0"/>
          <w:i w:val="0"/>
          <w:color w:val="222222"/>
          <w:sz w:val="22"/>
        </w:rPr>
        <w:t xml:space="preserve">MLflow Model Registry: </w:t>
      </w:r>
      <w:r>
        <w:rPr>
          <w:rFonts w:ascii="Calibri" w:hAnsi="Calibri"/>
          <w:b w:val="0"/>
          <w:i w:val="0"/>
          <w:color w:val="222222"/>
          <w:sz w:val="22"/>
        </w:rPr>
        <w:t>https://mlflow.org/docs/latest/ml/model-registry/</w:t>
      </w:r>
    </w:p>
    <w:p>
      <w:pPr>
        <w:pStyle w:val="ListBullet"/>
      </w:pPr>
      <w:r>
        <w:rPr>
          <w:rFonts w:ascii="Calibri" w:hAnsi="Calibri"/>
          <w:b w:val="0"/>
          <w:i w:val="0"/>
          <w:color w:val="222222"/>
          <w:sz w:val="22"/>
        </w:rPr>
        <w:t xml:space="preserve">Prefect deployments: </w:t>
      </w:r>
      <w:r>
        <w:rPr>
          <w:rFonts w:ascii="Calibri" w:hAnsi="Calibri"/>
          <w:b w:val="0"/>
          <w:i w:val="0"/>
          <w:color w:val="222222"/>
          <w:sz w:val="22"/>
        </w:rPr>
        <w:t>https://docs.prefect.io/v3/concepts/deployments</w:t>
      </w:r>
    </w:p>
    <w:p>
      <w:pPr>
        <w:pStyle w:val="ListBullet"/>
      </w:pPr>
      <w:r>
        <w:rPr>
          <w:rFonts w:ascii="Calibri" w:hAnsi="Calibri"/>
          <w:b w:val="0"/>
          <w:i w:val="0"/>
          <w:color w:val="222222"/>
          <w:sz w:val="22"/>
        </w:rPr>
        <w:t xml:space="preserve">3Dmol.js: </w:t>
      </w:r>
      <w:r>
        <w:rPr>
          <w:rFonts w:ascii="Calibri" w:hAnsi="Calibri"/>
          <w:b w:val="0"/>
          <w:i w:val="0"/>
          <w:color w:val="222222"/>
          <w:sz w:val="22"/>
        </w:rPr>
        <w:t>https://github.com/3dmol/3Dmol.js</w:t>
      </w:r>
    </w:p>
    <w:p>
      <w:pPr>
        <w:pStyle w:val="Heading1"/>
      </w:pPr>
      <w:r>
        <w:t>Appendix B — Scientific handoff checklist</w:t>
      </w:r>
    </w:p>
    <w:p>
      <w:pPr>
        <w:pStyle w:val="ListBullet"/>
        <w:spacing w:after="80" w:line="264" w:lineRule="auto"/>
      </w:pPr>
      <w:r>
        <w:rPr>
          <w:rFonts w:ascii="Calibri" w:hAnsi="Calibri"/>
          <w:b w:val="0"/>
          <w:i w:val="0"/>
          <w:color w:val="222222"/>
          <w:sz w:val="22"/>
        </w:rPr>
        <w:t>Confirm first production cancer task and endpoint.</w:t>
      </w:r>
    </w:p>
    <w:p>
      <w:pPr>
        <w:pStyle w:val="ListBullet"/>
        <w:spacing w:after="80" w:line="264" w:lineRule="auto"/>
      </w:pPr>
      <w:r>
        <w:rPr>
          <w:rFonts w:ascii="Calibri" w:hAnsi="Calibri"/>
          <w:b w:val="0"/>
          <w:i w:val="0"/>
          <w:color w:val="222222"/>
          <w:sz w:val="22"/>
        </w:rPr>
        <w:t>Confirm permitted source releases and licences.</w:t>
      </w:r>
    </w:p>
    <w:p>
      <w:pPr>
        <w:pStyle w:val="ListBullet"/>
        <w:spacing w:after="80" w:line="264" w:lineRule="auto"/>
      </w:pPr>
      <w:r>
        <w:rPr>
          <w:rFonts w:ascii="Calibri" w:hAnsi="Calibri"/>
          <w:b w:val="0"/>
          <w:i w:val="0"/>
          <w:color w:val="222222"/>
          <w:sz w:val="22"/>
        </w:rPr>
        <w:t>Confirm data-curation and assay-review owners.</w:t>
      </w:r>
    </w:p>
    <w:p>
      <w:pPr>
        <w:pStyle w:val="ListBullet"/>
        <w:spacing w:after="80" w:line="264" w:lineRule="auto"/>
      </w:pPr>
      <w:r>
        <w:rPr>
          <w:rFonts w:ascii="Calibri" w:hAnsi="Calibri"/>
          <w:b w:val="0"/>
          <w:i w:val="0"/>
          <w:color w:val="222222"/>
          <w:sz w:val="22"/>
        </w:rPr>
        <w:t>Freeze standardization and identity policies.</w:t>
      </w:r>
    </w:p>
    <w:p>
      <w:pPr>
        <w:pStyle w:val="ListBullet"/>
        <w:spacing w:after="80" w:line="264" w:lineRule="auto"/>
      </w:pPr>
      <w:r>
        <w:rPr>
          <w:rFonts w:ascii="Calibri" w:hAnsi="Calibri"/>
          <w:b w:val="0"/>
          <w:i w:val="0"/>
          <w:color w:val="222222"/>
          <w:sz w:val="22"/>
        </w:rPr>
        <w:t>Define split and leakage prohibitions.</w:t>
      </w:r>
    </w:p>
    <w:p>
      <w:pPr>
        <w:pStyle w:val="ListBullet"/>
        <w:spacing w:after="80" w:line="264" w:lineRule="auto"/>
      </w:pPr>
      <w:r>
        <w:rPr>
          <w:rFonts w:ascii="Calibri" w:hAnsi="Calibri"/>
          <w:b w:val="0"/>
          <w:i w:val="0"/>
          <w:color w:val="222222"/>
          <w:sz w:val="22"/>
        </w:rPr>
        <w:t>Define primary, calibration, enrichment, and slice metrics.</w:t>
      </w:r>
    </w:p>
    <w:p>
      <w:pPr>
        <w:pStyle w:val="ListBullet"/>
        <w:spacing w:after="80" w:line="264" w:lineRule="auto"/>
      </w:pPr>
      <w:r>
        <w:rPr>
          <w:rFonts w:ascii="Calibri" w:hAnsi="Calibri"/>
          <w:b w:val="0"/>
          <w:i w:val="0"/>
          <w:color w:val="222222"/>
          <w:sz w:val="22"/>
        </w:rPr>
        <w:t>Define ADMET endpoints and validation expectations.</w:t>
      </w:r>
    </w:p>
    <w:p>
      <w:pPr>
        <w:pStyle w:val="ListBullet"/>
        <w:spacing w:after="80" w:line="264" w:lineRule="auto"/>
      </w:pPr>
      <w:r>
        <w:rPr>
          <w:rFonts w:ascii="Calibri" w:hAnsi="Calibri"/>
          <w:b w:val="0"/>
          <w:i w:val="0"/>
          <w:color w:val="222222"/>
          <w:sz w:val="22"/>
        </w:rPr>
        <w:t>Approve default ranking weights and hard filters.</w:t>
      </w:r>
    </w:p>
    <w:p>
      <w:pPr>
        <w:pStyle w:val="ListBullet"/>
        <w:spacing w:after="80" w:line="264" w:lineRule="auto"/>
      </w:pPr>
      <w:r>
        <w:rPr>
          <w:rFonts w:ascii="Calibri" w:hAnsi="Calibri"/>
          <w:b w:val="0"/>
          <w:i w:val="0"/>
          <w:color w:val="222222"/>
          <w:sz w:val="22"/>
        </w:rPr>
        <w:t>Define laboratory protocol and control minimums.</w:t>
      </w:r>
    </w:p>
    <w:p>
      <w:pPr>
        <w:pStyle w:val="ListBullet"/>
        <w:spacing w:after="80" w:line="264" w:lineRule="auto"/>
      </w:pPr>
      <w:r>
        <w:rPr>
          <w:rFonts w:ascii="Calibri" w:hAnsi="Calibri"/>
          <w:b w:val="0"/>
          <w:i w:val="0"/>
          <w:color w:val="222222"/>
          <w:sz w:val="22"/>
        </w:rPr>
        <w:t>Define result QC and training-eligibility review.</w:t>
      </w:r>
    </w:p>
    <w:p>
      <w:pPr>
        <w:pStyle w:val="ListBullet"/>
        <w:spacing w:after="80" w:line="264" w:lineRule="auto"/>
      </w:pPr>
      <w:r>
        <w:rPr>
          <w:rFonts w:ascii="Calibri" w:hAnsi="Calibri"/>
          <w:b w:val="0"/>
          <w:i w:val="0"/>
          <w:color w:val="222222"/>
          <w:sz w:val="22"/>
        </w:rPr>
        <w:t>Define champion/challenger approval committee.</w:t>
      </w:r>
    </w:p>
    <w:p>
      <w:pPr>
        <w:pStyle w:val="ListBullet"/>
        <w:spacing w:after="80" w:line="264" w:lineRule="auto"/>
      </w:pPr>
      <w:r>
        <w:rPr>
          <w:rFonts w:ascii="Calibri" w:hAnsi="Calibri"/>
          <w:b w:val="0"/>
          <w:i w:val="0"/>
          <w:color w:val="222222"/>
          <w:sz w:val="22"/>
        </w:rPr>
        <w:t>Approve research-use language and prohibited claims.</w:t>
      </w:r>
    </w:p>
    <w:p>
      <w:pPr>
        <w:pStyle w:val="ListBullet"/>
        <w:spacing w:after="80" w:line="264" w:lineRule="auto"/>
      </w:pPr>
      <w:r>
        <w:rPr>
          <w:rFonts w:ascii="Calibri" w:hAnsi="Calibri"/>
          <w:b w:val="0"/>
          <w:i w:val="0"/>
          <w:color w:val="222222"/>
          <w:sz w:val="22"/>
        </w:rPr>
        <w:t>Approve security, retention, recovery, and audit controls.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color w:val="667085"/>
        <w:sz w:val="16"/>
      </w:rPr>
      <w:t xml:space="preserve">RESEARCH USE ONLY  ·  </w:t>
    </w:r>
    <w:r>
      <w:rPr>
        <w:rFonts w:ascii="Calibri" w:hAnsi="Calibri"/>
        <w:color w:val="667085"/>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left"/>
      <w:tblLayout w:type="fixed"/>
      <w:tblLook w:firstColumn="1" w:firstRow="1" w:lastColumn="0" w:lastRow="0" w:noHBand="0" w:noVBand="1" w:val="04A0"/>
      <w:tblInd w:w="120" w:type="dxa"/>
    </w:tblPr>
    <w:tblGrid>
      <w:gridCol w:w="5616"/>
      <w:gridCol w:w="3744"/>
    </w:tblGrid>
    <w:tr>
      <w:tc>
        <w:tcPr>
          <w:tcW w:type="dxa" w:w="5616"/>
          <w:tcMar>
            <w:top w:w="80" w:type="dxa"/>
            <w:start w:w="120" w:type="dxa"/>
            <w:bottom w:w="80" w:type="dxa"/>
            <w:end w:w="120" w:type="dxa"/>
          </w:tcMar>
          <w:vAlign w:val="center"/>
        </w:tcPr>
        <w:p>
          <w:pPr>
            <w:jc w:val="left"/>
          </w:pPr>
          <w:r>
            <w:rPr>
              <w:rFonts w:ascii="Calibri" w:hAnsi="Calibri"/>
              <w:b/>
              <w:color w:val="6657D9"/>
              <w:sz w:val="16"/>
            </w:rPr>
            <w:t>ONCOGON AI  ·  OSIEL</w:t>
          </w:r>
        </w:p>
      </w:tc>
      <w:tc>
        <w:tcPr>
          <w:tcW w:type="dxa" w:w="3744"/>
          <w:tcMar>
            <w:top w:w="80" w:type="dxa"/>
            <w:start w:w="120" w:type="dxa"/>
            <w:bottom w:w="80" w:type="dxa"/>
            <w:end w:w="120" w:type="dxa"/>
          </w:tcMar>
          <w:vAlign w:val="center"/>
        </w:tcPr>
        <w:p>
          <w:pPr>
            <w:jc w:val="right"/>
          </w:pPr>
          <w:r>
            <w:rPr>
              <w:rFonts w:ascii="Calibri" w:hAnsi="Calibri"/>
              <w:b/>
              <w:color w:val="667085"/>
              <w:sz w:val="16"/>
            </w:rPr>
            <w:t>DEVELOPER SRS  ·  v1.1</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720"/>
        </w:tabs>
        <w:ind w:left="720" w:hanging="360"/>
      </w:pPr>
    </w:lvl>
  </w:abstractNum>
  <w:num w:numId="10">
    <w:abstractNumId w:val="9"/>
  </w:num>
  <w:abstractNum w:abstractNumId="10">
    <w:multiLevelType w:val="singleLevel"/>
    <w:lvl w:ilvl="0">
      <w:start w:val="1"/>
      <w:numFmt w:val="decimal"/>
      <w:lvlText w:val="%1."/>
      <w:lvlJc w:val="left"/>
      <w:pPr>
        <w:tabs>
          <w:tab w:val="num" w:pos="720"/>
        </w:tabs>
        <w:ind w:left="720" w:hanging="360"/>
      </w:pPr>
    </w:lvl>
  </w:abstractNum>
  <w:num w:numId="11">
    <w:abstractNumId w:val="10"/>
  </w:num>
  <w:abstractNum w:abstractNumId="11">
    <w:multiLevelType w:val="singleLevel"/>
    <w:lvl w:ilvl="0">
      <w:start w:val="1"/>
      <w:numFmt w:val="decimal"/>
      <w:lvlText w:val="%1."/>
      <w:lvlJc w:val="left"/>
      <w:pPr>
        <w:tabs>
          <w:tab w:val="num" w:pos="720"/>
        </w:tabs>
        <w:ind w:left="720" w:hanging="360"/>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Oncogon AI OSIEL — Developer-Grade Software Requirements Specification</dc:title>
  <dc:subject>Scientific intelligence, federated chemical search, model laboratory and experimental learning engine specification</dc:subject>
  <dc:creator>Oncogon AI</dc:creator>
  <cp:keywords>OSIEL, oncology, cheminformatics, compound prioritization, SRS</cp:keywords>
  <dc:description>Research use only. Generated from the authoritative repository Markdown.</dc:description>
  <cp:lastModifiedBy/>
  <cp:revision>1</cp:revision>
  <dcterms:created xsi:type="dcterms:W3CDTF">2013-12-23T23:15:00Z</dcterms:created>
  <dcterms:modified xsi:type="dcterms:W3CDTF">2013-12-23T23:15:00Z</dcterms:modified>
  <cp:category/>
</cp:coreProperties>
</file>