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95A4B">
      <w:pPr>
        <w:rPr>
          <w:rFonts w:hint="eastAsia"/>
        </w:rPr>
      </w:pPr>
      <w:r>
        <w:rPr>
          <w:rFonts w:hint="eastAsia"/>
        </w:rPr>
        <w:t>=======================================================</w:t>
      </w:r>
    </w:p>
    <w:p w14:paraId="11335F34">
      <w:pPr>
        <w:rPr>
          <w:rFonts w:hint="eastAsia"/>
        </w:rPr>
      </w:pPr>
      <w:r>
        <w:rPr>
          <w:rFonts w:hint="eastAsia"/>
        </w:rPr>
        <w:t>数据质量报告</w:t>
      </w:r>
    </w:p>
    <w:p w14:paraId="66476E72">
      <w:pPr>
        <w:rPr>
          <w:rFonts w:hint="eastAsia"/>
        </w:rPr>
      </w:pPr>
      <w:r>
        <w:rPr>
          <w:rFonts w:hint="eastAsia"/>
        </w:rPr>
        <w:t>=======================================================</w:t>
      </w:r>
    </w:p>
    <w:p w14:paraId="16922A95">
      <w:pPr>
        <w:rPr>
          <w:rFonts w:hint="eastAsia"/>
        </w:rPr>
      </w:pPr>
      <w:r>
        <w:rPr>
          <w:rFonts w:hint="eastAsia"/>
        </w:rPr>
        <w:t>时间范围    : 2015-01-05 → 2025-06-30</w:t>
      </w:r>
    </w:p>
    <w:p w14:paraId="011FBC5C">
      <w:pPr>
        <w:rPr>
          <w:rFonts w:hint="eastAsia"/>
        </w:rPr>
      </w:pPr>
      <w:r>
        <w:rPr>
          <w:rFonts w:hint="eastAsia"/>
        </w:rPr>
        <w:t>交易日数量  : 2548 天</w:t>
      </w:r>
    </w:p>
    <w:p w14:paraId="06A88BC5">
      <w:pPr>
        <w:rPr>
          <w:rFonts w:hint="eastAsia"/>
        </w:rPr>
      </w:pPr>
      <w:r>
        <w:rPr>
          <w:rFonts w:hint="eastAsia"/>
        </w:rPr>
        <w:t>股票数量    : 646 只</w:t>
      </w:r>
    </w:p>
    <w:p w14:paraId="75A000F5">
      <w:pPr>
        <w:rPr>
          <w:rFonts w:hint="eastAsia"/>
        </w:rPr>
      </w:pPr>
    </w:p>
    <w:p w14:paraId="5533E3E7">
      <w:pPr>
        <w:rPr>
          <w:rFonts w:hint="eastAsia"/>
        </w:rPr>
      </w:pPr>
      <w:r>
        <w:rPr>
          <w:rFonts w:hint="eastAsia"/>
        </w:rPr>
        <w:t>缺失率统计（前复权收盘价）：</w:t>
      </w:r>
    </w:p>
    <w:p w14:paraId="7ADB211F">
      <w:pPr>
        <w:rPr>
          <w:rFonts w:hint="eastAsia"/>
        </w:rPr>
      </w:pPr>
      <w:r>
        <w:rPr>
          <w:rFonts w:hint="eastAsia"/>
        </w:rPr>
        <w:t xml:space="preserve">  平均缺失率  : 11.71%</w:t>
      </w:r>
    </w:p>
    <w:p w14:paraId="32D6010E">
      <w:pPr>
        <w:rPr>
          <w:rFonts w:hint="eastAsia"/>
        </w:rPr>
      </w:pPr>
      <w:r>
        <w:rPr>
          <w:rFonts w:hint="eastAsia"/>
        </w:rPr>
        <w:t xml:space="preserve">  最大缺失率  : 97.25%  (sh.600832)</w:t>
      </w:r>
    </w:p>
    <w:p w14:paraId="1156462F">
      <w:pPr>
        <w:rPr>
          <w:rFonts w:hint="eastAsia"/>
        </w:rPr>
      </w:pPr>
      <w:r>
        <w:rPr>
          <w:rFonts w:hint="eastAsia"/>
        </w:rPr>
        <w:t xml:space="preserve">  缺失率&gt;20%  : 123 只</w:t>
      </w:r>
      <w:bookmarkStart w:id="0" w:name="_GoBack"/>
      <w:bookmarkEnd w:id="0"/>
    </w:p>
    <w:p w14:paraId="5CAE4B9C">
      <w:pPr>
        <w:rPr>
          <w:rFonts w:hint="eastAsia"/>
        </w:rPr>
      </w:pPr>
    </w:p>
    <w:p w14:paraId="35DE2D05">
      <w:pPr>
        <w:rPr>
          <w:rFonts w:hint="eastAsia"/>
        </w:rPr>
      </w:pPr>
      <w:r>
        <w:rPr>
          <w:rFonts w:hint="eastAsia"/>
        </w:rPr>
        <w:t>各年度交易日数：</w:t>
      </w:r>
    </w:p>
    <w:p w14:paraId="7ED401C7">
      <w:pPr>
        <w:rPr>
          <w:rFonts w:hint="eastAsia"/>
        </w:rPr>
      </w:pPr>
      <w:r>
        <w:rPr>
          <w:rFonts w:hint="eastAsia"/>
        </w:rPr>
        <w:t xml:space="preserve">  2015 年：244 个交易日</w:t>
      </w:r>
    </w:p>
    <w:p w14:paraId="4EDE5CCB">
      <w:pPr>
        <w:rPr>
          <w:rFonts w:hint="eastAsia"/>
        </w:rPr>
      </w:pPr>
      <w:r>
        <w:rPr>
          <w:rFonts w:hint="eastAsia"/>
        </w:rPr>
        <w:t xml:space="preserve">  2016 年：244 个交易日</w:t>
      </w:r>
    </w:p>
    <w:p w14:paraId="15BCA8E5">
      <w:pPr>
        <w:rPr>
          <w:rFonts w:hint="eastAsia"/>
        </w:rPr>
      </w:pPr>
      <w:r>
        <w:rPr>
          <w:rFonts w:hint="eastAsia"/>
        </w:rPr>
        <w:t xml:space="preserve">  2017 年：244 个交易日</w:t>
      </w:r>
    </w:p>
    <w:p w14:paraId="2F009ED7">
      <w:pPr>
        <w:rPr>
          <w:rFonts w:hint="eastAsia"/>
        </w:rPr>
      </w:pPr>
      <w:r>
        <w:rPr>
          <w:rFonts w:hint="eastAsia"/>
        </w:rPr>
        <w:t xml:space="preserve">  2018 年：243 个交易日</w:t>
      </w:r>
    </w:p>
    <w:p w14:paraId="22E101C6">
      <w:pPr>
        <w:rPr>
          <w:rFonts w:hint="eastAsia"/>
        </w:rPr>
      </w:pPr>
      <w:r>
        <w:rPr>
          <w:rFonts w:hint="eastAsia"/>
        </w:rPr>
        <w:t xml:space="preserve">  2019 年：244 个交易日</w:t>
      </w:r>
    </w:p>
    <w:p w14:paraId="10A6116B">
      <w:pPr>
        <w:rPr>
          <w:rFonts w:hint="eastAsia"/>
        </w:rPr>
      </w:pPr>
      <w:r>
        <w:rPr>
          <w:rFonts w:hint="eastAsia"/>
        </w:rPr>
        <w:t xml:space="preserve">  2020 年：243 个交易日</w:t>
      </w:r>
    </w:p>
    <w:p w14:paraId="492C8E5E">
      <w:pPr>
        <w:rPr>
          <w:rFonts w:hint="eastAsia"/>
        </w:rPr>
      </w:pPr>
      <w:r>
        <w:rPr>
          <w:rFonts w:hint="eastAsia"/>
        </w:rPr>
        <w:t xml:space="preserve">  2021 年：243 个交易日</w:t>
      </w:r>
    </w:p>
    <w:p w14:paraId="3BB8C6AD">
      <w:pPr>
        <w:rPr>
          <w:rFonts w:hint="eastAsia"/>
        </w:rPr>
      </w:pPr>
      <w:r>
        <w:rPr>
          <w:rFonts w:hint="eastAsia"/>
        </w:rPr>
        <w:t xml:space="preserve">  2022 年：242 个交易日</w:t>
      </w:r>
    </w:p>
    <w:p w14:paraId="7921249F">
      <w:pPr>
        <w:rPr>
          <w:rFonts w:hint="eastAsia"/>
        </w:rPr>
      </w:pPr>
      <w:r>
        <w:rPr>
          <w:rFonts w:hint="eastAsia"/>
        </w:rPr>
        <w:t xml:space="preserve">  2023 年：242 个交易日</w:t>
      </w:r>
    </w:p>
    <w:p w14:paraId="5AA6D458">
      <w:pPr>
        <w:rPr>
          <w:rFonts w:hint="eastAsia"/>
        </w:rPr>
      </w:pPr>
      <w:r>
        <w:rPr>
          <w:rFonts w:hint="eastAsia"/>
        </w:rPr>
        <w:t xml:space="preserve">  2024 年：242 个交易日</w:t>
      </w:r>
    </w:p>
    <w:p w14:paraId="4B4EFE3B">
      <w:pPr>
        <w:rPr>
          <w:rFonts w:hint="eastAsia"/>
        </w:rPr>
      </w:pPr>
      <w:r>
        <w:rPr>
          <w:rFonts w:hint="eastAsia"/>
        </w:rPr>
        <w:t xml:space="preserve">  2025 年：117 个交易日</w:t>
      </w:r>
    </w:p>
    <w:p w14:paraId="3A071E31">
      <w:r>
        <w:rPr>
          <w:rFonts w:hint="eastAsia"/>
        </w:rPr>
        <w:t>=======================================================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FEA73B"/>
    <w:rsid w:val="7AFEA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2026-05-11T19:36:00Z</dcterms:created>
  <dc:creator>杨晓彤</dc:creator>
  <cp:lastModifiedBy>杨晓彤</cp:lastModifiedBy>
  <dcterms:modified xsi:type="dcterms:W3CDTF">2026-05-11T19:36:42Z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AC77EE342B9D6D1422BF016AC0393865_41</vt:lpwstr>
  </property>
</Properties>
</file>