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${currentdate}</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a4"/>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${first_name} ${last_name}</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${price_strings}</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(${yetqazish_kuni_soz})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a4"/>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a4"/>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a4"/>
        <w:jc w:val="center"/>
        <w:rPr>
          <w:rFonts w:ascii="Times New Roman" w:hAnsi="Times New Roman" w:cs="Times New Roman"/>
          <w:b/>
          <w:sz w:val="24"/>
          <w:szCs w:val="24"/>
          <w:lang w:val="en-US"/>
        </w:rPr>
      </w:pPr>
    </w:p>
    <w:p w14:paraId="3B14FADF" w14:textId="77777777" w:rsidR="00C12CCA" w:rsidRDefault="00C12CCA" w:rsidP="00C12CCA">
      <w:pPr>
        <w:pStyle w:val="a4"/>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a4"/>
        <w:rPr>
          <w:rFonts w:ascii="Times New Roman" w:hAnsi="Times New Roman" w:cs="Times New Roman"/>
          <w:b/>
          <w:sz w:val="24"/>
          <w:szCs w:val="24"/>
          <w:lang w:val="en-US"/>
        </w:rPr>
      </w:pPr>
    </w:p>
    <w:p w14:paraId="3F12FB63" w14:textId="77777777" w:rsidR="00C12CCA" w:rsidRDefault="00C12CCA" w:rsidP="00C12CCA">
      <w:pPr>
        <w:pStyle w:val="a4"/>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a4"/>
        <w:jc w:val="both"/>
        <w:rPr>
          <w:rFonts w:ascii="Times New Roman" w:hAnsi="Times New Roman" w:cs="Times New Roman"/>
          <w:sz w:val="24"/>
          <w:szCs w:val="24"/>
          <w:lang w:val="uz-Cyrl-UZ"/>
        </w:rPr>
      </w:pPr>
    </w:p>
    <w:p w14:paraId="528E4F33" w14:textId="77777777" w:rsidR="00C12CCA" w:rsidRPr="00267089" w:rsidRDefault="00C12CCA" w:rsidP="00C12CCA">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a4"/>
        <w:ind w:left="720"/>
        <w:rPr>
          <w:rFonts w:ascii="Times New Roman" w:hAnsi="Times New Roman" w:cs="Times New Roman"/>
          <w:b/>
          <w:sz w:val="24"/>
          <w:szCs w:val="24"/>
        </w:rPr>
      </w:pPr>
    </w:p>
    <w:p w14:paraId="4E1662EB" w14:textId="77777777" w:rsidR="00C12CCA" w:rsidRPr="002862CE"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Bildirilgan talabnomasiga qonunda belgilangan 10 (o’n) kun muddat ichida javob olmagan yoki talablari qanoatlantirilmagan taqdirda, huquqi buzilgan deb hisoblovchi taraf nizoni hal qilish uchun da’vo arizasi bilan sotuvchi joylashgan manzildagi  iqtisodiy sudiga murojat qilishga haqli.</w:t>
      </w:r>
    </w:p>
    <w:p w14:paraId="10407C56" w14:textId="77777777" w:rsidR="00B44736" w:rsidRPr="002862CE" w:rsidRDefault="00B44736" w:rsidP="00B44736">
      <w:pPr>
        <w:pStyle w:val="a4"/>
        <w:jc w:val="both"/>
        <w:rPr>
          <w:rFonts w:ascii="Times New Roman" w:hAnsi="Times New Roman" w:cs="Times New Roman"/>
          <w:sz w:val="24"/>
          <w:szCs w:val="24"/>
        </w:rPr>
      </w:pPr>
    </w:p>
    <w:p w14:paraId="14EEBB39" w14:textId="77777777" w:rsidR="00B44736" w:rsidRPr="00267089" w:rsidRDefault="00B44736" w:rsidP="00B44736">
      <w:pPr>
        <w:pStyle w:val="a4"/>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a4"/>
        <w:jc w:val="right"/>
        <w:rPr>
          <w:rFonts w:ascii="Times New Roman" w:hAnsi="Times New Roman" w:cs="Times New Roman"/>
          <w:sz w:val="24"/>
          <w:szCs w:val="24"/>
        </w:rPr>
      </w:pPr>
    </w:p>
    <w:p w14:paraId="4E8D6997" w14:textId="7BC13685" w:rsidR="00B44736" w:rsidRPr="00F8615D" w:rsidRDefault="00B44736" w:rsidP="00A40CD2">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a4"/>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a4"/>
        <w:jc w:val="both"/>
        <w:rPr>
          <w:rFonts w:ascii="Times New Roman" w:hAnsi="Times New Roman" w:cs="Times New Roman"/>
          <w:sz w:val="24"/>
          <w:szCs w:val="24"/>
          <w:lang w:val="en-US"/>
        </w:rPr>
      </w:pPr>
    </w:p>
    <w:p w14:paraId="64EE17D9" w14:textId="77777777" w:rsidR="00C12CCA" w:rsidRPr="00F8615D" w:rsidRDefault="00C12CCA" w:rsidP="00C12CCA">
      <w:pPr>
        <w:pStyle w:val="a4"/>
        <w:jc w:val="both"/>
        <w:rPr>
          <w:rFonts w:ascii="Times New Roman" w:hAnsi="Times New Roman" w:cs="Times New Roman"/>
          <w:sz w:val="24"/>
          <w:szCs w:val="24"/>
          <w:lang w:val="en-US"/>
        </w:rPr>
      </w:pPr>
    </w:p>
    <w:p w14:paraId="1D15CB35" w14:textId="77777777" w:rsidR="00C12CCA" w:rsidRPr="00267089" w:rsidRDefault="00C12CCA" w:rsidP="00B44736">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a4"/>
        <w:ind w:left="720"/>
        <w:rPr>
          <w:rFonts w:ascii="Times New Roman" w:hAnsi="Times New Roman" w:cs="Times New Roman"/>
          <w:b/>
          <w:sz w:val="24"/>
          <w:szCs w:val="24"/>
        </w:rPr>
      </w:pPr>
    </w:p>
    <w:p w14:paraId="65A81B55" w14:textId="77777777"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${contracts_expire}</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${addition_notes}</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a4"/>
        <w:jc w:val="both"/>
        <w:rPr>
          <w:rFonts w:ascii="Times New Roman" w:hAnsi="Times New Roman" w:cs="Times New Roman"/>
          <w:sz w:val="24"/>
          <w:szCs w:val="24"/>
          <w:lang w:val="uz-Cyrl-UZ"/>
        </w:rPr>
      </w:pPr>
    </w:p>
    <w:p w14:paraId="3660067E" w14:textId="77777777" w:rsidR="00AF59F0" w:rsidRPr="002862CE" w:rsidRDefault="00AF59F0" w:rsidP="00AF59F0">
      <w:pPr>
        <w:pStyle w:val="a4"/>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a4"/>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a4"/>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a4"/>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3D0210" w14:paraId="3C6D56F7" w14:textId="77777777" w:rsidTr="0073175C">
        <w:trPr>
          <w:trHeight w:val="4831"/>
        </w:trPr>
        <w:tc>
          <w:tcPr>
            <w:tcW w:w="4960" w:type="dxa"/>
          </w:tcPr>
          <w:p w14:paraId="57507357"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a4"/>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${kimtomonidanberilgan}</w:t>
            </w:r>
          </w:p>
          <w:p w14:paraId="4CAD8C91" w14:textId="63024D94"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a4"/>
              <w:rPr>
                <w:rFonts w:ascii="Times New Roman" w:hAnsi="Times New Roman" w:cs="Times New Roman"/>
                <w:b/>
                <w:sz w:val="24"/>
                <w:szCs w:val="24"/>
                <w:lang w:val="en-US"/>
              </w:rPr>
            </w:pPr>
          </w:p>
          <w:p w14:paraId="709CA030" w14:textId="77777777" w:rsidR="00EF5849" w:rsidRPr="003A7DF3" w:rsidRDefault="00EF5849" w:rsidP="00EF5849">
            <w:pPr>
              <w:pStyle w:val="a4"/>
              <w:rPr>
                <w:rFonts w:ascii="Times New Roman" w:hAnsi="Times New Roman" w:cs="Times New Roman"/>
                <w:b/>
                <w:sz w:val="24"/>
                <w:szCs w:val="24"/>
                <w:lang w:val="en-US"/>
              </w:rPr>
            </w:pPr>
          </w:p>
          <w:p w14:paraId="43BA566F" w14:textId="77777777" w:rsidR="00EF5849" w:rsidRDefault="00EF5849" w:rsidP="00EF5849">
            <w:pPr>
              <w:pStyle w:val="a4"/>
              <w:rPr>
                <w:rFonts w:ascii="Times New Roman" w:hAnsi="Times New Roman" w:cs="Times New Roman"/>
                <w:b/>
                <w:sz w:val="24"/>
                <w:szCs w:val="24"/>
                <w:lang w:val="en-US"/>
              </w:rPr>
            </w:pPr>
          </w:p>
          <w:p w14:paraId="5E92CA0C" w14:textId="77777777" w:rsidR="00EF5849" w:rsidRPr="003A7DF3" w:rsidRDefault="00EF5849" w:rsidP="00EF5849">
            <w:pPr>
              <w:pStyle w:val="a4"/>
              <w:rPr>
                <w:rFonts w:ascii="Times New Roman" w:hAnsi="Times New Roman" w:cs="Times New Roman"/>
                <w:b/>
                <w:sz w:val="24"/>
                <w:szCs w:val="24"/>
                <w:lang w:val="en-US"/>
              </w:rPr>
            </w:pPr>
          </w:p>
          <w:p w14:paraId="405E1383" w14:textId="77777777" w:rsidR="00EF5849" w:rsidRPr="003A7DF3" w:rsidRDefault="00EF5849" w:rsidP="00EF5849">
            <w:pPr>
              <w:pStyle w:val="a4"/>
              <w:rPr>
                <w:rFonts w:ascii="Times New Roman" w:hAnsi="Times New Roman" w:cs="Times New Roman"/>
                <w:b/>
                <w:sz w:val="24"/>
                <w:szCs w:val="24"/>
                <w:lang w:val="en-US"/>
              </w:rPr>
            </w:pPr>
          </w:p>
          <w:p w14:paraId="741F6AAB" w14:textId="77777777" w:rsidR="00EF5849" w:rsidRPr="003A7DF3" w:rsidRDefault="00EF5849" w:rsidP="00EF5849">
            <w:pPr>
              <w:pStyle w:val="a4"/>
              <w:rPr>
                <w:rFonts w:ascii="Times New Roman" w:hAnsi="Times New Roman" w:cs="Times New Roman"/>
                <w:b/>
                <w:sz w:val="24"/>
                <w:szCs w:val="24"/>
                <w:lang w:val="en-US"/>
              </w:rPr>
            </w:pPr>
          </w:p>
          <w:p w14:paraId="744C1967" w14:textId="77777777" w:rsidR="00EF5849" w:rsidRPr="00EF5849" w:rsidRDefault="00EF5849" w:rsidP="00EF5849">
            <w:pPr>
              <w:pStyle w:val="a4"/>
              <w:rPr>
                <w:rFonts w:ascii="Times New Roman" w:hAnsi="Times New Roman" w:cs="Times New Roman"/>
                <w:b/>
                <w:sz w:val="16"/>
                <w:szCs w:val="24"/>
                <w:lang w:val="en-US"/>
              </w:rPr>
            </w:pPr>
          </w:p>
          <w:p w14:paraId="26778B37" w14:textId="57169512"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w:t>
            </w:r>
            <w:r w:rsidR="007F0937">
              <w:rPr>
                <w:rFonts w:ascii="Times New Roman" w:hAnsi="Times New Roman" w:cs="Times New Roman"/>
                <w:b/>
                <w:sz w:val="24"/>
                <w:szCs w:val="24"/>
                <w:lang w:val="en-US"/>
              </w:rPr>
              <w:t>__${xaridor}</w:t>
            </w:r>
          </w:p>
          <w:p w14:paraId="53248E21" w14:textId="77777777" w:rsidR="00683867" w:rsidRPr="0043400C" w:rsidRDefault="00683867" w:rsidP="00D90A03">
            <w:pPr>
              <w:pStyle w:val="a4"/>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465694FC"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a3"/>
        <w:tblW w:w="0" w:type="auto"/>
        <w:tblLook w:val="04A0" w:firstRow="1" w:lastRow="0" w:firstColumn="1" w:lastColumn="0" w:noHBand="0" w:noVBand="1"/>
      </w:tblPr>
      <w:tblGrid>
        <w:gridCol w:w="9351"/>
      </w:tblGrid>
      <w:tr w:rsidR="00711279" w:rsidRPr="00F20A99" w14:paraId="6B365A28" w14:textId="77777777" w:rsidTr="00711279">
        <w:tc>
          <w:tcPr>
            <w:tcW w:w="9351" w:type="dxa"/>
          </w:tcPr>
          <w:p w14:paraId="05C78C0D" w14:textId="7529E68A" w:rsidR="00711279" w:rsidRPr="003D0210" w:rsidRDefault="00711279"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r w:rsidRPr="003D0210">
              <w:rPr>
                <w:i/>
                <w:iCs/>
                <w:lang w:val="en-US"/>
              </w:rPr>
              <w:t>Mahsulotning nomi va texnik tasnifi</w:t>
            </w:r>
          </w:p>
        </w:tc>
      </w:tr>
    </w:tbl>
    <w:p w14:paraId="69BF0841" w14:textId="0D67B6D8" w:rsidR="003D0210" w:rsidRDefault="003D0210"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8"/>
          <w:szCs w:val="28"/>
          <w:lang w:val="uz-Cyrl-UZ"/>
        </w:rPr>
      </w:pPr>
      <w:r w:rsidRPr="003D0210">
        <w:rPr>
          <w:i/>
          <w:iCs/>
          <w:sz w:val="28"/>
          <w:szCs w:val="28"/>
          <w:lang w:val="uz-Cyrl-UZ"/>
        </w:rPr>
        <w:t>
          <w:tbl>
            <w:tblGrid>
              <w:gridCol w:w="4000" w:type="dxa"/>
              <w:gridCol w:w="2000" w:type="dxa"/>
              <w:gridCol w:w="4000" w:type="dxa"/>
            </w:tblGrid>
            <w:tr>
              <w:trPr/>
              <w:tc>
                <w:tcPr>
                  <w:tcW w:w="4000" w:type="dxa"/>
                </w:tcPr>
                <w:p>
                  <w:pPr/>
                  <w:r>
                    <w:rPr/>
                    <w:t xml:space="preserve">Product</w:t>
                  </w:r>
                </w:p>
              </w:tc>
              <w:tc>
                <w:tcPr>
                  <w:tcW w:w="2000" w:type="dxa"/>
                </w:tcPr>
                <w:p>
                  <w:pPr/>
                  <w:r>
                    <w:rPr/>
                    <w:t xml:space="preserve">Price</w:t>
                  </w:r>
                </w:p>
              </w:tc>
              <w:tc>
                <w:tcPr>
                  <w:tcW w:w="4000" w:type="dxa"/>
                </w:tcPr>
                <w:p>
                  <w:pPr/>
                  <w:r>
                    <w:rPr/>
                    <w:t xml:space="preserve">Image</w:t>
                  </w:r>
                </w:p>
              </w:tc>
            </w:tr>
            <w:tr>
              <w:trPr/>
              <w:tc>
                <w:tcPr>
                  <w:tcW w:w="4000" w:type="dxa"/>
                </w:tcPr>
                <w:p>
                  <w:pPr/>
                  <w:r>
                    <w:rPr/>
                    <w:t xml:space="preserve">Product 1</w:t>
                  </w:r>
                </w:p>
              </w:tc>
              <w:tc>
                <w:tcPr>
                  <w:tcW w:w="2000" w:type="dxa"/>
                </w:tcPr>
                <w:p>
                  <w:pPr/>
                  <w:r>
                    <w:rPr/>
                    <w:t xml:space="preserve">$19.99</w:t>
                  </w:r>
                </w:p>
              </w:tc>
              <w:tc>
                <w:tcPr>
                  <w:tcW w:w="4000" w:type="dxa"/>
                </w:tcPr>
                <w:p>
                  <w:pPr/>
                  <w:r>
                    <w:pict>
                      <v:shape type="#_x0000_t75" stroked="f" style="width:200pt; height:200pt; margin-left:0pt; margin-top:0pt; mso-position-horizontal:left; mso-position-vertical:top; mso-position-horizontal-relative:char; mso-position-vertical-relative:line;">
                        <w10:wrap type="inline"/>
                        <v:imagedata r:id="rId7" o:title=""/>
                      </v:shape>
                    </w:pict>
                  </w:r>
                </w:p>
              </w:tc>
            </w:tr>
            <w:tr>
              <w:trPr/>
              <w:tc>
                <w:tcPr>
                  <w:tcW w:w="4000" w:type="dxa"/>
                </w:tcPr>
                <w:p>
                  <w:pPr/>
                  <w:r>
                    <w:rPr/>
                    <w:t xml:space="preserve">Product 2</w:t>
                  </w:r>
                </w:p>
              </w:tc>
              <w:tc>
                <w:tcPr>
                  <w:tcW w:w="2000" w:type="dxa"/>
                </w:tcPr>
                <w:p>
                  <w:pPr/>
                  <w:r>
                    <w:rPr/>
                    <w:t xml:space="preserve">$29.99</w:t>
                  </w:r>
                </w:p>
              </w:tc>
              <w:tc>
                <w:tcPr>
                  <w:tcW w:w="4000" w:type="dxa"/>
                </w:tcPr>
                <w:p>
                  <w:pPr/>
                  <w:r>
                    <w:pict>
                      <v:shape type="#_x0000_t75" stroked="f" style="width:200pt; height:200pt; margin-left:0pt; margin-top:0pt; mso-position-horizontal:left; mso-position-vertical:top; mso-position-horizontal-relative:char; mso-position-vertical-relative:line;">
                        <w10:wrap type="inline"/>
                        <v:imagedata r:id="rId7" o:title=""/>
                      </v:shape>
                    </w:pict>
                  </w:r>
                </w:p>
              </w:tc>
            </w:tr>
          </w:tbl>
        </w:t>
      </w:r>
    </w:p>
    <w:p w14:paraId="029E56AD" w14:textId="77777777" w:rsidR="003D0210" w:rsidRPr="00305763" w:rsidRDefault="003D0210"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a4"/>
        <w:jc w:val="center"/>
        <w:rPr>
          <w:rFonts w:ascii="Times New Roman" w:hAnsi="Times New Roman" w:cs="Times New Roman"/>
          <w:b/>
          <w:sz w:val="24"/>
          <w:szCs w:val="24"/>
          <w:lang w:val="uz-Cyrl-UZ"/>
        </w:rPr>
      </w:pPr>
    </w:p>
    <w:p w14:paraId="563BB06D" w14:textId="77777777" w:rsidR="00C916BD" w:rsidRDefault="00C916BD" w:rsidP="00843AD3">
      <w:pPr>
        <w:pStyle w:val="a4"/>
        <w:jc w:val="center"/>
        <w:rPr>
          <w:rFonts w:ascii="Times New Roman" w:hAnsi="Times New Roman" w:cs="Times New Roman"/>
          <w:b/>
          <w:sz w:val="24"/>
          <w:szCs w:val="24"/>
          <w:lang w:val="uz-Cyrl-UZ"/>
        </w:rPr>
      </w:pPr>
    </w:p>
    <w:p w14:paraId="5EC6E5A2" w14:textId="77777777" w:rsidR="00C916BD" w:rsidRDefault="00C916BD" w:rsidP="00843AD3">
      <w:pPr>
        <w:pStyle w:val="a4"/>
        <w:jc w:val="center"/>
        <w:rPr>
          <w:rFonts w:ascii="Times New Roman" w:hAnsi="Times New Roman" w:cs="Times New Roman"/>
          <w:b/>
          <w:sz w:val="24"/>
          <w:szCs w:val="24"/>
          <w:lang w:val="uz-Cyrl-UZ"/>
        </w:rPr>
      </w:pPr>
    </w:p>
    <w:p w14:paraId="1B954BD0" w14:textId="77777777" w:rsidR="00C916BD" w:rsidRDefault="00C916BD" w:rsidP="00843AD3">
      <w:pPr>
        <w:pStyle w:val="a4"/>
        <w:jc w:val="center"/>
        <w:rPr>
          <w:rFonts w:ascii="Times New Roman" w:hAnsi="Times New Roman" w:cs="Times New Roman"/>
          <w:b/>
          <w:sz w:val="24"/>
          <w:szCs w:val="24"/>
          <w:lang w:val="uz-Cyrl-UZ"/>
        </w:rPr>
      </w:pPr>
    </w:p>
    <w:p w14:paraId="2CEBFAE2" w14:textId="0F6472D0" w:rsidR="005620B6" w:rsidRDefault="00AF59F0" w:rsidP="00843AD3">
      <w:pPr>
        <w:pStyle w:val="a4"/>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a4"/>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3D0210" w14:paraId="479D8F34" w14:textId="77777777" w:rsidTr="00703222">
        <w:trPr>
          <w:trHeight w:val="910"/>
        </w:trPr>
        <w:tc>
          <w:tcPr>
            <w:tcW w:w="4962" w:type="dxa"/>
          </w:tcPr>
          <w:p w14:paraId="075F892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a4"/>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a4"/>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a4"/>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a4"/>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a4"/>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a4"/>
              <w:rPr>
                <w:rFonts w:ascii="Times New Roman" w:hAnsi="Times New Roman" w:cs="Times New Roman"/>
                <w:b/>
                <w:sz w:val="24"/>
                <w:szCs w:val="24"/>
                <w:lang w:val="en-US"/>
              </w:rPr>
            </w:pPr>
          </w:p>
          <w:p w14:paraId="16DF227F" w14:textId="77777777" w:rsidR="00273102" w:rsidRPr="003A7DF3" w:rsidRDefault="00273102" w:rsidP="00273102">
            <w:pPr>
              <w:pStyle w:val="a4"/>
              <w:rPr>
                <w:rFonts w:ascii="Times New Roman" w:hAnsi="Times New Roman" w:cs="Times New Roman"/>
                <w:b/>
                <w:sz w:val="24"/>
                <w:szCs w:val="24"/>
                <w:lang w:val="en-US"/>
              </w:rPr>
            </w:pPr>
          </w:p>
          <w:p w14:paraId="093B2B58" w14:textId="77777777" w:rsidR="00273102" w:rsidRDefault="00273102" w:rsidP="00273102">
            <w:pPr>
              <w:pStyle w:val="a4"/>
              <w:rPr>
                <w:rFonts w:ascii="Times New Roman" w:hAnsi="Times New Roman" w:cs="Times New Roman"/>
                <w:b/>
                <w:sz w:val="24"/>
                <w:szCs w:val="24"/>
                <w:lang w:val="en-US"/>
              </w:rPr>
            </w:pPr>
          </w:p>
          <w:p w14:paraId="3DFA9434" w14:textId="77777777" w:rsidR="00273102" w:rsidRPr="003A7DF3" w:rsidRDefault="00273102" w:rsidP="00273102">
            <w:pPr>
              <w:pStyle w:val="a4"/>
              <w:rPr>
                <w:rFonts w:ascii="Times New Roman" w:hAnsi="Times New Roman" w:cs="Times New Roman"/>
                <w:b/>
                <w:sz w:val="24"/>
                <w:szCs w:val="24"/>
                <w:lang w:val="en-US"/>
              </w:rPr>
            </w:pPr>
          </w:p>
          <w:p w14:paraId="5114626F" w14:textId="77777777" w:rsidR="00273102" w:rsidRPr="003A7DF3" w:rsidRDefault="00273102" w:rsidP="00273102">
            <w:pPr>
              <w:pStyle w:val="a4"/>
              <w:rPr>
                <w:rFonts w:ascii="Times New Roman" w:hAnsi="Times New Roman" w:cs="Times New Roman"/>
                <w:b/>
                <w:sz w:val="24"/>
                <w:szCs w:val="24"/>
                <w:lang w:val="en-US"/>
              </w:rPr>
            </w:pPr>
          </w:p>
          <w:p w14:paraId="16112A79" w14:textId="77777777" w:rsidR="00273102" w:rsidRPr="003A7DF3" w:rsidRDefault="00273102" w:rsidP="00273102">
            <w:pPr>
              <w:pStyle w:val="a4"/>
              <w:rPr>
                <w:rFonts w:ascii="Times New Roman" w:hAnsi="Times New Roman" w:cs="Times New Roman"/>
                <w:b/>
                <w:sz w:val="24"/>
                <w:szCs w:val="24"/>
                <w:lang w:val="en-US"/>
              </w:rPr>
            </w:pPr>
          </w:p>
          <w:p w14:paraId="2B9717E2" w14:textId="77777777" w:rsidR="00273102" w:rsidRPr="00EF5849" w:rsidRDefault="00273102" w:rsidP="00273102">
            <w:pPr>
              <w:pStyle w:val="a4"/>
              <w:rPr>
                <w:rFonts w:ascii="Times New Roman" w:hAnsi="Times New Roman" w:cs="Times New Roman"/>
                <w:b/>
                <w:sz w:val="16"/>
                <w:szCs w:val="24"/>
                <w:lang w:val="en-US"/>
              </w:rPr>
            </w:pPr>
          </w:p>
          <w:p w14:paraId="5E7C0E38" w14:textId="2A40112B"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a4"/>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5E59F" w14:textId="77777777" w:rsidR="00E21DFD" w:rsidRDefault="00E21DFD" w:rsidP="00CE2932">
      <w:r>
        <w:separator/>
      </w:r>
    </w:p>
  </w:endnote>
  <w:endnote w:type="continuationSeparator" w:id="0">
    <w:p w14:paraId="1FD505EE" w14:textId="77777777" w:rsidR="00E21DFD" w:rsidRDefault="00E21DFD"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aa"/>
      <w:rPr>
        <w:lang w:val="en-US"/>
      </w:rPr>
    </w:pPr>
  </w:p>
  <w:p w14:paraId="07693C68" w14:textId="77777777" w:rsidR="00994C50" w:rsidRDefault="00994C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aa"/>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68AFD" w14:textId="77777777" w:rsidR="00E21DFD" w:rsidRDefault="00E21DFD" w:rsidP="00CE2932">
      <w:r>
        <w:separator/>
      </w:r>
    </w:p>
  </w:footnote>
  <w:footnote w:type="continuationSeparator" w:id="0">
    <w:p w14:paraId="356BFD30" w14:textId="77777777" w:rsidR="00E21DFD" w:rsidRDefault="00E21DFD"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a8"/>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a8"/>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a8"/>
      <w:rPr>
        <w:lang w:val="en-US"/>
      </w:rPr>
    </w:pPr>
  </w:p>
  <w:p w14:paraId="5D4B1ACC" w14:textId="06C6FE37" w:rsidR="00A35DD0" w:rsidRPr="0024407B" w:rsidRDefault="00A35DD0" w:rsidP="00A35DD0">
    <w:pPr>
      <w:pStyle w:val="a8"/>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1DFD"/>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A99"/>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31FB5"/>
    <w:rPr>
      <w:sz w:val="24"/>
      <w:szCs w:val="24"/>
    </w:rPr>
  </w:style>
  <w:style w:type="paragraph" w:styleId="1">
    <w:name w:val="heading 1"/>
    <w:basedOn w:val="a"/>
    <w:next w:val="a"/>
    <w:link w:val="10"/>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63696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3651D3"/>
    <w:rPr>
      <w:rFonts w:ascii="Courier New" w:hAnsi="Courier New" w:cs="Courier New"/>
      <w:sz w:val="20"/>
      <w:szCs w:val="20"/>
      <w:lang w:eastAsia="en-US"/>
    </w:rPr>
  </w:style>
  <w:style w:type="character" w:customStyle="1" w:styleId="20">
    <w:name w:val="Заголовок 2 Знак"/>
    <w:link w:val="2"/>
    <w:rsid w:val="0063696F"/>
    <w:rPr>
      <w:rFonts w:ascii="Cambria" w:hAnsi="Cambria"/>
      <w:b/>
      <w:bCs/>
      <w:i/>
      <w:iCs/>
      <w:sz w:val="28"/>
      <w:szCs w:val="28"/>
    </w:rPr>
  </w:style>
  <w:style w:type="paragraph" w:styleId="a6">
    <w:name w:val="Balloon Text"/>
    <w:basedOn w:val="a"/>
    <w:link w:val="a7"/>
    <w:rsid w:val="00CE2932"/>
    <w:rPr>
      <w:rFonts w:ascii="Tahoma" w:hAnsi="Tahoma"/>
      <w:sz w:val="16"/>
      <w:szCs w:val="16"/>
      <w:lang w:val="x-none" w:eastAsia="x-none"/>
    </w:rPr>
  </w:style>
  <w:style w:type="character" w:customStyle="1" w:styleId="a7">
    <w:name w:val="Текст выноски Знак"/>
    <w:link w:val="a6"/>
    <w:rsid w:val="00CE2932"/>
    <w:rPr>
      <w:rFonts w:ascii="Tahoma" w:hAnsi="Tahoma" w:cs="Tahoma"/>
      <w:sz w:val="16"/>
      <w:szCs w:val="16"/>
    </w:rPr>
  </w:style>
  <w:style w:type="paragraph" w:styleId="a8">
    <w:name w:val="header"/>
    <w:basedOn w:val="a"/>
    <w:link w:val="a9"/>
    <w:rsid w:val="00CE2932"/>
    <w:pPr>
      <w:tabs>
        <w:tab w:val="center" w:pos="4677"/>
        <w:tab w:val="right" w:pos="9355"/>
      </w:tabs>
    </w:pPr>
    <w:rPr>
      <w:lang w:val="x-none" w:eastAsia="x-none"/>
    </w:rPr>
  </w:style>
  <w:style w:type="character" w:customStyle="1" w:styleId="a9">
    <w:name w:val="Верхний колонтитул Знак"/>
    <w:link w:val="a8"/>
    <w:rsid w:val="00CE2932"/>
    <w:rPr>
      <w:sz w:val="24"/>
      <w:szCs w:val="24"/>
    </w:rPr>
  </w:style>
  <w:style w:type="paragraph" w:styleId="aa">
    <w:name w:val="footer"/>
    <w:basedOn w:val="a"/>
    <w:link w:val="ab"/>
    <w:uiPriority w:val="99"/>
    <w:rsid w:val="00CE2932"/>
    <w:pPr>
      <w:tabs>
        <w:tab w:val="center" w:pos="4677"/>
        <w:tab w:val="right" w:pos="9355"/>
      </w:tabs>
    </w:pPr>
    <w:rPr>
      <w:lang w:val="x-none" w:eastAsia="x-none"/>
    </w:rPr>
  </w:style>
  <w:style w:type="character" w:customStyle="1" w:styleId="ab">
    <w:name w:val="Нижний колонтитул Знак"/>
    <w:link w:val="aa"/>
    <w:uiPriority w:val="99"/>
    <w:rsid w:val="00CE2932"/>
    <w:rPr>
      <w:sz w:val="24"/>
      <w:szCs w:val="24"/>
    </w:rPr>
  </w:style>
  <w:style w:type="paragraph" w:styleId="ac">
    <w:name w:val="List Paragraph"/>
    <w:basedOn w:val="a"/>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a5">
    <w:name w:val="Текст Знак"/>
    <w:link w:val="a4"/>
    <w:rsid w:val="00C12CCA"/>
    <w:rPr>
      <w:rFonts w:ascii="Courier New" w:hAnsi="Courier New" w:cs="Courier New"/>
    </w:rPr>
  </w:style>
  <w:style w:type="character" w:styleId="ad">
    <w:name w:val="Hyperlink"/>
    <w:uiPriority w:val="99"/>
    <w:unhideWhenUsed/>
    <w:rsid w:val="00C12CCA"/>
    <w:rPr>
      <w:color w:val="0000FF"/>
      <w:u w:val="single"/>
    </w:rPr>
  </w:style>
  <w:style w:type="character" w:styleId="ae">
    <w:name w:val="Emphasis"/>
    <w:qFormat/>
    <w:rsid w:val="00C55F37"/>
    <w:rPr>
      <w:i/>
      <w:iCs/>
    </w:rPr>
  </w:style>
  <w:style w:type="paragraph" w:styleId="af">
    <w:name w:val="Title"/>
    <w:basedOn w:val="a"/>
    <w:next w:val="a"/>
    <w:link w:val="af0"/>
    <w:qFormat/>
    <w:rsid w:val="00C55F37"/>
    <w:pPr>
      <w:spacing w:before="240" w:after="60"/>
      <w:jc w:val="center"/>
      <w:outlineLvl w:val="0"/>
    </w:pPr>
    <w:rPr>
      <w:rFonts w:ascii="Cambria" w:hAnsi="Cambria"/>
      <w:b/>
      <w:bCs/>
      <w:kern w:val="28"/>
      <w:sz w:val="32"/>
      <w:szCs w:val="32"/>
      <w:lang w:eastAsia="en-US"/>
    </w:rPr>
  </w:style>
  <w:style w:type="character" w:customStyle="1" w:styleId="af0">
    <w:name w:val="Заголовок Знак"/>
    <w:link w:val="af"/>
    <w:rsid w:val="00C55F37"/>
    <w:rPr>
      <w:rFonts w:ascii="Cambria" w:eastAsia="Times New Roman" w:hAnsi="Cambria" w:cs="Times New Roman"/>
      <w:b/>
      <w:bCs/>
      <w:kern w:val="28"/>
      <w:sz w:val="32"/>
      <w:szCs w:val="32"/>
    </w:rPr>
  </w:style>
  <w:style w:type="paragraph" w:styleId="af1">
    <w:name w:val="Normal (Web)"/>
    <w:basedOn w:val="a"/>
    <w:uiPriority w:val="99"/>
    <w:unhideWhenUsed/>
    <w:rsid w:val="00AD40F7"/>
    <w:pPr>
      <w:spacing w:before="100" w:beforeAutospacing="1" w:after="100" w:afterAutospacing="1"/>
    </w:pPr>
    <w:rPr>
      <w:lang w:eastAsia="en-US"/>
    </w:rPr>
  </w:style>
  <w:style w:type="character" w:customStyle="1" w:styleId="spoilerhidden">
    <w:name w:val="spoilerhidden"/>
    <w:basedOn w:val="a0"/>
    <w:rsid w:val="00243EBB"/>
  </w:style>
  <w:style w:type="character" w:customStyle="1" w:styleId="showphonebutton">
    <w:name w:val="showphonebutton"/>
    <w:basedOn w:val="a0"/>
    <w:rsid w:val="00243EBB"/>
  </w:style>
  <w:style w:type="character" w:styleId="af2">
    <w:name w:val="Placeholder Text"/>
    <w:basedOn w:val="a0"/>
    <w:uiPriority w:val="99"/>
    <w:semiHidden/>
    <w:rsid w:val="00BA357E"/>
    <w:rPr>
      <w:color w:val="808080"/>
    </w:rPr>
  </w:style>
  <w:style w:type="character" w:customStyle="1" w:styleId="30">
    <w:name w:val="Заголовок 3 Знак"/>
    <w:basedOn w:val="a0"/>
    <w:link w:val="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2702"/>
    <w:pPr>
      <w:widowControl w:val="0"/>
      <w:autoSpaceDE w:val="0"/>
      <w:autoSpaceDN w:val="0"/>
      <w:ind w:left="110"/>
    </w:pPr>
    <w:rPr>
      <w:sz w:val="22"/>
      <w:szCs w:val="22"/>
      <w:lang w:val="ms" w:eastAsia="en-US"/>
    </w:rPr>
  </w:style>
  <w:style w:type="character" w:customStyle="1" w:styleId="10">
    <w:name w:val="Заголовок 1 Знак"/>
    <w:basedOn w:val="a0"/>
    <w:link w:val="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51314-5885-49D9-8DA4-43D8E8C3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1865</Words>
  <Characters>10633</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 </cp:lastModifiedBy>
  <cp:revision>64</cp:revision>
  <cp:lastPrinted>2023-02-15T11:05:00Z</cp:lastPrinted>
  <dcterms:created xsi:type="dcterms:W3CDTF">2023-03-03T19:33:00Z</dcterms:created>
  <dcterms:modified xsi:type="dcterms:W3CDTF">2023-04-16T19:21:00Z</dcterms:modified>
</cp:coreProperties>
</file>