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50" w:after="283"/>
        <w:jc w:val="left"/>
        <w:rPr/>
      </w:pPr>
      <w:r>
        <w:rPr/>
        <w:t>Documentation technique — Plugin SGA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Plugin CollectiveAccess Providence — INRAP</w:t>
      </w:r>
    </w:p>
    <w:p>
      <w:pPr>
        <w:pStyle w:val="Heading2"/>
        <w:bidi w:val="0"/>
        <w:jc w:val="left"/>
        <w:rPr/>
      </w:pPr>
      <w:r>
        <w:rPr/>
        <w:t>Vue d'ensemble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Le plugin </w:t>
      </w:r>
      <w:r>
        <w:rPr>
          <w:rStyle w:val="StrongEmphasis"/>
        </w:rPr>
        <w:t>SGA</w:t>
      </w:r>
      <w:r>
        <w:rPr/>
        <w:t xml:space="preserve"> permet de </w:t>
      </w:r>
      <w:r>
        <w:rPr>
          <w:rStyle w:val="StrongEmphasis"/>
        </w:rPr>
        <w:t>synchroniser les données d'opérations archéologiques</w:t>
      </w:r>
      <w:r>
        <w:rPr/>
        <w:t xml:space="preserve"> depuis le Système de Gestion d'Archéologie (SGA) vers la base CollectiveAccess (Comodo).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Le plugin offre un </w:t>
      </w:r>
      <w:r>
        <w:rPr>
          <w:rStyle w:val="StrongEmphasis"/>
        </w:rPr>
        <w:t>workflow complet</w:t>
      </w:r>
      <w:r>
        <w:rPr/>
        <w:t xml:space="preserve"> : consultation des opérations SGA (importées ou non), comparaison côte à côte des données SGA/Comodo, import de nouvelles opérations ou mise à jour sélective des opérations existantes. Il compare </w:t>
      </w:r>
      <w:r>
        <w:rPr>
          <w:rStyle w:val="StrongEmphasis"/>
        </w:rPr>
        <w:t>plus de 30 champs métadonnées</w:t>
      </w:r>
      <w:r>
        <w:rPr/>
        <w:t xml:space="preserve"> et gère automatiquement les relations avec les entités, les lieux et les emplacements.</w:t>
      </w:r>
    </w:p>
    <w:p>
      <w:pPr>
        <w:pStyle w:val="Heading3"/>
        <w:bidi w:val="0"/>
        <w:jc w:val="left"/>
        <w:rPr/>
      </w:pPr>
      <w:r>
        <w:rPr/>
        <w:t>Rôle du plugin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Importer des opérations archéologiques depuis la table </w:t>
      </w:r>
      <w:r>
        <w:rPr>
          <w:rStyle w:val="SourceText"/>
        </w:rPr>
        <w:t>_sga_comodo</w:t>
      </w:r>
      <w:r>
        <w:rPr/>
        <w:t xml:space="preserve"> vers les collections CollectiveAccess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Comparer les données SGA avec les données existantes dans Comodo (plus de 30 champs)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Permettre la mise à jour sélective (champ par champ) des collections existantes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Créer ou rechercher automatiquement les entités (responsables, SRA, prescripteurs)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Créer ou rechercher automatiquement les lieux (communes) et emplacements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Afficher un bouton d'import rapide dans l'inspecteur de l'éditeur de collections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ind w:left="1159" w:right="450" w:hanging="283"/>
        <w:jc w:val="left"/>
        <w:rPr/>
      </w:pPr>
      <w:r>
        <w:rPr/>
        <w:t xml:space="preserve">Générer des tables HTML (via DataTables) pour lister les opérations importées et non importées </w:t>
      </w:r>
    </w:p>
    <w:p>
      <w:pPr>
        <w:pStyle w:val="Heading3"/>
        <w:bidi w:val="0"/>
        <w:jc w:val="left"/>
        <w:rPr/>
      </w:pPr>
      <w:r>
        <w:rPr/>
        <w:t>Hooks utilisés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>
          <w:rStyle w:val="StrongEmphasis"/>
        </w:rPr>
        <w:t>hookRenderMenuBar</w:t>
      </w:r>
      <w:r>
        <w:rPr/>
        <w:t xml:space="preserve"> — Ajoute deux sous-menus dans la barre de navigation : « Liste des opérations importées SGA » et « Liste des opérations non importées SGA »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ind w:left="1159" w:right="450" w:hanging="283"/>
        <w:jc w:val="left"/>
        <w:rPr/>
      </w:pPr>
      <w:r>
        <w:rPr>
          <w:rStyle w:val="StrongEmphasis"/>
        </w:rPr>
        <w:t>hookAppendToEditorInspector</w:t>
      </w:r>
      <w:r>
        <w:rPr/>
        <w:t xml:space="preserve"> — Affiche un bouton « Importation donnée du SGA » dans l'inspecteur latéral de l'éditeur de collections lorsque des différences sont détectées avec le SGA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Aucune restriction de rôle</w:t>
      </w:r>
      <w:r>
        <w:rPr/>
        <w:t xml:space="preserve"> — </w:t>
      </w:r>
      <w:r>
        <w:rPr>
          <w:rStyle w:val="SourceText"/>
        </w:rPr>
        <w:t>getRoleActionList</w:t>
      </w:r>
      <w:r>
        <w:rPr/>
        <w:t xml:space="preserve"> retourne un tableau vide.</w:t>
      </w:r>
    </w:p>
    <w:p>
      <w:pPr>
        <w:pStyle w:val="Heading2"/>
        <w:bidi w:val="0"/>
        <w:jc w:val="left"/>
        <w:rPr/>
      </w:pPr>
      <w:r>
        <w:rPr/>
        <w:t>Workflow de synchronisation</w:t>
      </w:r>
    </w:p>
    <w:p>
      <w:pPr>
        <w:pStyle w:val="Heading3"/>
        <w:bidi w:val="0"/>
        <w:jc w:val="left"/>
        <w:rPr/>
      </w:pPr>
      <w:r>
        <w:rPr/>
        <w:t>Import d'une nouvelle opération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L'utilisateur accède à « Liste des opérations non importées SGA »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Sélection d'une opération → action </w:t>
      </w:r>
      <w:r>
        <w:rPr>
          <w:rStyle w:val="SourceText"/>
        </w:rPr>
        <w:t>Compare()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Affichage des données SGA (la collection n'existe pas dans Comodo)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Clic sur « Importer » → action </w:t>
      </w:r>
      <w:r>
        <w:rPr>
          <w:rStyle w:val="SourceText"/>
        </w:rPr>
        <w:t>Importer()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Création de la collection avec toutes les métadonnées et relations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ind w:left="1159" w:right="450" w:hanging="283"/>
        <w:jc w:val="left"/>
        <w:rPr/>
      </w:pPr>
      <w:r>
        <w:rPr/>
        <w:t xml:space="preserve">Page de résultat avec lien vers la fiche créée </w:t>
      </w:r>
    </w:p>
    <w:p>
      <w:pPr>
        <w:pStyle w:val="Heading3"/>
        <w:bidi w:val="0"/>
        <w:jc w:val="left"/>
        <w:rPr/>
      </w:pPr>
      <w:r>
        <w:rPr/>
        <w:t>Mise à jour d'une opération existante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L'utilisateur accède à « Liste des opérations importées SGA » ou via le bouton dans l'inspecteur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Sélection d'une opération → action </w:t>
      </w:r>
      <w:r>
        <w:rPr>
          <w:rStyle w:val="SourceText"/>
        </w:rPr>
        <w:t>Compare()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Affichage côte à côte : valeur SGA vs valeur Comodo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Sélection des champs à mettre à jour (cases à cocher)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Clic sur « Mettre à jour » → action </w:t>
      </w:r>
      <w:r>
        <w:rPr>
          <w:rStyle w:val="SourceText"/>
        </w:rPr>
        <w:t>Update()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ind w:left="1159" w:right="450" w:hanging="283"/>
        <w:jc w:val="left"/>
        <w:rPr/>
      </w:pPr>
      <w:r>
        <w:rPr/>
        <w:t xml:space="preserve">Mise à jour sélective et rapport d'écarts restants </w:t>
      </w:r>
    </w:p>
    <w:p>
      <w:pPr>
        <w:pStyle w:val="TextBody"/>
        <w:bidi w:val="0"/>
        <w:spacing w:before="180" w:after="180"/>
        <w:ind w:left="180" w:right="180" w:hanging="0"/>
        <w:jc w:val="left"/>
        <w:rPr/>
      </w:pPr>
      <w:r>
        <w:rPr>
          <w:rStyle w:val="StrongEmphasis"/>
          <w:sz w:val="20"/>
          <w:bdr w:val="single" w:sz="24" w:space="9" w:color="3498DB"/>
          <w:shd w:fill="EAF6FA" w:val="clear"/>
        </w:rPr>
        <w:t>Intégration éditeur :</w:t>
      </w:r>
      <w:r>
        <w:rPr>
          <w:sz w:val="20"/>
          <w:bdr w:val="single" w:sz="24" w:space="9" w:color="3498DB"/>
          <w:shd w:fill="EAF6FA" w:val="clear"/>
        </w:rPr>
        <w:t xml:space="preserve"> Lorsqu'un utilisateur consulte une fiche collection dans l'éditeur, le plugin vérifie automatiquement s'il existe des différences avec le SGA. Si c'est le cas, un bouton bleu « Importation donnée du SGA » apparaît dans l'inspecteur latéral. </w:t>
      </w:r>
    </w:p>
    <w:p>
      <w:pPr>
        <w:pStyle w:val="Heading2"/>
        <w:bidi w:val="0"/>
        <w:jc w:val="left"/>
        <w:rPr/>
      </w:pPr>
      <w:r>
        <w:rPr/>
        <w:t>Champs comparés et importés</w:t>
      </w:r>
    </w:p>
    <w:p>
      <w:pPr>
        <w:pStyle w:val="TextBody"/>
        <w:bidi w:val="0"/>
        <w:spacing w:before="0" w:after="283"/>
        <w:jc w:val="left"/>
        <w:rPr/>
      </w:pPr>
      <w:r>
        <w:rPr/>
        <w:t>Le plugin compare et synchronise plus de 30 champs métadonnées entre le SGA et Comodo :</w:t>
      </w:r>
    </w:p>
    <w:tbl>
      <w:tblPr>
        <w:tblW w:w="68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9"/>
        <w:gridCol w:w="2868"/>
        <w:gridCol w:w="1765"/>
      </w:tblGrid>
      <w:tr>
        <w:trPr/>
        <w:tc>
          <w:tcPr>
            <w:tcW w:w="2209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Champ SGA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Métadonnée CA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 INRAP (idno)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idno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Identifiant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Ancien code INRAP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inrap_ancien_code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 d'opération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inrap_type_op.inrap_type_ope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 (container)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Axe analytique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inrap_type_op.inrap_axe_analytique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 (container)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Numéro OA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inrap_numero_oa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Responsable d'opération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ca_entities</w:t>
            </w:r>
            <w:r>
              <w:rPr/>
              <w:t xml:space="preserve"> (rel. type 1515)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Relation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Commune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ca_places</w:t>
            </w:r>
            <w:r>
              <w:rPr/>
              <w:t xml:space="preserve"> (rel. type 1474)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Relation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Lieu-dit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inrap_lieu_dit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 INSEE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inrap_code_insee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Parcelle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inrap_parcelle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Centre opérationnel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inrap_centre_op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SRA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ca_entities</w:t>
            </w:r>
            <w:r>
              <w:rPr/>
              <w:t xml:space="preserve"> (rel. type 252)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Relation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Agent prescripteur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ca_entities</w:t>
            </w:r>
            <w:r>
              <w:rPr/>
              <w:t xml:space="preserve"> (rel. type 1519)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Relation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Direction INRAP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ca_entities</w:t>
            </w:r>
            <w:r>
              <w:rPr/>
              <w:t xml:space="preserve"> (rel. type 1516)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Relation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N° autorisation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inrap_numero_autorisation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d'autorisation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inrap_date_autorisation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Dates terrain (début/fin)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inrap_date_terrain.*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Container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remise rapport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inrap_date_rapport.*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Container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Dates programmation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inrap_date_programmation.*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Container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Surface</w:t>
            </w:r>
          </w:p>
        </w:tc>
        <w:tc>
          <w:tcPr>
            <w:tcW w:w="2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inrap_surface_ope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Attribut</w:t>
            </w:r>
          </w:p>
        </w:tc>
      </w:tr>
    </w:tbl>
    <w:p>
      <w:pPr>
        <w:pStyle w:val="Heading2"/>
        <w:bidi w:val="0"/>
        <w:jc w:val="left"/>
        <w:rPr/>
      </w:pPr>
      <w:r>
        <w:rPr/>
        <w:t>Mapping des directions</w:t>
      </w:r>
    </w:p>
    <w:p>
      <w:pPr>
        <w:pStyle w:val="TextBody"/>
        <w:bidi w:val="0"/>
        <w:spacing w:before="0" w:after="283"/>
        <w:jc w:val="left"/>
        <w:rPr/>
      </w:pPr>
      <w:r>
        <w:rPr/>
        <w:t>Le plugin convertit les noms de direction SGA en codes de direction INRAP :</w:t>
      </w:r>
    </w:p>
    <w:tbl>
      <w:tblPr>
        <w:tblW w:w="49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31"/>
        <w:gridCol w:w="1921"/>
      </w:tblGrid>
      <w:tr>
        <w:trPr/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Direction SGA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Code INRAP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Centre Ile de France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CIF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Grand Ouest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GO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Grand Est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GE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Auvergne-Rhône-Alpes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ARA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Hauts-de-France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HDF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Midi-Méditerranée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MIDIMED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Outre-mer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NAOM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Nouvelle Aquitaine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NAOM</w:t>
            </w:r>
          </w:p>
        </w:tc>
      </w:tr>
      <w:tr>
        <w:trPr/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Bourgogne-Franche-Comté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DIR BFC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Contrôleur</w:t>
      </w:r>
    </w:p>
    <w:p>
      <w:pPr>
        <w:pStyle w:val="Heading3"/>
        <w:bidi w:val="0"/>
        <w:jc w:val="left"/>
        <w:rPr/>
      </w:pPr>
      <w:r>
        <w:rPr/>
        <w:t>SGAController (711 lignes)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controllers/SGAController.php</w:t>
      </w:r>
      <w:r>
        <w:rPr/>
        <w:t xml:space="preserve"> — Contrôleur principal gérant les actions d'import, comparaison et mise à jour.</w:t>
      </w:r>
    </w:p>
    <w:tbl>
      <w:tblPr>
        <w:tblW w:w="68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84"/>
        <w:gridCol w:w="2786"/>
        <w:gridCol w:w="1672"/>
      </w:tblGrid>
      <w:tr>
        <w:trPr/>
        <w:tc>
          <w:tcPr>
            <w:tcW w:w="2384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Action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Vue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Compare()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Comparaison SGA/Comodo</w:t>
            </w:r>
            <w:r>
              <w:rPr/>
              <w:t xml:space="preserve"> — Récupère l'enregistrement SGA depuis </w:t>
            </w:r>
            <w:r>
              <w:rPr>
                <w:rStyle w:val="SourceText"/>
              </w:rPr>
              <w:t>_sga_comodo</w:t>
            </w:r>
            <w:r>
              <w:rPr/>
              <w:t>, charge la collection par idno, compare 30+ champs et affiche les différences côte à côte.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compare_html.php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IndexImporte()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Opérations importées</w:t>
            </w:r>
            <w:r>
              <w:rPr/>
              <w:t xml:space="preserve"> — Affiche la liste des opérations SGA déjà présentes dans Comodo.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index_importe_html.php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IndexNonImporte()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Opérations non importées</w:t>
            </w:r>
            <w:r>
              <w:rPr/>
              <w:t xml:space="preserve"> — Affiche la liste des opérations SGA pas encore importées.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index_non_import_html.php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Importer()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Import complet</w:t>
            </w:r>
            <w:r>
              <w:rPr/>
              <w:t xml:space="preserve"> — Crée une nouvelle collection avec toutes les métadonnées SGA, crée/lie les entités et lieux, génère le libellé automatique, déclenche les hooks.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import_html.php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Update()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Mise à jour sélective</w:t>
            </w:r>
            <w:r>
              <w:rPr/>
              <w:t xml:space="preserve"> — Met à jour uniquement les champs sélectionnés par l'utilisateur (via cases à cocher), génère le nouveau libellé, déclenche les hooks.</w:t>
            </w:r>
          </w:p>
        </w:tc>
        <w:tc>
          <w:tcPr>
            <w:tcW w:w="16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update_html.php</w:t>
            </w:r>
          </w:p>
        </w:tc>
      </w:tr>
    </w:tbl>
    <w:p>
      <w:pPr>
        <w:pStyle w:val="TextBody"/>
        <w:bidi w:val="0"/>
        <w:spacing w:before="180" w:after="180"/>
        <w:ind w:left="180" w:right="180" w:hanging="0"/>
        <w:jc w:val="left"/>
        <w:rPr/>
      </w:pPr>
      <w:r>
        <w:rPr>
          <w:rStyle w:val="StrongEmphasis"/>
          <w:sz w:val="20"/>
          <w:bdr w:val="single" w:sz="24" w:space="9" w:color="3498DB"/>
          <w:shd w:fill="EAF6FA" w:val="clear"/>
        </w:rPr>
        <w:t>Génération du libellé :</w:t>
      </w:r>
      <w:r>
        <w:rPr>
          <w:sz w:val="20"/>
          <w:bdr w:val="single" w:sz="24" w:space="9" w:color="3498DB"/>
          <w:shd w:fill="EAF6FA" w:val="clear"/>
        </w:rPr>
        <w:t xml:space="preserve"> Lors de l'import ou de la mise à jour, le plugin génère automatiquement le libellé de la collection au format : </w:t>
      </w:r>
      <w:r>
        <w:rPr>
          <w:rStyle w:val="Emphasis"/>
          <w:sz w:val="20"/>
          <w:bdr w:val="single" w:sz="24" w:space="9" w:color="3498DB"/>
          <w:shd w:fill="EAF6FA" w:val="clear"/>
        </w:rPr>
        <w:t>Commune / Lieu-dit / Année / Responsable d'opération</w:t>
      </w:r>
      <w:r>
        <w:rPr>
          <w:sz w:val="20"/>
          <w:bdr w:val="single" w:sz="24" w:space="9" w:color="3498DB"/>
          <w:shd w:fill="EAF6FA" w:val="clear"/>
        </w:rPr>
        <w:t xml:space="preserve">. </w:t>
      </w:r>
    </w:p>
    <w:p>
      <w:pPr>
        <w:pStyle w:val="TextBody"/>
        <w:bidi w:val="0"/>
        <w:spacing w:before="180" w:after="180"/>
        <w:ind w:left="180" w:right="180" w:hanging="0"/>
        <w:jc w:val="left"/>
        <w:rPr/>
      </w:pPr>
      <w:r>
        <w:rPr>
          <w:rStyle w:val="StrongEmphasis"/>
          <w:sz w:val="20"/>
          <w:bdr w:val="single" w:sz="24" w:space="9" w:color="3498DB"/>
          <w:shd w:fill="EAF6FA" w:val="clear"/>
        </w:rPr>
        <w:t>Détection d'erreurs :</w:t>
      </w:r>
      <w:r>
        <w:rPr>
          <w:sz w:val="20"/>
          <w:bdr w:val="single" w:sz="24" w:space="9" w:color="3498DB"/>
          <w:shd w:fill="EAF6FA" w:val="clear"/>
        </w:rPr>
        <w:t xml:space="preserve"> Après chaque import ou mise à jour, le plugin effectue une nouvelle comparaison pour détecter les écarts restants. Les causes courantes sont : différences de formatage de noms, entités ou lieux non trouvés, ou valeurs similaires mais pas identiques. </w:t>
      </w:r>
    </w:p>
    <w:p>
      <w:pPr>
        <w:pStyle w:val="Heading2"/>
        <w:bidi w:val="0"/>
        <w:jc w:val="left"/>
        <w:rPr/>
      </w:pPr>
      <w:r>
        <w:rPr/>
        <w:t>Fonctions utilitaires (lib/)</w:t>
      </w:r>
    </w:p>
    <w:p>
      <w:pPr>
        <w:pStyle w:val="Heading3"/>
        <w:bidi w:val="0"/>
        <w:jc w:val="left"/>
        <w:rPr/>
      </w:pPr>
      <w:r>
        <w:rPr/>
        <w:t>migration_functionlib.php (561 lignes)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lib/migration_functionlib.php</w:t>
      </w:r>
      <w:r>
        <w:rPr/>
        <w:t xml:space="preserve"> — Bibliothèque de fonctions utilitaires pour la migration de données.</w:t>
      </w:r>
    </w:p>
    <w:tbl>
      <w:tblPr>
        <w:tblW w:w="68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71"/>
        <w:gridCol w:w="2071"/>
      </w:tblGrid>
      <w:tr>
        <w:trPr/>
        <w:tc>
          <w:tcPr>
            <w:tcW w:w="477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Fonction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getListID()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Crée ou charge un vocabulaire (liste)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ExistsItemID()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Vérifie l'existence d'un élément de liste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getItemID()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Récupère ou crée un élément de liste hiérarchique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getStorageLocationID()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Crée ou récupère un emplacement de stockage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getStorageLocationIDfromPartialName()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 d'emplacement par nom partiel (SQL direct)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getMovementID()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Récupère ou crée un mouvement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getCollectionID()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Récupère ou crée une collection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getOccurrenceID()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Récupère ou crée une occurrence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getObjectID()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Récupère ou crée un objet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getPlaceID()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Récupère ou crée un lieu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getEntityID()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 d'entité par nom (via EntitySearch, multiples formats)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getEntityIDByIdno()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 d'entité par idno (création si inexistante)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insertRelationEntitiesXPlaces()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Crée une relation entité-lieu (sans doublons)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updateObjetLot()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 à jour l'affectation lot d'un objet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cleanupDate()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Normalise les dates (suppression approximations, conversion formats)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show_status()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Affiche une barre de progression console</w:t>
            </w:r>
          </w:p>
        </w:tc>
      </w:tr>
    </w:tbl>
    <w:p>
      <w:pPr>
        <w:pStyle w:val="Heading3"/>
        <w:bidi w:val="0"/>
        <w:jc w:val="left"/>
        <w:rPr/>
      </w:pPr>
      <w:r>
        <w:rPr/>
        <w:t>update_table.php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lib/update_table.php</w:t>
      </w:r>
      <w:r>
        <w:rPr/>
        <w:t xml:space="preserve"> — Script utilitaire qui génère les tables HTML statiques des opérations SGA.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Interroge la table </w:t>
      </w:r>
      <w:r>
        <w:rPr>
          <w:rStyle w:val="SourceText"/>
        </w:rPr>
        <w:t>_sga_comodo</w:t>
      </w:r>
      <w:r>
        <w:rPr/>
        <w:t xml:space="preserve"> pour toutes les opérations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Pour chaque opération, vérifie son existence dans </w:t>
      </w:r>
      <w:r>
        <w:rPr>
          <w:rStyle w:val="SourceText"/>
        </w:rPr>
        <w:t>ca_collections</w:t>
      </w:r>
      <w:r>
        <w:rPr/>
        <w:t xml:space="preserve"> par idno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Génère deux fichiers HTML statiques : 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868" w:leader="none"/>
        </w:tabs>
        <w:bidi w:val="0"/>
        <w:spacing w:before="0" w:after="0"/>
        <w:ind w:left="1868" w:right="450" w:hanging="283"/>
        <w:jc w:val="left"/>
        <w:rPr/>
      </w:pPr>
      <w:r>
        <w:rPr>
          <w:rStyle w:val="SourceText"/>
        </w:rPr>
        <w:t>table_importe.html</w:t>
      </w:r>
      <w:r>
        <w:rPr/>
        <w:t xml:space="preserve"> — Opérations déjà importées (avec lien « Mettre à jour ») 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1868" w:leader="none"/>
        </w:tabs>
        <w:bidi w:val="0"/>
        <w:spacing w:before="0" w:after="0"/>
        <w:ind w:left="1868" w:right="450" w:hanging="283"/>
        <w:jc w:val="left"/>
        <w:rPr/>
      </w:pPr>
      <w:r>
        <w:rPr>
          <w:rStyle w:val="SourceText"/>
        </w:rPr>
        <w:t>table_non_importe.html</w:t>
      </w:r>
      <w:r>
        <w:rPr/>
        <w:t xml:space="preserve"> — Opérations non importées (avec lien « Importer »)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Colonnes : Code INRAP, Direction, Centre opérationnel, Commune, Lieu-dit, Action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ind w:left="1159" w:right="450" w:hanging="283"/>
        <w:jc w:val="left"/>
        <w:rPr/>
      </w:pPr>
      <w:r>
        <w:rPr/>
        <w:t xml:space="preserve">Utilise le plugin jQuery </w:t>
      </w:r>
      <w:r>
        <w:rPr>
          <w:rStyle w:val="StrongEmphasis"/>
        </w:rPr>
        <w:t>DataTables</w:t>
      </w:r>
      <w:r>
        <w:rPr/>
        <w:t xml:space="preserve"> pour le tri et la recherche </w:t>
      </w:r>
    </w:p>
    <w:p>
      <w:pPr>
        <w:pStyle w:val="TextBody"/>
        <w:bidi w:val="0"/>
        <w:spacing w:before="180" w:after="180"/>
        <w:ind w:left="180" w:right="180" w:hanging="0"/>
        <w:jc w:val="left"/>
        <w:rPr/>
      </w:pPr>
      <w:r>
        <w:rPr>
          <w:rStyle w:val="StrongEmphasis"/>
          <w:sz w:val="20"/>
          <w:bdr w:val="single" w:sz="24" w:space="9" w:color="D4A017"/>
          <w:shd w:fill="FEF9E7" w:val="clear"/>
        </w:rPr>
        <w:t>Fichiers volumineux :</w:t>
      </w:r>
      <w:r>
        <w:rPr>
          <w:sz w:val="20"/>
          <w:bdr w:val="single" w:sz="24" w:space="9" w:color="D4A017"/>
          <w:shd w:fill="FEF9E7" w:val="clear"/>
        </w:rPr>
        <w:t xml:space="preserve"> Les tables générées peuvent être très volumineuses (~5,7 Mo pour les opérations importées, ~13 Mo pour les non importées). </w:t>
      </w:r>
    </w:p>
    <w:p>
      <w:pPr>
        <w:pStyle w:val="Heading2"/>
        <w:bidi w:val="0"/>
        <w:jc w:val="left"/>
        <w:rPr/>
      </w:pPr>
      <w:r>
        <w:rPr/>
        <w:t>Vues</w:t>
      </w:r>
    </w:p>
    <w:tbl>
      <w:tblPr>
        <w:tblW w:w="68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4576"/>
      </w:tblGrid>
      <w:tr>
        <w:trPr/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Fichier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compare_html.php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Page de comparaison</w:t>
            </w:r>
            <w:r>
              <w:rPr/>
              <w:t xml:space="preserve"> — Tableau à trois colonnes (Champ / Valeur SGA / Valeur Comodo). Si la collection n'existe pas, propose « Importer ». Sinon, cases à cocher pour mise à jour sélective.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import_html.php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Résultat d'import</w:t>
            </w:r>
            <w:r>
              <w:rPr/>
              <w:t xml:space="preserve"> — Message de succès avec lien vers la fiche créée. Tableau des écarts restants si applicable.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update_html.php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Résultat de mise à jour</w:t>
            </w:r>
            <w:r>
              <w:rPr/>
              <w:t xml:space="preserve"> — Similaire à </w:t>
            </w:r>
            <w:r>
              <w:rPr>
                <w:rStyle w:val="SourceText"/>
              </w:rPr>
              <w:t>import_html.php</w:t>
            </w:r>
            <w:r>
              <w:rPr/>
              <w:t xml:space="preserve"> pour les mises à jour sélectives.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index_importe_html.php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Liste importées</w:t>
            </w:r>
            <w:r>
              <w:rPr/>
              <w:t xml:space="preserve"> — Intègre </w:t>
            </w:r>
            <w:r>
              <w:rPr>
                <w:rStyle w:val="SourceText"/>
              </w:rPr>
              <w:t>table_importe.html</w:t>
            </w:r>
            <w:r>
              <w:rPr/>
              <w:t xml:space="preserve"> avec DataTables.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index_non_import_html.php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Liste non importées</w:t>
            </w:r>
            <w:r>
              <w:rPr/>
              <w:t xml:space="preserve"> — Intègre </w:t>
            </w:r>
            <w:r>
              <w:rPr>
                <w:rStyle w:val="SourceText"/>
              </w:rPr>
              <w:t>table_non_importe.html</w:t>
            </w:r>
            <w:r>
              <w:rPr/>
              <w:t xml:space="preserve"> dans une iframe.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table_importe.html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HTML générée (~5,7 Mo) — opérations déjà importées.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table_non_importe.html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HTML générée (~13 Mo) — opérations non importées.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Configuration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conf/sga.conf</w:t>
      </w:r>
    </w:p>
    <w:tbl>
      <w:tblPr>
        <w:tblW w:w="68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1171"/>
        <w:gridCol w:w="4125"/>
      </w:tblGrid>
      <w:tr>
        <w:trPr/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Paramètre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Valeur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enabled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4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Active ou désactive le plugin. </w:t>
            </w:r>
            <w:r>
              <w:rPr>
                <w:rStyle w:val="StrongEmphasis"/>
              </w:rPr>
              <w:t>Activé par défaut.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Structure des fichiers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>SGA/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</w:t>
      </w:r>
      <w:r>
        <w:rPr/>
        <w:t>SGAPlugin.php                    # Classe principale du plugin (hooks)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</w:t>
      </w:r>
      <w:r>
        <w:rPr/>
        <w:t>conf/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sga.conf                       # Configuration (enabled = 1)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</w:t>
      </w:r>
      <w:r>
        <w:rPr/>
        <w:t>controllers/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SGAController.php              # Contrôleur principal (711 lignes)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</w:t>
      </w:r>
      <w:r>
        <w:rPr/>
        <w:t>lib/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migration_functionlib.php      # Fonctions utilitaires migration (561 lignes)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update_table.php               # Générateur de tables HTML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</w:t>
      </w:r>
      <w:r>
        <w:rPr/>
        <w:t>views/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compare_html.php               # Comparaison SGA / Comodo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import_html.php                # Résultat d'import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update_html.php                # Résultat de mise à jour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index_importe_html.php         # Liste opérations importées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index_non_import_html.php      # Liste opérations non importées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table_importe.html             # Table HTML générée (importées)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table_non_importe.html         # Table HTML générée (non importées)</w:t>
      </w:r>
    </w:p>
    <w:p>
      <w:pPr>
        <w:pStyle w:val="PreformattedText"/>
        <w:pBdr/>
        <w:shd w:fill="F5F5F5" w:val="clear"/>
        <w:bidi w:val="0"/>
        <w:spacing w:lineRule="auto" w:line="360" w:before="450" w:after="0"/>
        <w:jc w:val="left"/>
        <w:rPr/>
      </w:pPr>
      <w:r>
        <w:rPr/>
        <w:t xml:space="preserve">    </w:t>
      </w:r>
      <w:r>
        <w:rPr/>
        <w:t>index_html.php                 # Page index (vide)</w:t>
      </w:r>
    </w:p>
    <w:p>
      <w:pPr>
        <w:pStyle w:val="PreformattedText"/>
        <w:bidi w:val="0"/>
        <w:spacing w:before="450" w:after="283"/>
        <w:jc w:val="left"/>
        <w:rPr/>
      </w:pPr>
      <w:r>
        <w:rPr/>
        <w:t xml:space="preserve">  </w:t>
      </w:r>
      <w:r>
        <w:rPr/>
        <w:t>documentation/                   # Documentation (cette page)</w:t>
      </w:r>
    </w:p>
    <w:p>
      <w:pPr>
        <w:pStyle w:val="Heading2"/>
        <w:bidi w:val="0"/>
        <w:jc w:val="left"/>
        <w:rPr/>
      </w:pPr>
      <w:r>
        <w:rPr/>
        <w:t>Dépendances et interactions</w:t>
      </w:r>
    </w:p>
    <w:tbl>
      <w:tblPr>
        <w:tblW w:w="68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46"/>
        <w:gridCol w:w="3796"/>
      </w:tblGrid>
      <w:tr>
        <w:trPr/>
        <w:tc>
          <w:tcPr>
            <w:tcW w:w="3046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Composant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Heading"/>
              <w:suppressLineNumbers/>
              <w:shd w:fill="F0F0F0" w:val="clear"/>
              <w:bidi w:val="0"/>
              <w:spacing w:before="0" w:after="283"/>
              <w:jc w:val="left"/>
              <w:rPr/>
            </w:pPr>
            <w:r>
              <w:rPr/>
              <w:t>Type d'interaction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Table </w:t>
            </w:r>
            <w:r>
              <w:rPr>
                <w:rStyle w:val="SourceText"/>
              </w:rPr>
              <w:t>_sga_comodo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source contenant les données SGA synchronisées. Accès direct en SQL pour la lecture des opérations.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DataTables (jQuery)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Plugin JavaScript chargé depuis CDN pour le tri, la pagination et la recherche dans les listes d'opérations.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EntitySearch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Classe de recherche CA utilisée pour retrouver les entités (responsables, SRA, prescripteurs) par nom.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ApplicationPluginManager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Déclenche </w:t>
            </w:r>
            <w:r>
              <w:rPr>
                <w:rStyle w:val="SourceText"/>
              </w:rPr>
              <w:t>hookSaveItem</w:t>
            </w:r>
            <w:r>
              <w:rPr/>
              <w:t xml:space="preserve"> après chaque import ou mise à jour pour activer les plugins aval (prepopulate, etc.).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ca_collections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cible : les opérations SGA sont importées comme collections de type 125.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ca_entities / ca_places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Création ou recherche automatique des entités et lieux lors de l'import.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Activation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Le plugin est </w:t>
      </w:r>
      <w:r>
        <w:rPr>
          <w:rStyle w:val="StrongEmphasis"/>
        </w:rPr>
        <w:t>activé par défaut</w:t>
      </w:r>
      <w:r>
        <w:rPr/>
        <w:t xml:space="preserve"> (</w:t>
      </w:r>
      <w:r>
        <w:rPr>
          <w:rStyle w:val="SourceText"/>
        </w:rPr>
        <w:t>enabled = 1</w:t>
      </w:r>
      <w:r>
        <w:rPr/>
        <w:t xml:space="preserve"> dans </w:t>
      </w:r>
      <w:r>
        <w:rPr>
          <w:rStyle w:val="SourceText"/>
        </w:rPr>
        <w:t>sga.conf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Prérequis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Table </w:t>
      </w:r>
      <w:r>
        <w:rPr>
          <w:rStyle w:val="SourceText"/>
        </w:rPr>
        <w:t>_sga_comodo</w:t>
      </w:r>
      <w:r>
        <w:rPr/>
        <w:t xml:space="preserve"> alimentée et à jour dans la base de données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 xml:space="preserve">Entités (responsables, SRA, directions) pré-créées pour la recherche par nom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59" w:leader="none"/>
        </w:tabs>
        <w:bidi w:val="0"/>
        <w:spacing w:before="0" w:after="0"/>
        <w:ind w:left="1159" w:right="450" w:hanging="283"/>
        <w:jc w:val="left"/>
        <w:rPr/>
      </w:pPr>
      <w:r>
        <w:rPr/>
        <w:t>Tables de listes (</w:t>
      </w:r>
      <w:r>
        <w:rPr>
          <w:rStyle w:val="SourceText"/>
        </w:rPr>
        <w:t>ca_list_items</w:t>
      </w:r>
      <w:r>
        <w:rPr/>
        <w:t xml:space="preserve">) configurées pour les types d'opération et axes analytiques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59" w:leader="none"/>
        </w:tabs>
        <w:bidi w:val="0"/>
        <w:ind w:left="1159" w:right="450" w:hanging="283"/>
        <w:jc w:val="left"/>
        <w:rPr/>
      </w:pPr>
      <w:r>
        <w:rPr/>
        <w:t xml:space="preserve">Exécuter </w:t>
      </w:r>
      <w:r>
        <w:rPr>
          <w:rStyle w:val="SourceText"/>
        </w:rPr>
        <w:t>lib/update_table.php</w:t>
      </w:r>
      <w:r>
        <w:rPr/>
        <w:t xml:space="preserve"> pour régénérer les tables HTML </w:t>
      </w:r>
    </w:p>
    <w:p>
      <w:pPr>
        <w:pStyle w:val="TextBody"/>
        <w:bidi w:val="0"/>
        <w:spacing w:before="450" w:after="283"/>
        <w:jc w:val="left"/>
        <w:rPr/>
      </w:pPr>
      <w:r>
        <w:rPr>
          <w:rStyle w:val="StrongEmphasis"/>
          <w:color w:val="999999"/>
          <w:sz w:val="18"/>
          <w:bdr w:val="single" w:sz="2" w:space="6" w:color="DDDDDD"/>
        </w:rPr>
        <w:t>Date de documentation :</w:t>
      </w:r>
      <w:r>
        <w:rPr>
          <w:color w:val="999999"/>
          <w:sz w:val="18"/>
          <w:bdr w:val="single" w:sz="2" w:space="6" w:color="DDDDDD"/>
        </w:rPr>
        <w:t xml:space="preserve"> 2026-02-15 — </w:t>
      </w:r>
      <w:r>
        <w:rPr>
          <w:rStyle w:val="StrongEmphasis"/>
          <w:color w:val="999999"/>
          <w:sz w:val="18"/>
          <w:bdr w:val="single" w:sz="2" w:space="6" w:color="DDDDDD"/>
        </w:rPr>
        <w:t>Plugin :</w:t>
      </w:r>
      <w:r>
        <w:rPr>
          <w:color w:val="999999"/>
          <w:sz w:val="18"/>
          <w:bdr w:val="single" w:sz="2" w:space="6" w:color="DDDDDD"/>
        </w:rPr>
        <w:t xml:space="preserve"> SGA — </w:t>
      </w:r>
      <w:r>
        <w:rPr>
          <w:rStyle w:val="StrongEmphasis"/>
          <w:color w:val="999999"/>
          <w:sz w:val="18"/>
          <w:bdr w:val="single" w:sz="2" w:space="6" w:color="DDDDDD"/>
        </w:rPr>
        <w:t>Version CollectiveAccess :</w:t>
      </w:r>
      <w:r>
        <w:rPr>
          <w:color w:val="999999"/>
          <w:sz w:val="18"/>
          <w:bdr w:val="single" w:sz="2" w:space="6" w:color="DDDDDD"/>
        </w:rPr>
        <w:t xml:space="preserve"> Providence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450" w:after="450"/>
      <w:ind w:left="450" w:right="450" w:hanging="0"/>
    </w:pPr>
    <w:rPr>
      <w:rFonts w:ascii="Calibri;Arial;sans-serif" w:hAnsi="Calibri;Arial;sans-serif" w:eastAsia="Calibri;Arial;sans-serif" w:cs="Calibri;Arial;sans-serif"/>
      <w:color w:val="333333"/>
      <w:sz w:val="22"/>
      <w:szCs w:val="22"/>
      <w:lang w:val="fr-FR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5" w:color="3498DB"/>
      </w:pBdr>
      <w:spacing w:before="450" w:after="283"/>
    </w:pPr>
    <w:rPr>
      <w:rFonts w:ascii="Liberation Sans Unicode MS" w:hAnsi="Liberation Sans Unicode MS"/>
      <w:b/>
      <w:bCs/>
      <w:color w:val="3498DB"/>
      <w:sz w:val="40"/>
      <w:szCs w:val="40"/>
    </w:rPr>
  </w:style>
  <w:style w:type="paragraph" w:styleId="Heading2">
    <w:name w:val="Heading 2"/>
    <w:basedOn w:val="Heading"/>
    <w:next w:val="TextBody"/>
    <w:qFormat/>
    <w:pPr>
      <w:pBdr>
        <w:bottom w:val="single" w:sz="2" w:space="3" w:color="CCCCCC"/>
      </w:pBdr>
      <w:spacing w:before="375" w:after="120"/>
      <w:outlineLvl w:val="1"/>
    </w:pPr>
    <w:rPr>
      <w:rFonts w:ascii="Liberation Serif" w:hAnsi="Liberation Serif" w:eastAsia="Noto Sans" w:cs="Noto Sans Devanagari"/>
      <w:b/>
      <w:bCs/>
      <w:color w:val="3498DB"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270" w:after="120"/>
      <w:outlineLvl w:val="2"/>
    </w:pPr>
    <w:rPr>
      <w:rFonts w:ascii="Liberation Serif" w:hAnsi="Liberation Serif" w:eastAsia="Noto Sans" w:cs="Noto Sans Devanagari"/>
      <w:b/>
      <w:bCs/>
      <w:color w:val="555555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  <w:sz w:val="20"/>
      <w:szCs w:val="20"/>
      <w:shd w:fill="F4F4F4" w:val="clear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269" w:leader="none"/>
        <w:tab w:val="right" w:pos="1008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DDDDD"/>
        <w:left w:val="single" w:sz="2" w:space="8" w:color="DDDDDD"/>
        <w:bottom w:val="single" w:sz="2" w:space="8" w:color="DDDDDD"/>
        <w:right w:val="single" w:sz="2" w:space="8" w:color="DDDDDD"/>
      </w:pBdr>
      <w:shd w:fill="F5F5F5" w:val="clear"/>
      <w:spacing w:lineRule="auto" w:line="360" w:before="45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0F0F0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Documentation technique — Plugin SGA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