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50" w:after="283"/>
        <w:jc w:val="left"/>
        <w:rPr/>
      </w:pPr>
      <w:r>
        <w:rPr/>
        <w:t>Documentation technique — etatsInrap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Plugin CollectiveAccess Providence — INRAP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Vue d’ensemble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Le plugin </w:t>
      </w:r>
      <w:r>
        <w:rPr>
          <w:rStyle w:val="StrongEmphasis"/>
        </w:rPr>
        <w:t>etatsInrap</w:t>
      </w:r>
      <w:r>
        <w:rPr/>
        <w:t xml:space="preserve"> permet de générer des états et documents réglementaires (listes d’opérations, inventaires de collections, bordereaux de versement/mouvement, constats d’état, conditions de prêt, courriers) directement depuis l’interface de gestion de CollectiveAccess.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Il propose </w:t>
      </w:r>
      <w:r>
        <w:rPr>
          <w:rStyle w:val="StrongEmphasis"/>
        </w:rPr>
        <w:t>12 modèles</w:t>
      </w:r>
      <w:r>
        <w:rPr/>
        <w:t xml:space="preserve"> couvrant différents cas métier : listes d’opérations filtrées par statut/type/région, inventaires de collection, étiquettes, bordereaux, conditions de prêt pour expositions, et génération de courriers au format DOCX.</w:t>
      </w:r>
    </w:p>
    <w:p>
      <w:pPr>
        <w:pStyle w:val="Heading3"/>
        <w:bidi w:val="0"/>
        <w:jc w:val="left"/>
        <w:rPr/>
      </w:pPr>
      <w:r>
        <w:rPr/>
        <w:t>Rôle du plugin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Générer des listes d’opérations filtrées par type, statut et localisation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Produire des inventaires de collection (mobilier et contenants)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Générer des bordereaux de versement et de mouvement (HTML et DOCX)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Produire des courriers réglementaires au format DOCX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Générer des conditions de prêt pour les expositions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Imprimer des étiquettes prédécoupées (formats INRAP 10, 16 et 24 vues)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Afficher les listes de versements et de courriers </w:t>
      </w:r>
    </w:p>
    <w:p>
      <w:pPr>
        <w:pStyle w:val="Heading3"/>
        <w:bidi w:val="0"/>
        <w:jc w:val="left"/>
        <w:rPr/>
      </w:pPr>
      <w:r>
        <w:rPr/>
        <w:t>Hooks utilisés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hookRenderMenuBar</w:t>
      </w:r>
      <w:r>
        <w:rPr/>
        <w:t xml:space="preserve"> — Ajoute un menu « États » dans la barre de navigation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hookAppendToEditorInspector</w:t>
      </w:r>
      <w:r>
        <w:rPr/>
        <w:t xml:space="preserve"> — Ajoute des boutons contextuels dans l’inspecteur latéral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hookAddDomainSecurityPolicy</w:t>
      </w:r>
      <w:r>
        <w:rPr/>
        <w:t xml:space="preserve"> — Autorise </w:t>
      </w:r>
      <w:r>
        <w:rPr>
          <w:rStyle w:val="SourceText"/>
        </w:rPr>
        <w:t>cdnjs.cloudflare.com</w:t>
      </w:r>
      <w:r>
        <w:rPr/>
        <w:t xml:space="preserve"> dans la CSP 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3498DB"/>
          <w:shd w:fill="EAF6FD" w:val="clear"/>
        </w:rPr>
        <w:t>Aucune restriction de rôle</w:t>
      </w:r>
      <w:r>
        <w:rPr>
          <w:bdr w:val="single" w:sz="24" w:space="11" w:color="3498DB"/>
          <w:shd w:fill="EAF6FD" w:val="clear"/>
        </w:rPr>
        <w:t xml:space="preserve"> — </w:t>
      </w:r>
      <w:r>
        <w:rPr>
          <w:rStyle w:val="SourceText"/>
          <w:bdr w:val="single" w:sz="24" w:space="11" w:color="3498DB"/>
          <w:shd w:fill="EAF6FD" w:val="clear"/>
        </w:rPr>
        <w:t>getRoleActionList</w:t>
      </w:r>
      <w:r>
        <w:rPr>
          <w:bdr w:val="single" w:sz="24" w:space="11" w:color="3498DB"/>
          <w:shd w:fill="EAF6FD" w:val="clear"/>
        </w:rPr>
        <w:t xml:space="preserve"> retourne un tableau vide.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Points d’entrée (boutons)</w:t>
      </w:r>
    </w:p>
    <w:tbl>
      <w:tblPr>
        <w:tblW w:w="73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91"/>
        <w:gridCol w:w="1726"/>
        <w:gridCol w:w="2731"/>
        <w:gridCol w:w="1051"/>
      </w:tblGrid>
      <w:tr>
        <w:trPr/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Table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Condition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Bouton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Modèle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ca_movements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type = </w:t>
            </w:r>
            <w:r>
              <w:rPr>
                <w:rStyle w:val="SourceText"/>
              </w:rPr>
              <w:t>versement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« Bordereau de versement »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4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ca_movements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type = </w:t>
            </w:r>
            <w:r>
              <w:rPr>
                <w:rStyle w:val="SourceText"/>
              </w:rPr>
              <w:t>movement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« Bordereau de mouvement »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4b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ca_collections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Toutes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« Inventaire de la collection » / « Inventaire des contenants »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2 / 2b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ca_occurrences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type = </w:t>
            </w:r>
            <w:r>
              <w:rPr>
                <w:rStyle w:val="SourceText"/>
              </w:rPr>
              <w:t>exposition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« Conditions générales de prêt »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6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ca_occurrences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type = </w:t>
            </w:r>
            <w:r>
              <w:rPr>
                <w:rStyle w:val="SourceText"/>
              </w:rPr>
              <w:t>demande_garde_inrap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« Génération du courrier »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10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ca_occurrences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type = </w:t>
            </w:r>
            <w:r>
              <w:rPr>
                <w:rStyle w:val="SourceText"/>
              </w:rPr>
              <w:t>courrier_libre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« Génération du courrier »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11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ca_occurrences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type = </w:t>
            </w:r>
            <w:r>
              <w:rPr>
                <w:rStyle w:val="SourceText"/>
              </w:rPr>
              <w:t>demande_versement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« Génération du courrier »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12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Contrôleurs</w:t>
      </w:r>
    </w:p>
    <w:p>
      <w:pPr>
        <w:pStyle w:val="Heading3"/>
        <w:bidi w:val="0"/>
        <w:jc w:val="left"/>
        <w:rPr/>
      </w:pPr>
      <w:r>
        <w:rPr/>
        <w:t>GenererController (1560 lignes)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controllers/GenererController.php</w:t>
      </w:r>
      <w:r>
        <w:rPr/>
        <w:t xml:space="preserve"> — Contrôleur principal.</w:t>
      </w:r>
    </w:p>
    <w:tbl>
      <w:tblPr>
        <w:tblW w:w="73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1"/>
        <w:gridCol w:w="4588"/>
        <w:gridCol w:w="1250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Action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Sortie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Index()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Page d’accueil des états avec sélecteurs direction/région/département.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Modele1()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Listes d’opérations filtrées (20 variantes). Utilise </w:t>
            </w:r>
            <w:r>
              <w:rPr>
                <w:rStyle w:val="SourceText"/>
              </w:rPr>
              <w:t>CollectionBrowse</w:t>
            </w:r>
            <w:r>
              <w:rPr/>
              <w:t>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Modele2()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Inventaire de la collection (mobilier, 23 colonnes).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Modele2b()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Inventaire des contenants (16 colonnes).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Modele3()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Étiquettes d’une collection.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Modele4()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Bordereau de versement.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 / DOCX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Modele4b()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Bordereau de mouvement.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 / DOCX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Modele6()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Conditions de prêt exposition.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 / DOCX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Modele7()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Liste des objets pour exposition.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Modele8()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Lettres par mouvement.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Modele9()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 centre.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HTML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Modele10()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Courrier de demande de garde INRAP.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DOCX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Modele11()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Courrier libre.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DOCX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Modele12()</w:t>
            </w:r>
          </w:p>
        </w:tc>
        <w:tc>
          <w:tcPr>
            <w:tcW w:w="45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Demande de versement multi-collections (fusion via </w:t>
            </w:r>
            <w:r>
              <w:rPr>
                <w:rStyle w:val="SourceText"/>
              </w:rPr>
              <w:t>pagemerger</w:t>
            </w:r>
            <w:r>
              <w:rPr/>
              <w:t>).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DOCX</w:t>
            </w:r>
          </w:p>
        </w:tc>
      </w:tr>
    </w:tbl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3498DB"/>
          <w:shd w:fill="EAF6FD" w:val="clear"/>
        </w:rPr>
        <w:t>Pages d’aide :</w:t>
      </w:r>
      <w:r>
        <w:rPr>
          <w:bdr w:val="single" w:sz="24" w:space="11" w:color="3498DB"/>
          <w:shd w:fill="EAF6FD" w:val="clear"/>
        </w:rPr>
        <w:t xml:space="preserve"> </w:t>
      </w:r>
      <w:r>
        <w:rPr>
          <w:rStyle w:val="SourceText"/>
          <w:bdr w:val="single" w:sz="24" w:space="11" w:color="3498DB"/>
          <w:shd w:fill="EAF6FD" w:val="clear"/>
        </w:rPr>
        <w:t>Modele2_help()</w:t>
      </w:r>
      <w:r>
        <w:rPr>
          <w:bdr w:val="single" w:sz="24" w:space="11" w:color="3498DB"/>
          <w:shd w:fill="EAF6FD" w:val="clear"/>
        </w:rPr>
        <w:t xml:space="preserve">, </w:t>
      </w:r>
      <w:r>
        <w:rPr>
          <w:rStyle w:val="SourceText"/>
          <w:bdr w:val="single" w:sz="24" w:space="11" w:color="3498DB"/>
          <w:shd w:fill="EAF6FD" w:val="clear"/>
        </w:rPr>
        <w:t>Modele2b_help()</w:t>
      </w:r>
      <w:r>
        <w:rPr>
          <w:bdr w:val="single" w:sz="24" w:space="11" w:color="3498DB"/>
          <w:shd w:fill="EAF6FD" w:val="clear"/>
        </w:rPr>
        <w:t xml:space="preserve">, </w:t>
      </w:r>
      <w:r>
        <w:rPr>
          <w:rStyle w:val="SourceText"/>
          <w:bdr w:val="single" w:sz="24" w:space="11" w:color="3498DB"/>
          <w:shd w:fill="EAF6FD" w:val="clear"/>
        </w:rPr>
        <w:t>Modele3_help()</w:t>
      </w:r>
      <w:r>
        <w:rPr>
          <w:bdr w:val="single" w:sz="24" w:space="11" w:color="3498DB"/>
          <w:shd w:fill="EAF6FD" w:val="clear"/>
        </w:rPr>
        <w:t xml:space="preserve">, </w:t>
      </w:r>
      <w:r>
        <w:rPr>
          <w:rStyle w:val="SourceText"/>
          <w:bdr w:val="single" w:sz="24" w:space="11" w:color="3498DB"/>
          <w:shd w:fill="EAF6FD" w:val="clear"/>
        </w:rPr>
        <w:t>Modele4_help()</w:t>
      </w:r>
      <w:r>
        <w:rPr>
          <w:bdr w:val="single" w:sz="24" w:space="11" w:color="3498DB"/>
          <w:shd w:fill="EAF6FD" w:val="clear"/>
        </w:rPr>
        <w:t xml:space="preserve">, </w:t>
      </w:r>
      <w:r>
        <w:rPr>
          <w:rStyle w:val="SourceText"/>
          <w:bdr w:val="single" w:sz="24" w:space="11" w:color="3498DB"/>
          <w:shd w:fill="EAF6FD" w:val="clear"/>
        </w:rPr>
        <w:t>Modele6_help()</w:t>
      </w:r>
      <w:r>
        <w:rPr>
          <w:bdr w:val="single" w:sz="24" w:space="11" w:color="3498DB"/>
          <w:shd w:fill="EAF6FD" w:val="clear"/>
        </w:rPr>
        <w:t xml:space="preserve">. </w:t>
      </w:r>
    </w:p>
    <w:p>
      <w:pPr>
        <w:pStyle w:val="Heading3"/>
        <w:bidi w:val="0"/>
        <w:jc w:val="left"/>
        <w:rPr/>
      </w:pPr>
      <w:r>
        <w:rPr/>
        <w:t>PrintLabelsController (268 lignes)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controllers/PrintLabelsController.php</w:t>
      </w:r>
    </w:p>
    <w:tbl>
      <w:tblPr>
        <w:tblW w:w="73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0"/>
        <w:gridCol w:w="5799"/>
      </w:tblGrid>
      <w:tr>
        <w:trPr/>
        <w:tc>
          <w:tcPr>
            <w:tcW w:w="1600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Action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Index()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Page d’accueil impression d’étiquettes.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Generate()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Étiquettes PDF : INRAP 10 vues (105×59,4 mm), 16 vues (105×37,1 mm), 24 vues (70×37,1 mm).</w:t>
            </w:r>
          </w:p>
        </w:tc>
      </w:tr>
    </w:tbl>
    <w:p>
      <w:pPr>
        <w:pStyle w:val="Heading3"/>
        <w:bidi w:val="0"/>
        <w:jc w:val="left"/>
        <w:rPr/>
      </w:pPr>
      <w:r>
        <w:rPr/>
        <w:t>ListedesversementsController (88 lignes)</w:t>
      </w:r>
    </w:p>
    <w:tbl>
      <w:tblPr>
        <w:tblW w:w="73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1"/>
        <w:gridCol w:w="6138"/>
      </w:tblGrid>
      <w:tr>
        <w:trPr/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Action</w:t>
            </w:r>
          </w:p>
        </w:tc>
        <w:tc>
          <w:tcPr>
            <w:tcW w:w="6138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Index()</w:t>
            </w:r>
          </w:p>
        </w:tc>
        <w:tc>
          <w:tcPr>
            <w:tcW w:w="61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Liste des versements pour un emplacement. Limite 300 résultats.</w:t>
            </w:r>
          </w:p>
        </w:tc>
      </w:tr>
    </w:tbl>
    <w:p>
      <w:pPr>
        <w:pStyle w:val="Heading3"/>
        <w:bidi w:val="0"/>
        <w:jc w:val="left"/>
        <w:rPr/>
      </w:pPr>
      <w:r>
        <w:rPr/>
        <w:t>ListedescourriersversementsController (128 lignes)</w:t>
      </w:r>
    </w:p>
    <w:tbl>
      <w:tblPr>
        <w:tblW w:w="67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5461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Action</w:t>
            </w:r>
          </w:p>
        </w:tc>
        <w:tc>
          <w:tcPr>
            <w:tcW w:w="546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Index()</w:t>
            </w:r>
          </w:p>
        </w:tc>
        <w:tc>
          <w:tcPr>
            <w:tcW w:w="54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Liste des courriers de versement. Filtrage par région.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Modèle 1 — Listes d’opérations</w:t>
      </w:r>
    </w:p>
    <w:p>
      <w:pPr>
        <w:pStyle w:val="Heading3"/>
        <w:bidi w:val="0"/>
        <w:jc w:val="left"/>
        <w:rPr/>
      </w:pPr>
      <w:r>
        <w:rPr/>
        <w:t>Types d’opérations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Diagnostics</w:t>
      </w:r>
      <w:r>
        <w:rPr/>
        <w:t xml:space="preserve"> (type_ope = 1443)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Fouilles</w:t>
      </w:r>
      <w:r>
        <w:rPr/>
        <w:t xml:space="preserve"> (type_ope = 1444)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Fouilles programmées</w:t>
      </w:r>
      <w:r>
        <w:rPr/>
        <w:t xml:space="preserve"> (type_ope = 1650)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Toutes opérations</w:t>
      </w:r>
      <w:r>
        <w:rPr/>
        <w:t xml:space="preserve"> (type_ope = 0) </w:t>
      </w:r>
    </w:p>
    <w:p>
      <w:pPr>
        <w:pStyle w:val="Heading3"/>
        <w:bidi w:val="0"/>
        <w:jc w:val="left"/>
        <w:rPr/>
      </w:pPr>
      <w:r>
        <w:rPr/>
        <w:t>Statuts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En cours d’étude</w:t>
      </w:r>
      <w:r>
        <w:rPr/>
        <w:t xml:space="preserve"> (1553)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En attente de versement</w:t>
      </w:r>
      <w:r>
        <w:rPr/>
        <w:t xml:space="preserve"> (1554)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En garde pour INRAP</w:t>
      </w:r>
      <w:r>
        <w:rPr/>
        <w:t xml:space="preserve"> (1555)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En garde pour État</w:t>
      </w:r>
      <w:r>
        <w:rPr/>
        <w:t xml:space="preserve"> (1634)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Non défini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Versées</w:t>
      </w:r>
      <w:r>
        <w:rPr/>
        <w:t xml:space="preserve"> (1556) </w:t>
      </w:r>
    </w:p>
    <w:p>
      <w:pPr>
        <w:pStyle w:val="TextBody"/>
        <w:bidi w:val="0"/>
        <w:jc w:val="left"/>
        <w:rPr/>
      </w:pPr>
      <w:r>
        <w:rPr/>
        <w:t>Colonnes : DIR, Lieu d’entrée, Volume (m3), Statut collection, Code OA, Type opération, Code INRAP, Région, Département, Commune, Lieudit, RO, Fin terrain, Prév. remise du rapport, Remise du rapport.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Génération DOCX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Les modèles 4, 4b, 6, 10, 11 et 12 génèrent des documents Word à partir de templates dans </w:t>
      </w:r>
      <w:r>
        <w:rPr>
          <w:rStyle w:val="SourceText"/>
        </w:rPr>
        <w:t>templates/</w:t>
      </w:r>
      <w:r>
        <w:rPr/>
        <w:t>.</w:t>
      </w:r>
    </w:p>
    <w:tbl>
      <w:tblPr>
        <w:tblW w:w="73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35"/>
        <w:gridCol w:w="2964"/>
      </w:tblGrid>
      <w:tr>
        <w:trPr/>
        <w:tc>
          <w:tcPr>
            <w:tcW w:w="4435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Template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Modèle</w:t>
            </w:r>
          </w:p>
        </w:tc>
      </w:tr>
      <w:tr>
        <w:trPr/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bordereau-versement.docx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4 — Bordereau de versement</w:t>
            </w:r>
          </w:p>
        </w:tc>
      </w:tr>
      <w:tr>
        <w:trPr/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bordereau-mouvement.docx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4b — Bordereau de mouvement</w:t>
            </w:r>
          </w:p>
        </w:tc>
      </w:tr>
      <w:tr>
        <w:trPr/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conditions_generales_de_pret.docx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6 — Conditions de prêt</w:t>
            </w:r>
          </w:p>
        </w:tc>
      </w:tr>
      <w:tr>
        <w:trPr/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lettre_garde_inrap.docx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10 — Demande de garde</w:t>
            </w:r>
          </w:p>
        </w:tc>
      </w:tr>
      <w:tr>
        <w:trPr/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lettre_vierge.docx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11 — Courrier libre</w:t>
            </w:r>
          </w:p>
        </w:tc>
      </w:tr>
      <w:tr>
        <w:trPr/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lettre_versement.docx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12 — Demande de versement (base)</w:t>
            </w:r>
          </w:p>
        </w:tc>
      </w:tr>
      <w:tr>
        <w:trPr/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lettre_versement_sous_partie.docx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Modèle 12 — Sous-partie par collection</w:t>
            </w:r>
          </w:p>
        </w:tc>
      </w:tr>
      <w:tr>
        <w:trPr/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formulaire_deplacement_bam.docx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Formulaire de déplacement BAM</w:t>
            </w:r>
          </w:p>
        </w:tc>
      </w:tr>
      <w:tr>
        <w:trPr/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constat_etat_base.docx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Constat d’état (base)</w:t>
            </w:r>
          </w:p>
        </w:tc>
      </w:tr>
    </w:tbl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F39C12"/>
          <w:shd w:fill="FEF9E7" w:val="clear"/>
        </w:rPr>
        <w:t>Dépendance :</w:t>
      </w:r>
      <w:r>
        <w:rPr>
          <w:bdr w:val="single" w:sz="24" w:space="11" w:color="F39C12"/>
          <w:shd w:fill="FEF9E7" w:val="clear"/>
        </w:rPr>
        <w:t xml:space="preserve"> Le modèle 12 utilise </w:t>
      </w:r>
      <w:r>
        <w:rPr>
          <w:rStyle w:val="SourceText"/>
          <w:bdr w:val="single" w:sz="24" w:space="11" w:color="F39C12"/>
          <w:shd w:fill="FEF9E7" w:val="clear"/>
        </w:rPr>
        <w:t>pagemerger</w:t>
      </w:r>
      <w:r>
        <w:rPr>
          <w:bdr w:val="single" w:sz="24" w:space="11" w:color="F39C12"/>
          <w:shd w:fill="FEF9E7" w:val="clear"/>
        </w:rPr>
        <w:t xml:space="preserve"> pour fusionner les DOCX. Le plugin embarque </w:t>
      </w:r>
      <w:r>
        <w:rPr>
          <w:rStyle w:val="StrongEmphasis"/>
          <w:bdr w:val="single" w:sz="24" w:space="11" w:color="F39C12"/>
          <w:shd w:fill="FEF9E7" w:val="clear"/>
        </w:rPr>
        <w:t>PHPWord</w:t>
      </w:r>
      <w:r>
        <w:rPr>
          <w:bdr w:val="single" w:sz="24" w:space="11" w:color="F39C12"/>
          <w:shd w:fill="FEF9E7" w:val="clear"/>
        </w:rPr>
        <w:t xml:space="preserve"> dans </w:t>
      </w:r>
      <w:r>
        <w:rPr>
          <w:rStyle w:val="SourceText"/>
          <w:bdr w:val="single" w:sz="24" w:space="11" w:color="F39C12"/>
          <w:shd w:fill="FEF9E7" w:val="clear"/>
        </w:rPr>
        <w:t>lib/PHPWord/</w:t>
      </w:r>
      <w:r>
        <w:rPr>
          <w:bdr w:val="single" w:sz="24" w:space="11" w:color="F39C12"/>
          <w:shd w:fill="FEF9E7" w:val="clear"/>
        </w:rPr>
        <w:t xml:space="preserve">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Configuration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conf/etatsInrap.conf</w:t>
      </w:r>
    </w:p>
    <w:tbl>
      <w:tblPr>
        <w:tblW w:w="73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1"/>
        <w:gridCol w:w="886"/>
        <w:gridCol w:w="5192"/>
      </w:tblGrid>
      <w:tr>
        <w:trPr/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Paramètre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Valeur</w:t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enabled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Active ou désactive le plugin. </w:t>
            </w:r>
            <w:r>
              <w:rPr>
                <w:rStyle w:val="StrongEmphasis"/>
              </w:rPr>
              <w:t>Désactivé par défaut.</w:t>
            </w:r>
          </w:p>
        </w:tc>
      </w:tr>
    </w:tbl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F39C12"/>
          <w:shd w:fill="FEF9E7" w:val="clear"/>
        </w:rPr>
        <w:t>Attention :</w:t>
      </w:r>
      <w:r>
        <w:rPr>
          <w:bdr w:val="single" w:sz="24" w:space="11" w:color="F39C12"/>
          <w:shd w:fill="FEF9E7" w:val="clear"/>
        </w:rPr>
        <w:t xml:space="preserve"> Ce plugin est désactivé par défaut. Passez </w:t>
      </w:r>
      <w:r>
        <w:rPr>
          <w:rStyle w:val="SourceText"/>
          <w:bdr w:val="single" w:sz="24" w:space="11" w:color="F39C12"/>
          <w:shd w:fill="FEF9E7" w:val="clear"/>
        </w:rPr>
        <w:t>enabled</w:t>
      </w:r>
      <w:r>
        <w:rPr>
          <w:bdr w:val="single" w:sz="24" w:space="11" w:color="F39C12"/>
          <w:shd w:fill="FEF9E7" w:val="clear"/>
        </w:rPr>
        <w:t xml:space="preserve"> à </w:t>
      </w:r>
      <w:r>
        <w:rPr>
          <w:rStyle w:val="SourceText"/>
          <w:bdr w:val="single" w:sz="24" w:space="11" w:color="F39C12"/>
          <w:shd w:fill="FEF9E7" w:val="clear"/>
        </w:rPr>
        <w:t>1</w:t>
      </w:r>
      <w:r>
        <w:rPr>
          <w:bdr w:val="single" w:sz="24" w:space="11" w:color="F39C12"/>
          <w:shd w:fill="FEF9E7" w:val="clear"/>
        </w:rPr>
        <w:t xml:space="preserve"> pour l’activer.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Structure des fichiers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>etatsInrap/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etatsInrapPlugin.php              # Classe principale (hooks)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conf/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etatsInrap.conf                 # Configuration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controllers/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GenererController.php           # Contrôleur principal (12 modèles, 1560 lignes)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PrintLabelsController.php       # Impression étiquettes PDF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ListedesversementsController.php # Liste des versements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ListedescourriersversementsController.php # Liste des courriers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views/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index_html.php                  # Page d'accueil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modele1_html.php ... modele12_sp_docx.php  # Vues des modèles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modele*_help_html.php           # Pages d'aide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error_html.php                  # Page d'erreur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listedesversements_html.php     # Liste des versements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listedescourriersversements_html.php # Liste des courriers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templates/                        # Templates DOCX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printTemplates/summary/           # Templates impression PDF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lib/PHPWord/                      # Bibliothèque PHPWord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css/                              # Feuilles de styles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tmp/                              # Fichiers temporaires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 xml:space="preserve">  </w:t>
      </w:r>
      <w:r>
        <w:rPr/>
        <w:t>results.json                      # Cache JSON régions/départements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Dépendances et interactions</w:t>
      </w:r>
    </w:p>
    <w:tbl>
      <w:tblPr>
        <w:tblW w:w="73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08"/>
        <w:gridCol w:w="4591"/>
      </w:tblGrid>
      <w:tr>
        <w:trPr/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Composant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Type d’interaction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Emphasis"/>
              </w:rPr>
              <w:t>PHPWord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Bibliothèque embarquée pour la génération DOCX.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Emphasis"/>
              </w:rPr>
              <w:t>pagemerger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Outil ligne de commande pour fusionner les DOCX (modèle 12).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Emphasis"/>
              </w:rPr>
              <w:t>PDFRenderer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Génération des étiquettes PDF (PrintLabelsController).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Emphasis"/>
              </w:rPr>
              <w:t>CollectionBrowse / ObjectBrowse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Navigation avec facettes (lieu, type, statut).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Emphasis"/>
              </w:rPr>
              <w:t>ResultContext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Résultats de la dernière recherche.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Emphasis"/>
              </w:rPr>
              <w:t>results.json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Cache JSON des régions et départements pour filtres dynamiques.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Activation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Le plugin est </w:t>
      </w:r>
      <w:r>
        <w:rPr>
          <w:rStyle w:val="StrongEmphasis"/>
        </w:rPr>
        <w:t>désactivé par défaut</w:t>
      </w:r>
      <w:r>
        <w:rPr/>
        <w:t>. Pour l’activer :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enabled = 1</w:t>
      </w:r>
    </w:p>
    <w:p>
      <w:pPr>
        <w:pStyle w:val="Heading3"/>
        <w:bidi w:val="0"/>
        <w:jc w:val="left"/>
        <w:rPr/>
      </w:pPr>
      <w:r>
        <w:rPr/>
        <w:t>Prérequis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pagemerger</w:t>
      </w:r>
      <w:r>
        <w:rPr/>
        <w:t xml:space="preserve"> installé (fusion DOCX du modèle 12)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Répertoire </w:t>
      </w:r>
      <w:r>
        <w:rPr>
          <w:rStyle w:val="SourceText"/>
        </w:rPr>
        <w:t>tmp/</w:t>
      </w:r>
      <w:r>
        <w:rPr/>
        <w:t xml:space="preserve"> accessible en écriture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Fichier </w:t>
      </w:r>
      <w:r>
        <w:rPr>
          <w:rStyle w:val="SourceText"/>
        </w:rPr>
        <w:t>results.json</w:t>
      </w:r>
      <w:r>
        <w:rPr/>
        <w:t xml:space="preserve"> à jour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Templates DOCX présents dans </w:t>
      </w:r>
      <w:r>
        <w:rPr>
          <w:rStyle w:val="SourceText"/>
        </w:rPr>
        <w:t>templates/</w:t>
      </w:r>
      <w:r>
        <w:rPr/>
        <w:t xml:space="preserve"> </w:t>
      </w:r>
    </w:p>
    <w:p>
      <w:pPr>
        <w:pStyle w:val="TextBody"/>
        <w:bidi w:val="0"/>
        <w:spacing w:before="450" w:after="120"/>
        <w:jc w:val="left"/>
        <w:rPr/>
      </w:pPr>
      <w:r>
        <w:rPr>
          <w:rStyle w:val="StrongEmphasis"/>
          <w:shd w:fill="ECF0F1" w:val="clear"/>
        </w:rPr>
        <w:t>Date de documentation :</w:t>
      </w:r>
      <w:r>
        <w:rPr>
          <w:shd w:fill="ECF0F1" w:val="clear"/>
        </w:rPr>
        <w:t xml:space="preserve"> 2026-02-15</w:t>
        <w:br/>
      </w:r>
      <w:r>
        <w:rPr>
          <w:rStyle w:val="StrongEmphasis"/>
          <w:shd w:fill="ECF0F1" w:val="clear"/>
        </w:rPr>
        <w:t>Plugin :</w:t>
      </w:r>
      <w:r>
        <w:rPr>
          <w:shd w:fill="ECF0F1" w:val="clear"/>
        </w:rPr>
        <w:t xml:space="preserve"> etatsInrap</w:t>
        <w:br/>
      </w:r>
      <w:r>
        <w:rPr>
          <w:rStyle w:val="StrongEmphasis"/>
          <w:shd w:fill="ECF0F1" w:val="clear"/>
        </w:rPr>
        <w:t>Version CollectiveAccess :</w:t>
      </w:r>
      <w:r>
        <w:rPr>
          <w:shd w:fill="ECF0F1" w:val="clear"/>
        </w:rPr>
        <w:t xml:space="preserve"> Providence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600" w:after="600"/>
      <w:ind w:left="600" w:right="600" w:hanging="0"/>
    </w:pPr>
    <w:rPr>
      <w:rFonts w:ascii="Calibri;Arial;sans-serif" w:hAnsi="Calibri;Arial;sans-serif" w:eastAsia="Calibri;Arial;sans-serif" w:cs="Calibri;Arial;sans-serif"/>
      <w:color w:val="333333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8" w:space="8" w:color="3498DB"/>
      </w:pBdr>
      <w:spacing w:before="450" w:after="283"/>
    </w:pPr>
    <w:rPr>
      <w:rFonts w:ascii="Liberation Sans Unicode MS" w:hAnsi="Liberation Sans Unicode MS"/>
      <w:b/>
      <w:bCs/>
      <w:color w:val="2C3E50"/>
      <w:sz w:val="48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12" w:space="6" w:color="95A5A6"/>
      </w:pBdr>
      <w:spacing w:before="525" w:after="120"/>
      <w:outlineLvl w:val="1"/>
    </w:pPr>
    <w:rPr>
      <w:rFonts w:ascii="Liberation Serif" w:hAnsi="Liberation Serif" w:eastAsia="Noto Sans" w:cs="Noto Sans Devanagari"/>
      <w:b/>
      <w:bCs/>
      <w:color w:val="34495E"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300" w:after="120"/>
      <w:outlineLvl w:val="2"/>
    </w:pPr>
    <w:rPr>
      <w:rFonts w:ascii="Liberation Serif" w:hAnsi="Liberation Serif" w:eastAsia="Noto Sans" w:cs="Noto Sans Devanagari"/>
      <w:b/>
      <w:bCs/>
      <w:color w:val="2980B9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4F4F4" w:val="clear"/>
    </w:rPr>
  </w:style>
  <w:style w:type="character" w:styleId="StrongEmphasis">
    <w:name w:val="Strong"/>
    <w:qFormat/>
    <w:rPr>
      <w:b/>
      <w:bCs/>
      <w:color w:val="2C3E50"/>
    </w:rPr>
  </w:style>
  <w:style w:type="character" w:styleId="Emphasis">
    <w:name w:val="Emphasis"/>
    <w:qFormat/>
    <w:rPr>
      <w:i/>
      <w:iCs/>
      <w:color w:val="7F8C8D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419" w:leader="none"/>
        <w:tab w:val="right" w:pos="102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120" w:after="120"/>
      <w:ind w:left="120" w:right="12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9" w:color="DDDDDD"/>
        <w:left w:val="single" w:sz="2" w:space="9" w:color="DDDDDD"/>
        <w:bottom w:val="single" w:sz="2" w:space="9" w:color="DDDDDD"/>
      </w:pBdr>
      <w:shd w:fill="F4F4F4" w:val="clear"/>
      <w:spacing w:lineRule="auto" w:line="360" w:before="60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3498DB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Documentation technique — etatsInrap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